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E6054D8">
      <w:pPr>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rPr>
          <w:rFonts w:hint="eastAsia" w:ascii="仿宋_GB2312" w:eastAsia="仿宋_GB2312"/>
          <w:color w:val="000000" w:themeColor="text1"/>
          <w:sz w:val="36"/>
          <w:szCs w:val="36"/>
          <w:highlight w:val="none"/>
          <w:lang w:eastAsia="zh-CN"/>
          <w14:textFill>
            <w14:solidFill>
              <w14:schemeClr w14:val="tx1"/>
            </w14:solidFill>
          </w14:textFill>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bookmarkStart w:id="190" w:name="_GoBack"/>
      <w:bookmarkEnd w:id="190"/>
      <w:r>
        <w:rPr>
          <w:rFonts w:hint="eastAsia" w:ascii="仿宋_GB2312" w:eastAsia="仿宋_GB2312"/>
          <w:color w:val="000000" w:themeColor="text1"/>
          <w:sz w:val="36"/>
          <w:szCs w:val="36"/>
          <w:highlight w:val="none"/>
          <w:lang w:eastAsia="zh-CN"/>
          <w14:textFill>
            <w14:solidFill>
              <w14:schemeClr w14:val="tx1"/>
            </w14:solidFill>
          </w14:textFill>
        </w:rPr>
        <w:drawing>
          <wp:inline distT="0" distB="0" distL="114300" distR="114300">
            <wp:extent cx="5593080" cy="7910195"/>
            <wp:effectExtent l="0" t="0" r="7620" b="14605"/>
            <wp:docPr id="95" name="图片 95" descr="doc04034420260327153959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doc04034420260327153959_02"/>
                    <pic:cNvPicPr>
                      <a:picLocks noChangeAspect="1"/>
                    </pic:cNvPicPr>
                  </pic:nvPicPr>
                  <pic:blipFill>
                    <a:blip r:embed="rId15"/>
                    <a:stretch>
                      <a:fillRect/>
                    </a:stretch>
                  </pic:blipFill>
                  <pic:spPr>
                    <a:xfrm>
                      <a:off x="0" y="0"/>
                      <a:ext cx="5593080" cy="7910195"/>
                    </a:xfrm>
                    <a:prstGeom prst="rect">
                      <a:avLst/>
                    </a:prstGeom>
                  </pic:spPr>
                </pic:pic>
              </a:graphicData>
            </a:graphic>
          </wp:inline>
        </w:drawing>
      </w:r>
    </w:p>
    <w:p w14:paraId="76F775BF">
      <w:pPr>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rPr>
          <w:rFonts w:hint="eastAsia" w:ascii="仿宋_GB2312" w:eastAsia="仿宋_GB2312"/>
          <w:color w:val="000000" w:themeColor="text1"/>
          <w:sz w:val="36"/>
          <w:szCs w:val="36"/>
          <w:highlight w:val="none"/>
          <w:lang w:eastAsia="zh-CN"/>
          <w14:textFill>
            <w14:solidFill>
              <w14:schemeClr w14:val="tx1"/>
            </w14:solidFill>
          </w14:textFill>
        </w:rPr>
      </w:pPr>
      <w:r>
        <w:rPr>
          <w:rFonts w:hint="eastAsia" w:ascii="仿宋_GB2312" w:eastAsia="仿宋_GB2312"/>
          <w:color w:val="000000" w:themeColor="text1"/>
          <w:sz w:val="36"/>
          <w:szCs w:val="36"/>
          <w:highlight w:val="none"/>
          <w:lang w:eastAsia="zh-CN"/>
          <w14:textFill>
            <w14:solidFill>
              <w14:schemeClr w14:val="tx1"/>
            </w14:solidFill>
          </w14:textFill>
        </w:rPr>
        <w:drawing>
          <wp:inline distT="0" distB="0" distL="114300" distR="114300">
            <wp:extent cx="5593080" cy="7908290"/>
            <wp:effectExtent l="0" t="0" r="7620" b="16510"/>
            <wp:docPr id="107" name="图片 107" descr="脱敏资质页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脱敏资质页_01"/>
                    <pic:cNvPicPr>
                      <a:picLocks noChangeAspect="1"/>
                    </pic:cNvPicPr>
                  </pic:nvPicPr>
                  <pic:blipFill>
                    <a:blip r:embed="rId16"/>
                    <a:stretch>
                      <a:fillRect/>
                    </a:stretch>
                  </pic:blipFill>
                  <pic:spPr>
                    <a:xfrm>
                      <a:off x="0" y="0"/>
                      <a:ext cx="5593080" cy="7908290"/>
                    </a:xfrm>
                    <a:prstGeom prst="rect">
                      <a:avLst/>
                    </a:prstGeom>
                  </pic:spPr>
                </pic:pic>
              </a:graphicData>
            </a:graphic>
          </wp:inline>
        </w:drawing>
      </w:r>
    </w:p>
    <w:p w14:paraId="59F832FD">
      <w:pPr>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rPr>
          <w:rFonts w:hint="eastAsia" w:ascii="仿宋_GB2312" w:eastAsia="仿宋_GB2312"/>
          <w:color w:val="000000" w:themeColor="text1"/>
          <w:sz w:val="36"/>
          <w:szCs w:val="36"/>
          <w:highlight w:val="none"/>
          <w:lang w:eastAsia="zh-CN"/>
          <w14:textFill>
            <w14:solidFill>
              <w14:schemeClr w14:val="tx1"/>
            </w14:solidFill>
          </w14:textFill>
        </w:rPr>
      </w:pPr>
      <w:r>
        <w:rPr>
          <w:rFonts w:hint="eastAsia" w:ascii="仿宋_GB2312" w:eastAsia="仿宋_GB2312"/>
          <w:color w:val="000000" w:themeColor="text1"/>
          <w:sz w:val="36"/>
          <w:szCs w:val="36"/>
          <w:highlight w:val="none"/>
          <w:lang w:eastAsia="zh-CN"/>
          <w14:textFill>
            <w14:solidFill>
              <w14:schemeClr w14:val="tx1"/>
            </w14:solidFill>
          </w14:textFill>
        </w:rPr>
        <w:drawing>
          <wp:inline distT="0" distB="0" distL="114300" distR="114300">
            <wp:extent cx="5594985" cy="7912100"/>
            <wp:effectExtent l="0" t="0" r="5715" b="12700"/>
            <wp:docPr id="115" name="图片 115" descr="脱敏编制人员信息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脱敏编制人员信息_01"/>
                    <pic:cNvPicPr>
                      <a:picLocks noChangeAspect="1"/>
                    </pic:cNvPicPr>
                  </pic:nvPicPr>
                  <pic:blipFill>
                    <a:blip r:embed="rId17"/>
                    <a:stretch>
                      <a:fillRect/>
                    </a:stretch>
                  </pic:blipFill>
                  <pic:spPr>
                    <a:xfrm>
                      <a:off x="0" y="0"/>
                      <a:ext cx="5594985" cy="7912100"/>
                    </a:xfrm>
                    <a:prstGeom prst="rect">
                      <a:avLst/>
                    </a:prstGeom>
                  </pic:spPr>
                </pic:pic>
              </a:graphicData>
            </a:graphic>
          </wp:inline>
        </w:drawing>
      </w:r>
    </w:p>
    <w:p w14:paraId="688141BA">
      <w:pPr>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rPr>
          <w:rFonts w:hint="eastAsia" w:ascii="仿宋_GB2312" w:eastAsia="仿宋_GB2312"/>
          <w:color w:val="000000" w:themeColor="text1"/>
          <w:sz w:val="36"/>
          <w:szCs w:val="36"/>
          <w:highlight w:val="none"/>
          <w:lang w:eastAsia="zh-CN"/>
          <w14:textFill>
            <w14:solidFill>
              <w14:schemeClr w14:val="tx1"/>
            </w14:solidFill>
          </w14:textFill>
        </w:rPr>
      </w:pPr>
      <w:r>
        <w:rPr>
          <w:rFonts w:hint="eastAsia" w:ascii="仿宋_GB2312" w:eastAsia="仿宋_GB2312"/>
          <w:color w:val="000000" w:themeColor="text1"/>
          <w:sz w:val="36"/>
          <w:szCs w:val="36"/>
          <w:highlight w:val="none"/>
          <w:lang w:eastAsia="zh-CN"/>
          <w14:textFill>
            <w14:solidFill>
              <w14:schemeClr w14:val="tx1"/>
            </w14:solidFill>
          </w14:textFill>
        </w:rPr>
        <w:drawing>
          <wp:inline distT="0" distB="0" distL="114300" distR="114300">
            <wp:extent cx="5594985" cy="7912100"/>
            <wp:effectExtent l="0" t="0" r="5715" b="12700"/>
            <wp:docPr id="119" name="图片 119" descr="脱敏编制人员信息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脱敏编制人员信息_01"/>
                    <pic:cNvPicPr>
                      <a:picLocks noChangeAspect="1"/>
                    </pic:cNvPicPr>
                  </pic:nvPicPr>
                  <pic:blipFill>
                    <a:blip r:embed="rId17"/>
                    <a:stretch>
                      <a:fillRect/>
                    </a:stretch>
                  </pic:blipFill>
                  <pic:spPr>
                    <a:xfrm>
                      <a:off x="0" y="0"/>
                      <a:ext cx="5594985" cy="7912100"/>
                    </a:xfrm>
                    <a:prstGeom prst="rect">
                      <a:avLst/>
                    </a:prstGeom>
                  </pic:spPr>
                </pic:pic>
              </a:graphicData>
            </a:graphic>
          </wp:inline>
        </w:drawing>
      </w:r>
      <w:r>
        <w:rPr>
          <w:rFonts w:hint="eastAsia" w:ascii="仿宋_GB2312" w:eastAsia="仿宋_GB2312"/>
          <w:color w:val="000000" w:themeColor="text1"/>
          <w:sz w:val="36"/>
          <w:szCs w:val="36"/>
          <w:highlight w:val="none"/>
          <w:lang w:eastAsia="zh-CN"/>
          <w14:textFill>
            <w14:solidFill>
              <w14:schemeClr w14:val="tx1"/>
            </w14:solidFill>
          </w14:textFill>
        </w:rPr>
        <w:drawing>
          <wp:inline distT="0" distB="0" distL="114300" distR="114300">
            <wp:extent cx="5594985" cy="7912100"/>
            <wp:effectExtent l="0" t="0" r="5715" b="12700"/>
            <wp:docPr id="118" name="图片 118" descr="脱敏编制人员信息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脱敏编制人员信息_02"/>
                    <pic:cNvPicPr>
                      <a:picLocks noChangeAspect="1"/>
                    </pic:cNvPicPr>
                  </pic:nvPicPr>
                  <pic:blipFill>
                    <a:blip r:embed="rId18"/>
                    <a:stretch>
                      <a:fillRect/>
                    </a:stretch>
                  </pic:blipFill>
                  <pic:spPr>
                    <a:xfrm>
                      <a:off x="0" y="0"/>
                      <a:ext cx="5594985" cy="7912100"/>
                    </a:xfrm>
                    <a:prstGeom prst="rect">
                      <a:avLst/>
                    </a:prstGeom>
                  </pic:spPr>
                </pic:pic>
              </a:graphicData>
            </a:graphic>
          </wp:inline>
        </w:drawing>
      </w:r>
      <w:r>
        <w:rPr>
          <w:rFonts w:hint="eastAsia" w:ascii="仿宋_GB2312" w:eastAsia="仿宋_GB2312"/>
          <w:color w:val="000000" w:themeColor="text1"/>
          <w:sz w:val="36"/>
          <w:szCs w:val="36"/>
          <w:highlight w:val="none"/>
          <w:lang w:eastAsia="zh-CN"/>
          <w14:textFill>
            <w14:solidFill>
              <w14:schemeClr w14:val="tx1"/>
            </w14:solidFill>
          </w14:textFill>
        </w:rPr>
        <w:drawing>
          <wp:inline distT="0" distB="0" distL="114300" distR="114300">
            <wp:extent cx="5594985" cy="7912100"/>
            <wp:effectExtent l="0" t="0" r="5715" b="12700"/>
            <wp:docPr id="117" name="图片 117" descr="脱敏编制人员信息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脱敏编制人员信息_03"/>
                    <pic:cNvPicPr>
                      <a:picLocks noChangeAspect="1"/>
                    </pic:cNvPicPr>
                  </pic:nvPicPr>
                  <pic:blipFill>
                    <a:blip r:embed="rId19"/>
                    <a:stretch>
                      <a:fillRect/>
                    </a:stretch>
                  </pic:blipFill>
                  <pic:spPr>
                    <a:xfrm>
                      <a:off x="0" y="0"/>
                      <a:ext cx="5594985" cy="7912100"/>
                    </a:xfrm>
                    <a:prstGeom prst="rect">
                      <a:avLst/>
                    </a:prstGeom>
                  </pic:spPr>
                </pic:pic>
              </a:graphicData>
            </a:graphic>
          </wp:inline>
        </w:drawing>
      </w:r>
      <w:r>
        <w:rPr>
          <w:rFonts w:hint="eastAsia" w:ascii="仿宋_GB2312" w:eastAsia="仿宋_GB2312"/>
          <w:color w:val="000000" w:themeColor="text1"/>
          <w:sz w:val="36"/>
          <w:szCs w:val="36"/>
          <w:highlight w:val="none"/>
          <w:lang w:eastAsia="zh-CN"/>
          <w14:textFill>
            <w14:solidFill>
              <w14:schemeClr w14:val="tx1"/>
            </w14:solidFill>
          </w14:textFill>
        </w:rPr>
        <w:drawing>
          <wp:inline distT="0" distB="0" distL="114300" distR="114300">
            <wp:extent cx="5594985" cy="7912100"/>
            <wp:effectExtent l="0" t="0" r="5715" b="12700"/>
            <wp:docPr id="116" name="图片 116" descr="脱敏编制人员信息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脱敏编制人员信息_04"/>
                    <pic:cNvPicPr>
                      <a:picLocks noChangeAspect="1"/>
                    </pic:cNvPicPr>
                  </pic:nvPicPr>
                  <pic:blipFill>
                    <a:blip r:embed="rId20"/>
                    <a:stretch>
                      <a:fillRect/>
                    </a:stretch>
                  </pic:blipFill>
                  <pic:spPr>
                    <a:xfrm>
                      <a:off x="0" y="0"/>
                      <a:ext cx="5594985" cy="7912100"/>
                    </a:xfrm>
                    <a:prstGeom prst="rect">
                      <a:avLst/>
                    </a:prstGeom>
                  </pic:spPr>
                </pic:pic>
              </a:graphicData>
            </a:graphic>
          </wp:inline>
        </w:drawing>
      </w:r>
    </w:p>
    <w:p w14:paraId="6B99F3F3">
      <w:pPr>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rPr>
          <w:rFonts w:hint="eastAsia" w:ascii="仿宋_GB2312" w:eastAsia="仿宋_GB2312"/>
          <w:color w:val="000000" w:themeColor="text1"/>
          <w:sz w:val="36"/>
          <w:szCs w:val="36"/>
          <w:highlight w:val="none"/>
          <w:lang w:eastAsia="zh-CN"/>
          <w14:textFill>
            <w14:solidFill>
              <w14:schemeClr w14:val="tx1"/>
            </w14:solidFill>
          </w14:textFill>
        </w:rPr>
      </w:pPr>
    </w:p>
    <w:p w14:paraId="1636666F">
      <w:pPr>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rPr>
          <w:rFonts w:hint="eastAsia" w:ascii="仿宋_GB2312" w:eastAsia="仿宋_GB2312"/>
          <w:color w:val="000000" w:themeColor="text1"/>
          <w:sz w:val="36"/>
          <w:szCs w:val="36"/>
          <w:highlight w:val="none"/>
          <w:lang w:eastAsia="zh-CN"/>
          <w14:textFill>
            <w14:solidFill>
              <w14:schemeClr w14:val="tx1"/>
            </w14:solidFill>
          </w14:textFill>
        </w:rPr>
      </w:pPr>
    </w:p>
    <w:p w14:paraId="679EB09A">
      <w:pPr>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rPr>
          <w:rFonts w:hint="eastAsia" w:ascii="仿宋_GB2312" w:eastAsia="仿宋_GB2312"/>
          <w:color w:val="000000" w:themeColor="text1"/>
          <w:sz w:val="36"/>
          <w:szCs w:val="36"/>
          <w:highlight w:val="none"/>
          <w:lang w:eastAsia="zh-CN"/>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7722271F">
      <w:pPr>
        <w:jc w:val="center"/>
        <w:outlineLvl w:val="0"/>
        <w:rPr>
          <w:rFonts w:hint="eastAsia" w:ascii="黑体" w:hAnsi="黑体" w:eastAsia="黑体"/>
          <w:snapToGrid w:val="0"/>
          <w:color w:val="000000" w:themeColor="text1"/>
          <w:sz w:val="30"/>
          <w:szCs w:val="30"/>
          <w:highlight w:val="none"/>
          <w14:textFill>
            <w14:solidFill>
              <w14:schemeClr w14:val="tx1"/>
            </w14:solidFill>
          </w14:textFill>
        </w:rPr>
      </w:pPr>
      <w:bookmarkStart w:id="0" w:name="_Toc16498"/>
      <w:bookmarkStart w:id="1" w:name="_Toc26117"/>
      <w:bookmarkStart w:id="2" w:name="_Toc18140"/>
      <w:r>
        <w:rPr>
          <w:rFonts w:hint="eastAsia" w:ascii="黑体" w:hAnsi="黑体" w:eastAsia="黑体"/>
          <w:snapToGrid w:val="0"/>
          <w:color w:val="000000" w:themeColor="text1"/>
          <w:sz w:val="30"/>
          <w:szCs w:val="30"/>
          <w:highlight w:val="none"/>
          <w14:textFill>
            <w14:solidFill>
              <w14:schemeClr w14:val="tx1"/>
            </w14:solidFill>
          </w14:textFill>
        </w:rPr>
        <w:t>一、建设项目基本情况</w:t>
      </w:r>
      <w:bookmarkEnd w:id="0"/>
      <w:bookmarkEnd w:id="1"/>
      <w:bookmarkEnd w:id="2"/>
    </w:p>
    <w:tbl>
      <w:tblPr>
        <w:tblStyle w:val="12"/>
        <w:tblW w:w="496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093"/>
        <w:gridCol w:w="1670"/>
        <w:gridCol w:w="1983"/>
        <w:gridCol w:w="3064"/>
      </w:tblGrid>
      <w:tr w14:paraId="4C10FE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7" w:type="pct"/>
            <w:noWrap w:val="0"/>
            <w:tcMar>
              <w:top w:w="16" w:type="dxa"/>
              <w:left w:w="16" w:type="dxa"/>
              <w:right w:w="16" w:type="dxa"/>
            </w:tcMar>
            <w:vAlign w:val="center"/>
          </w:tcPr>
          <w:p w14:paraId="5625BC1B">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建设项目名称</w:t>
            </w:r>
          </w:p>
        </w:tc>
        <w:tc>
          <w:tcPr>
            <w:tcW w:w="3812" w:type="pct"/>
            <w:gridSpan w:val="3"/>
            <w:noWrap w:val="0"/>
            <w:vAlign w:val="center"/>
          </w:tcPr>
          <w:p w14:paraId="71A9904F">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磴口一期污水处理厂升级改造项目</w:t>
            </w:r>
          </w:p>
        </w:tc>
      </w:tr>
      <w:tr w14:paraId="7205AB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7" w:type="pct"/>
            <w:noWrap w:val="0"/>
            <w:tcMar>
              <w:top w:w="16" w:type="dxa"/>
              <w:left w:w="16" w:type="dxa"/>
              <w:right w:w="16" w:type="dxa"/>
            </w:tcMar>
            <w:vAlign w:val="center"/>
          </w:tcPr>
          <w:p w14:paraId="36B4B38D">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项目代码</w:t>
            </w:r>
          </w:p>
        </w:tc>
        <w:tc>
          <w:tcPr>
            <w:tcW w:w="3812" w:type="pct"/>
            <w:gridSpan w:val="3"/>
            <w:noWrap w:val="0"/>
            <w:vAlign w:val="center"/>
          </w:tcPr>
          <w:p w14:paraId="54A9991C">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2510-150822-04-02-923310</w:t>
            </w:r>
          </w:p>
        </w:tc>
      </w:tr>
      <w:tr w14:paraId="769790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7" w:type="pct"/>
            <w:noWrap w:val="0"/>
            <w:tcMar>
              <w:top w:w="16" w:type="dxa"/>
              <w:left w:w="16" w:type="dxa"/>
              <w:right w:w="16" w:type="dxa"/>
            </w:tcMar>
            <w:vAlign w:val="center"/>
          </w:tcPr>
          <w:p w14:paraId="1388B9A7">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建设单位联系人</w:t>
            </w:r>
          </w:p>
        </w:tc>
        <w:tc>
          <w:tcPr>
            <w:tcW w:w="947" w:type="pct"/>
            <w:noWrap w:val="0"/>
            <w:vAlign w:val="center"/>
          </w:tcPr>
          <w:p w14:paraId="562A9225">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王*</w:t>
            </w:r>
          </w:p>
        </w:tc>
        <w:tc>
          <w:tcPr>
            <w:tcW w:w="1125" w:type="pct"/>
            <w:noWrap w:val="0"/>
            <w:vAlign w:val="center"/>
          </w:tcPr>
          <w:p w14:paraId="3335288B">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联系方式</w:t>
            </w:r>
          </w:p>
        </w:tc>
        <w:tc>
          <w:tcPr>
            <w:tcW w:w="1738" w:type="pct"/>
            <w:noWrap w:val="0"/>
            <w:vAlign w:val="center"/>
          </w:tcPr>
          <w:p w14:paraId="55691304">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w:t>
            </w:r>
          </w:p>
        </w:tc>
      </w:tr>
      <w:tr w14:paraId="6F73A7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7" w:type="pct"/>
            <w:noWrap w:val="0"/>
            <w:tcMar>
              <w:top w:w="16" w:type="dxa"/>
              <w:left w:w="16" w:type="dxa"/>
              <w:right w:w="16" w:type="dxa"/>
            </w:tcMar>
            <w:vAlign w:val="center"/>
          </w:tcPr>
          <w:p w14:paraId="07473202">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建设地点</w:t>
            </w:r>
          </w:p>
        </w:tc>
        <w:tc>
          <w:tcPr>
            <w:tcW w:w="3812" w:type="pct"/>
            <w:gridSpan w:val="3"/>
            <w:noWrap w:val="0"/>
            <w:vAlign w:val="center"/>
          </w:tcPr>
          <w:p w14:paraId="41850C76">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u w:val="none"/>
                <w14:textFill>
                  <w14:solidFill>
                    <w14:schemeClr w14:val="tx1"/>
                  </w14:solidFill>
                </w14:textFill>
              </w:rPr>
              <w:t>内蒙古自治区</w:t>
            </w:r>
            <w:r>
              <w:rPr>
                <w:rFonts w:hint="default" w:ascii="Times New Roman" w:hAnsi="Times New Roman" w:eastAsia="宋体" w:cs="Times New Roman"/>
                <w:color w:val="000000" w:themeColor="text1"/>
                <w:szCs w:val="21"/>
                <w:highlight w:val="none"/>
                <w:u w:val="none"/>
                <w:lang w:val="en-US" w:eastAsia="zh-CN"/>
                <w14:textFill>
                  <w14:solidFill>
                    <w14:schemeClr w14:val="tx1"/>
                  </w14:solidFill>
                </w14:textFill>
              </w:rPr>
              <w:t>巴彦淖尔市磴口</w:t>
            </w:r>
            <w:r>
              <w:rPr>
                <w:rFonts w:hint="eastAsia" w:cs="Times New Roman"/>
                <w:color w:val="000000" w:themeColor="text1"/>
                <w:szCs w:val="21"/>
                <w:highlight w:val="none"/>
                <w:u w:val="none"/>
                <w:lang w:val="en-US" w:eastAsia="zh-CN"/>
                <w14:textFill>
                  <w14:solidFill>
                    <w14:schemeClr w14:val="tx1"/>
                  </w14:solidFill>
                </w14:textFill>
              </w:rPr>
              <w:t>县补隆淖镇</w:t>
            </w:r>
          </w:p>
        </w:tc>
      </w:tr>
      <w:tr w14:paraId="7A9892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7" w:type="pct"/>
            <w:noWrap w:val="0"/>
            <w:tcMar>
              <w:top w:w="16" w:type="dxa"/>
              <w:left w:w="16" w:type="dxa"/>
              <w:right w:w="16" w:type="dxa"/>
            </w:tcMar>
            <w:vAlign w:val="center"/>
          </w:tcPr>
          <w:p w14:paraId="5D0A57BF">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地理坐标</w:t>
            </w:r>
          </w:p>
        </w:tc>
        <w:tc>
          <w:tcPr>
            <w:tcW w:w="3812" w:type="pct"/>
            <w:gridSpan w:val="3"/>
            <w:noWrap w:val="0"/>
            <w:vAlign w:val="center"/>
          </w:tcPr>
          <w:p w14:paraId="480C3620">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w:t>
            </w:r>
            <w:r>
              <w:rPr>
                <w:rFonts w:hint="eastAsia" w:ascii="Times New Roman" w:hAnsi="Times New Roman" w:eastAsia="宋体" w:cs="Times New Roman"/>
                <w:color w:val="000000" w:themeColor="text1"/>
                <w:szCs w:val="21"/>
                <w:highlight w:val="none"/>
                <w:u w:val="single"/>
                <w:lang w:val="en-US" w:eastAsia="zh-CN"/>
                <w14:textFill>
                  <w14:solidFill>
                    <w14:schemeClr w14:val="tx1"/>
                  </w14:solidFill>
                </w14:textFill>
              </w:rPr>
              <w:t>E</w:t>
            </w:r>
            <w:r>
              <w:rPr>
                <w:rFonts w:hint="default" w:ascii="Times New Roman" w:hAnsi="Times New Roman" w:eastAsia="宋体" w:cs="Times New Roman"/>
                <w:color w:val="000000" w:themeColor="text1"/>
                <w:szCs w:val="21"/>
                <w:highlight w:val="none"/>
                <w:u w:val="single"/>
                <w:lang w:val="en-US" w:eastAsia="zh-CN"/>
                <w14:textFill>
                  <w14:solidFill>
                    <w14:schemeClr w14:val="tx1"/>
                  </w14:solidFill>
                </w14:textFill>
              </w:rPr>
              <w:t>107</w:t>
            </w:r>
            <w:r>
              <w:rPr>
                <w:rFonts w:hint="default" w:ascii="Times New Roman" w:hAnsi="Times New Roman" w:eastAsia="宋体" w:cs="Times New Roman"/>
                <w:color w:val="000000" w:themeColor="text1"/>
                <w:szCs w:val="21"/>
                <w:highlight w:val="none"/>
                <w:u w:val="single"/>
                <w14:textFill>
                  <w14:solidFill>
                    <w14:schemeClr w14:val="tx1"/>
                  </w14:solidFill>
                </w14:textFill>
              </w:rPr>
              <w:t xml:space="preserve"> </w:t>
            </w:r>
            <w:r>
              <w:rPr>
                <w:rFonts w:hint="default" w:ascii="Times New Roman" w:hAnsi="Times New Roman" w:eastAsia="宋体" w:cs="Times New Roman"/>
                <w:color w:val="000000" w:themeColor="text1"/>
                <w:szCs w:val="21"/>
                <w:highlight w:val="none"/>
                <w14:textFill>
                  <w14:solidFill>
                    <w14:schemeClr w14:val="tx1"/>
                  </w14:solidFill>
                </w14:textFill>
              </w:rPr>
              <w:t>度</w:t>
            </w:r>
            <w:r>
              <w:rPr>
                <w:rFonts w:hint="default" w:ascii="Times New Roman" w:hAnsi="Times New Roman" w:eastAsia="宋体" w:cs="Times New Roman"/>
                <w:color w:val="000000" w:themeColor="text1"/>
                <w:szCs w:val="21"/>
                <w:highlight w:val="none"/>
                <w:u w:val="single"/>
                <w14:textFill>
                  <w14:solidFill>
                    <w14:schemeClr w14:val="tx1"/>
                  </w14:solidFill>
                </w14:textFill>
              </w:rPr>
              <w:t xml:space="preserve"> </w:t>
            </w:r>
            <w:r>
              <w:rPr>
                <w:rFonts w:hint="default" w:ascii="Times New Roman" w:hAnsi="Times New Roman" w:eastAsia="宋体" w:cs="Times New Roman"/>
                <w:color w:val="000000" w:themeColor="text1"/>
                <w:szCs w:val="21"/>
                <w:highlight w:val="none"/>
                <w:u w:val="single"/>
                <w:lang w:val="en-US" w:eastAsia="zh-CN"/>
                <w14:textFill>
                  <w14:solidFill>
                    <w14:schemeClr w14:val="tx1"/>
                  </w14:solidFill>
                </w14:textFill>
              </w:rPr>
              <w:t>01</w:t>
            </w:r>
            <w:r>
              <w:rPr>
                <w:rFonts w:hint="default" w:ascii="Times New Roman" w:hAnsi="Times New Roman" w:eastAsia="宋体" w:cs="Times New Roman"/>
                <w:color w:val="000000" w:themeColor="text1"/>
                <w:szCs w:val="21"/>
                <w:highlight w:val="none"/>
                <w:u w:val="single"/>
                <w14:textFill>
                  <w14:solidFill>
                    <w14:schemeClr w14:val="tx1"/>
                  </w14:solidFill>
                </w14:textFill>
              </w:rPr>
              <w:t xml:space="preserve"> </w:t>
            </w:r>
            <w:r>
              <w:rPr>
                <w:rFonts w:hint="default" w:ascii="Times New Roman" w:hAnsi="Times New Roman" w:eastAsia="宋体" w:cs="Times New Roman"/>
                <w:color w:val="000000" w:themeColor="text1"/>
                <w:szCs w:val="21"/>
                <w:highlight w:val="none"/>
                <w14:textFill>
                  <w14:solidFill>
                    <w14:schemeClr w14:val="tx1"/>
                  </w14:solidFill>
                </w14:textFill>
              </w:rPr>
              <w:t>分</w:t>
            </w:r>
            <w:r>
              <w:rPr>
                <w:rFonts w:hint="default" w:ascii="Times New Roman" w:hAnsi="Times New Roman" w:eastAsia="宋体" w:cs="Times New Roman"/>
                <w:color w:val="000000" w:themeColor="text1"/>
                <w:szCs w:val="21"/>
                <w:highlight w:val="none"/>
                <w:u w:val="single"/>
                <w14:textFill>
                  <w14:solidFill>
                    <w14:schemeClr w14:val="tx1"/>
                  </w14:solidFill>
                </w14:textFill>
              </w:rPr>
              <w:t xml:space="preserve"> </w:t>
            </w:r>
            <w:r>
              <w:rPr>
                <w:rFonts w:hint="default" w:ascii="Times New Roman" w:hAnsi="Times New Roman" w:eastAsia="宋体" w:cs="Times New Roman"/>
                <w:color w:val="000000" w:themeColor="text1"/>
                <w:szCs w:val="21"/>
                <w:highlight w:val="none"/>
                <w:u w:val="single"/>
                <w:lang w:val="en-US" w:eastAsia="zh-CN"/>
                <w14:textFill>
                  <w14:solidFill>
                    <w14:schemeClr w14:val="tx1"/>
                  </w14:solidFill>
                </w14:textFill>
              </w:rPr>
              <w:t>0.523</w:t>
            </w:r>
            <w:r>
              <w:rPr>
                <w:rFonts w:hint="default" w:ascii="Times New Roman" w:hAnsi="Times New Roman" w:eastAsia="宋体" w:cs="Times New Roman"/>
                <w:color w:val="000000" w:themeColor="text1"/>
                <w:szCs w:val="21"/>
                <w:highlight w:val="none"/>
                <w:u w:val="single"/>
                <w14:textFill>
                  <w14:solidFill>
                    <w14:schemeClr w14:val="tx1"/>
                  </w14:solidFill>
                </w14:textFill>
              </w:rPr>
              <w:t xml:space="preserve"> </w:t>
            </w:r>
            <w:r>
              <w:rPr>
                <w:rFonts w:hint="default" w:ascii="Times New Roman" w:hAnsi="Times New Roman" w:eastAsia="宋体" w:cs="Times New Roman"/>
                <w:color w:val="000000" w:themeColor="text1"/>
                <w:szCs w:val="21"/>
                <w:highlight w:val="none"/>
                <w14:textFill>
                  <w14:solidFill>
                    <w14:schemeClr w14:val="tx1"/>
                  </w14:solidFill>
                </w14:textFill>
              </w:rPr>
              <w:t>秒，</w:t>
            </w:r>
            <w:r>
              <w:rPr>
                <w:rFonts w:hint="eastAsia" w:ascii="Times New Roman" w:hAnsi="Times New Roman" w:eastAsia="宋体" w:cs="Times New Roman"/>
                <w:color w:val="000000" w:themeColor="text1"/>
                <w:szCs w:val="21"/>
                <w:highlight w:val="none"/>
                <w:u w:val="single"/>
                <w:lang w:val="en-US" w:eastAsia="zh-CN"/>
                <w14:textFill>
                  <w14:solidFill>
                    <w14:schemeClr w14:val="tx1"/>
                  </w14:solidFill>
                </w14:textFill>
              </w:rPr>
              <w:t>N</w:t>
            </w:r>
            <w:r>
              <w:rPr>
                <w:rFonts w:hint="default" w:ascii="Times New Roman" w:hAnsi="Times New Roman" w:eastAsia="宋体" w:cs="Times New Roman"/>
                <w:color w:val="000000" w:themeColor="text1"/>
                <w:szCs w:val="21"/>
                <w:highlight w:val="none"/>
                <w:u w:val="single"/>
                <w:lang w:val="en-US" w:eastAsia="zh-CN"/>
                <w14:textFill>
                  <w14:solidFill>
                    <w14:schemeClr w14:val="tx1"/>
                  </w14:solidFill>
                </w14:textFill>
              </w:rPr>
              <w:t>40</w:t>
            </w:r>
            <w:r>
              <w:rPr>
                <w:rFonts w:hint="default" w:ascii="Times New Roman" w:hAnsi="Times New Roman" w:eastAsia="宋体" w:cs="Times New Roman"/>
                <w:color w:val="000000" w:themeColor="text1"/>
                <w:szCs w:val="21"/>
                <w:highlight w:val="none"/>
                <w:u w:val="single"/>
                <w14:textFill>
                  <w14:solidFill>
                    <w14:schemeClr w14:val="tx1"/>
                  </w14:solidFill>
                </w14:textFill>
              </w:rPr>
              <w:t xml:space="preserve"> </w:t>
            </w:r>
            <w:r>
              <w:rPr>
                <w:rFonts w:hint="default" w:ascii="Times New Roman" w:hAnsi="Times New Roman" w:eastAsia="宋体" w:cs="Times New Roman"/>
                <w:color w:val="000000" w:themeColor="text1"/>
                <w:szCs w:val="21"/>
                <w:highlight w:val="none"/>
                <w14:textFill>
                  <w14:solidFill>
                    <w14:schemeClr w14:val="tx1"/>
                  </w14:solidFill>
                </w14:textFill>
              </w:rPr>
              <w:t>度</w:t>
            </w:r>
            <w:r>
              <w:rPr>
                <w:rFonts w:hint="default" w:ascii="Times New Roman" w:hAnsi="Times New Roman" w:eastAsia="宋体" w:cs="Times New Roman"/>
                <w:color w:val="000000" w:themeColor="text1"/>
                <w:szCs w:val="21"/>
                <w:highlight w:val="none"/>
                <w:u w:val="single"/>
                <w14:textFill>
                  <w14:solidFill>
                    <w14:schemeClr w14:val="tx1"/>
                  </w14:solidFill>
                </w14:textFill>
              </w:rPr>
              <w:t xml:space="preserve"> </w:t>
            </w:r>
            <w:r>
              <w:rPr>
                <w:rFonts w:hint="default" w:ascii="Times New Roman" w:hAnsi="Times New Roman" w:eastAsia="宋体" w:cs="Times New Roman"/>
                <w:color w:val="000000" w:themeColor="text1"/>
                <w:szCs w:val="21"/>
                <w:highlight w:val="none"/>
                <w:u w:val="single"/>
                <w:lang w:val="en-US" w:eastAsia="zh-CN"/>
                <w14:textFill>
                  <w14:solidFill>
                    <w14:schemeClr w14:val="tx1"/>
                  </w14:solidFill>
                </w14:textFill>
              </w:rPr>
              <w:t>24</w:t>
            </w:r>
            <w:r>
              <w:rPr>
                <w:rFonts w:hint="default" w:ascii="Times New Roman" w:hAnsi="Times New Roman" w:eastAsia="宋体" w:cs="Times New Roman"/>
                <w:color w:val="000000" w:themeColor="text1"/>
                <w:szCs w:val="21"/>
                <w:highlight w:val="none"/>
                <w:u w:val="single"/>
                <w14:textFill>
                  <w14:solidFill>
                    <w14:schemeClr w14:val="tx1"/>
                  </w14:solidFill>
                </w14:textFill>
              </w:rPr>
              <w:t xml:space="preserve"> </w:t>
            </w:r>
            <w:r>
              <w:rPr>
                <w:rFonts w:hint="default" w:ascii="Times New Roman" w:hAnsi="Times New Roman" w:eastAsia="宋体" w:cs="Times New Roman"/>
                <w:color w:val="000000" w:themeColor="text1"/>
                <w:szCs w:val="21"/>
                <w:highlight w:val="none"/>
                <w14:textFill>
                  <w14:solidFill>
                    <w14:schemeClr w14:val="tx1"/>
                  </w14:solidFill>
                </w14:textFill>
              </w:rPr>
              <w:t>分</w:t>
            </w:r>
            <w:r>
              <w:rPr>
                <w:rFonts w:hint="default" w:ascii="Times New Roman" w:hAnsi="Times New Roman" w:eastAsia="宋体" w:cs="Times New Roman"/>
                <w:color w:val="000000" w:themeColor="text1"/>
                <w:szCs w:val="21"/>
                <w:highlight w:val="none"/>
                <w:u w:val="single"/>
                <w14:textFill>
                  <w14:solidFill>
                    <w14:schemeClr w14:val="tx1"/>
                  </w14:solidFill>
                </w14:textFill>
              </w:rPr>
              <w:t xml:space="preserve"> </w:t>
            </w:r>
            <w:r>
              <w:rPr>
                <w:rFonts w:hint="default" w:ascii="Times New Roman" w:hAnsi="Times New Roman" w:eastAsia="宋体" w:cs="Times New Roman"/>
                <w:color w:val="000000" w:themeColor="text1"/>
                <w:szCs w:val="21"/>
                <w:highlight w:val="none"/>
                <w:u w:val="single"/>
                <w:lang w:val="en-US" w:eastAsia="zh-CN"/>
                <w14:textFill>
                  <w14:solidFill>
                    <w14:schemeClr w14:val="tx1"/>
                  </w14:solidFill>
                </w14:textFill>
              </w:rPr>
              <w:t>25.001</w:t>
            </w:r>
            <w:r>
              <w:rPr>
                <w:rFonts w:hint="default" w:ascii="Times New Roman" w:hAnsi="Times New Roman" w:eastAsia="宋体" w:cs="Times New Roman"/>
                <w:color w:val="000000" w:themeColor="text1"/>
                <w:szCs w:val="21"/>
                <w:highlight w:val="none"/>
                <w:u w:val="single"/>
                <w14:textFill>
                  <w14:solidFill>
                    <w14:schemeClr w14:val="tx1"/>
                  </w14:solidFill>
                </w14:textFill>
              </w:rPr>
              <w:t xml:space="preserve"> </w:t>
            </w:r>
            <w:r>
              <w:rPr>
                <w:rFonts w:hint="default" w:ascii="Times New Roman" w:hAnsi="Times New Roman" w:eastAsia="宋体" w:cs="Times New Roman"/>
                <w:color w:val="000000" w:themeColor="text1"/>
                <w:szCs w:val="21"/>
                <w:highlight w:val="none"/>
                <w14:textFill>
                  <w14:solidFill>
                    <w14:schemeClr w14:val="tx1"/>
                  </w14:solidFill>
                </w14:textFill>
              </w:rPr>
              <w:t>秒）</w:t>
            </w:r>
          </w:p>
        </w:tc>
      </w:tr>
      <w:tr w14:paraId="05AB7E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187" w:type="pct"/>
            <w:noWrap w:val="0"/>
            <w:tcMar>
              <w:top w:w="16" w:type="dxa"/>
              <w:left w:w="16" w:type="dxa"/>
              <w:right w:w="16" w:type="dxa"/>
            </w:tcMar>
            <w:vAlign w:val="center"/>
          </w:tcPr>
          <w:p w14:paraId="6A9A6E10">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国民经济</w:t>
            </w:r>
          </w:p>
          <w:p w14:paraId="608C4AF4">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行业类别</w:t>
            </w:r>
          </w:p>
        </w:tc>
        <w:tc>
          <w:tcPr>
            <w:tcW w:w="947" w:type="pct"/>
            <w:noWrap w:val="0"/>
            <w:vAlign w:val="center"/>
          </w:tcPr>
          <w:p w14:paraId="40B932CD">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D4620污水处理及其再生利用</w:t>
            </w:r>
          </w:p>
        </w:tc>
        <w:tc>
          <w:tcPr>
            <w:tcW w:w="1125" w:type="pct"/>
            <w:noWrap w:val="0"/>
            <w:vAlign w:val="center"/>
          </w:tcPr>
          <w:p w14:paraId="0458A9F6">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bookmarkStart w:id="3" w:name="_Hlk49843745"/>
            <w:r>
              <w:rPr>
                <w:rFonts w:hint="default" w:ascii="Times New Roman" w:hAnsi="Times New Roman" w:eastAsia="宋体" w:cs="Times New Roman"/>
                <w:color w:val="000000" w:themeColor="text1"/>
                <w:szCs w:val="21"/>
                <w:highlight w:val="none"/>
                <w14:textFill>
                  <w14:solidFill>
                    <w14:schemeClr w14:val="tx1"/>
                  </w14:solidFill>
                </w14:textFill>
              </w:rPr>
              <w:t>建设项目</w:t>
            </w:r>
          </w:p>
          <w:p w14:paraId="644EC23E">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行业类别</w:t>
            </w:r>
            <w:bookmarkEnd w:id="3"/>
          </w:p>
        </w:tc>
        <w:tc>
          <w:tcPr>
            <w:tcW w:w="1738" w:type="pct"/>
            <w:noWrap w:val="0"/>
            <w:vAlign w:val="center"/>
          </w:tcPr>
          <w:p w14:paraId="37E97496">
            <w:pPr>
              <w:keepNext w:val="0"/>
              <w:keepLines w:val="0"/>
              <w:pageBreakBefore w:val="0"/>
              <w:widowControl w:val="0"/>
              <w:kinsoku/>
              <w:wordWrap/>
              <w:overflowPunct/>
              <w:topLinePunct w:val="0"/>
              <w:bidi w:val="0"/>
              <w:adjustRightInd w:val="0"/>
              <w:snapToGrid w:val="0"/>
              <w:spacing w:line="240" w:lineRule="auto"/>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四十三、水的生产和供应业-95、污水处理及其再生利用-新建、扩建日处理10万吨以下500吨及以上城乡污水处理的</w:t>
            </w:r>
          </w:p>
        </w:tc>
      </w:tr>
      <w:tr w14:paraId="6ADF3A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187" w:type="pct"/>
            <w:noWrap w:val="0"/>
            <w:tcMar>
              <w:top w:w="16" w:type="dxa"/>
              <w:left w:w="16" w:type="dxa"/>
              <w:right w:w="16" w:type="dxa"/>
            </w:tcMar>
            <w:vAlign w:val="center"/>
          </w:tcPr>
          <w:p w14:paraId="31C5CDA4">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建设性质</w:t>
            </w:r>
          </w:p>
        </w:tc>
        <w:tc>
          <w:tcPr>
            <w:tcW w:w="947" w:type="pct"/>
            <w:noWrap w:val="0"/>
            <w:vAlign w:val="center"/>
          </w:tcPr>
          <w:p w14:paraId="757629FA">
            <w:pPr>
              <w:keepNext w:val="0"/>
              <w:keepLines w:val="0"/>
              <w:pageBreakBefore w:val="0"/>
              <w:widowControl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14:textFill>
                  <w14:solidFill>
                    <w14:schemeClr w14:val="tx1"/>
                  </w14:solidFill>
                </w14:textFill>
              </w:rPr>
              <w:t>新建（迁建）</w:t>
            </w:r>
          </w:p>
          <w:p w14:paraId="181E3CD5">
            <w:pPr>
              <w:keepNext w:val="0"/>
              <w:keepLines w:val="0"/>
              <w:pageBreakBefore w:val="0"/>
              <w:widowControl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14:textFill>
                  <w14:solidFill>
                    <w14:schemeClr w14:val="tx1"/>
                  </w14:solidFill>
                </w14:textFill>
              </w:rPr>
              <w:t>改建</w:t>
            </w:r>
          </w:p>
          <w:p w14:paraId="51F7B43D">
            <w:pPr>
              <w:keepNext w:val="0"/>
              <w:keepLines w:val="0"/>
              <w:pageBreakBefore w:val="0"/>
              <w:widowControl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14:textFill>
                  <w14:solidFill>
                    <w14:schemeClr w14:val="tx1"/>
                  </w14:solidFill>
                </w14:textFill>
              </w:rPr>
              <w:t>扩建</w:t>
            </w:r>
          </w:p>
          <w:p w14:paraId="5AFAF62C">
            <w:pPr>
              <w:keepNext w:val="0"/>
              <w:keepLines w:val="0"/>
              <w:pageBreakBefore w:val="0"/>
              <w:widowControl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14:textFill>
                  <w14:solidFill>
                    <w14:schemeClr w14:val="tx1"/>
                  </w14:solidFill>
                </w14:textFill>
              </w:rPr>
              <w:t>技术改造</w:t>
            </w:r>
          </w:p>
        </w:tc>
        <w:tc>
          <w:tcPr>
            <w:tcW w:w="1125" w:type="pct"/>
            <w:noWrap w:val="0"/>
            <w:vAlign w:val="center"/>
          </w:tcPr>
          <w:p w14:paraId="4A31DCA2">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建设项目</w:t>
            </w:r>
          </w:p>
          <w:p w14:paraId="2375DF8F">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申报情形</w:t>
            </w:r>
          </w:p>
        </w:tc>
        <w:tc>
          <w:tcPr>
            <w:tcW w:w="1738" w:type="pct"/>
            <w:noWrap w:val="0"/>
            <w:vAlign w:val="center"/>
          </w:tcPr>
          <w:p w14:paraId="62C89A26">
            <w:pPr>
              <w:keepNext w:val="0"/>
              <w:keepLines w:val="0"/>
              <w:pageBreakBefore w:val="0"/>
              <w:widowControl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14:textFill>
                  <w14:solidFill>
                    <w14:schemeClr w14:val="tx1"/>
                  </w14:solidFill>
                </w14:textFill>
              </w:rPr>
              <w:t>首次申报项目</w:t>
            </w:r>
          </w:p>
          <w:p w14:paraId="2E48EE19">
            <w:pPr>
              <w:keepNext w:val="0"/>
              <w:keepLines w:val="0"/>
              <w:pageBreakBefore w:val="0"/>
              <w:widowControl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14:textFill>
                  <w14:solidFill>
                    <w14:schemeClr w14:val="tx1"/>
                  </w14:solidFill>
                </w14:textFill>
              </w:rPr>
              <w:t>不予批准后再次申报项目</w:t>
            </w:r>
          </w:p>
          <w:p w14:paraId="74ADC9CC">
            <w:pPr>
              <w:keepNext w:val="0"/>
              <w:keepLines w:val="0"/>
              <w:pageBreakBefore w:val="0"/>
              <w:widowControl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14:textFill>
                  <w14:solidFill>
                    <w14:schemeClr w14:val="tx1"/>
                  </w14:solidFill>
                </w14:textFill>
              </w:rPr>
              <w:t>超五年重新审核项目</w:t>
            </w:r>
          </w:p>
          <w:p w14:paraId="239DDCE0">
            <w:pPr>
              <w:keepNext w:val="0"/>
              <w:keepLines w:val="0"/>
              <w:pageBreakBefore w:val="0"/>
              <w:widowControl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14:textFill>
                  <w14:solidFill>
                    <w14:schemeClr w14:val="tx1"/>
                  </w14:solidFill>
                </w14:textFill>
              </w:rPr>
              <w:t>重大变动重新报批项目</w:t>
            </w:r>
          </w:p>
        </w:tc>
      </w:tr>
      <w:tr w14:paraId="1D138F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187" w:type="pct"/>
            <w:noWrap w:val="0"/>
            <w:tcMar>
              <w:top w:w="16" w:type="dxa"/>
              <w:left w:w="16" w:type="dxa"/>
              <w:right w:w="16" w:type="dxa"/>
            </w:tcMar>
            <w:vAlign w:val="center"/>
          </w:tcPr>
          <w:p w14:paraId="15DE6F1D">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项目审批（核准/</w:t>
            </w:r>
          </w:p>
          <w:p w14:paraId="7EF68EC0">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备案）部门（选填）</w:t>
            </w:r>
          </w:p>
        </w:tc>
        <w:tc>
          <w:tcPr>
            <w:tcW w:w="947" w:type="pct"/>
            <w:noWrap w:val="0"/>
            <w:vAlign w:val="center"/>
          </w:tcPr>
          <w:p w14:paraId="455AF2F7">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color w:val="000000" w:themeColor="text1"/>
                <w:szCs w:val="21"/>
                <w:highlight w:val="none"/>
                <w:lang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磴口县发展和改革委员会</w:t>
            </w:r>
          </w:p>
        </w:tc>
        <w:tc>
          <w:tcPr>
            <w:tcW w:w="1125" w:type="pct"/>
            <w:noWrap w:val="0"/>
            <w:vAlign w:val="center"/>
          </w:tcPr>
          <w:p w14:paraId="2661F996">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项目审批（核准/</w:t>
            </w:r>
          </w:p>
          <w:p w14:paraId="33C20F37">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备案）文号（选填）</w:t>
            </w:r>
          </w:p>
        </w:tc>
        <w:tc>
          <w:tcPr>
            <w:tcW w:w="1738" w:type="pct"/>
            <w:noWrap w:val="0"/>
            <w:vAlign w:val="center"/>
          </w:tcPr>
          <w:p w14:paraId="254AE7D5">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2510-150822-04-02-923310</w:t>
            </w:r>
          </w:p>
        </w:tc>
      </w:tr>
      <w:tr w14:paraId="453F21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7" w:type="pct"/>
            <w:noWrap w:val="0"/>
            <w:tcMar>
              <w:top w:w="16" w:type="dxa"/>
              <w:left w:w="16" w:type="dxa"/>
              <w:right w:w="16" w:type="dxa"/>
            </w:tcMar>
            <w:vAlign w:val="center"/>
          </w:tcPr>
          <w:p w14:paraId="29C2173D">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总投资（万元）</w:t>
            </w:r>
          </w:p>
        </w:tc>
        <w:tc>
          <w:tcPr>
            <w:tcW w:w="947" w:type="pct"/>
            <w:noWrap w:val="0"/>
            <w:vAlign w:val="center"/>
          </w:tcPr>
          <w:p w14:paraId="629D363B">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5480.97</w:t>
            </w:r>
          </w:p>
        </w:tc>
        <w:tc>
          <w:tcPr>
            <w:tcW w:w="1125" w:type="pct"/>
            <w:noWrap w:val="0"/>
            <w:tcMar>
              <w:top w:w="16" w:type="dxa"/>
              <w:left w:w="16" w:type="dxa"/>
              <w:right w:w="16" w:type="dxa"/>
            </w:tcMar>
            <w:vAlign w:val="center"/>
          </w:tcPr>
          <w:p w14:paraId="039A88FD">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环保投资（万元）</w:t>
            </w:r>
          </w:p>
        </w:tc>
        <w:tc>
          <w:tcPr>
            <w:tcW w:w="1738" w:type="pct"/>
            <w:noWrap w:val="0"/>
            <w:vAlign w:val="center"/>
          </w:tcPr>
          <w:p w14:paraId="3641766F">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5480.97</w:t>
            </w:r>
          </w:p>
        </w:tc>
      </w:tr>
      <w:tr w14:paraId="4BF751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7" w:type="pct"/>
            <w:noWrap w:val="0"/>
            <w:tcMar>
              <w:top w:w="16" w:type="dxa"/>
              <w:left w:w="16" w:type="dxa"/>
              <w:right w:w="16" w:type="dxa"/>
            </w:tcMar>
            <w:vAlign w:val="center"/>
          </w:tcPr>
          <w:p w14:paraId="39449608">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环保投资占比（%）</w:t>
            </w:r>
          </w:p>
        </w:tc>
        <w:tc>
          <w:tcPr>
            <w:tcW w:w="947" w:type="pct"/>
            <w:noWrap w:val="0"/>
            <w:vAlign w:val="center"/>
          </w:tcPr>
          <w:p w14:paraId="6399D0D8">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100</w:t>
            </w:r>
          </w:p>
        </w:tc>
        <w:tc>
          <w:tcPr>
            <w:tcW w:w="1125" w:type="pct"/>
            <w:noWrap w:val="0"/>
            <w:tcMar>
              <w:top w:w="16" w:type="dxa"/>
              <w:left w:w="16" w:type="dxa"/>
              <w:right w:w="16" w:type="dxa"/>
            </w:tcMar>
            <w:vAlign w:val="center"/>
          </w:tcPr>
          <w:p w14:paraId="2F32FFD5">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施工工期</w:t>
            </w:r>
          </w:p>
        </w:tc>
        <w:tc>
          <w:tcPr>
            <w:tcW w:w="1738" w:type="pct"/>
            <w:noWrap w:val="0"/>
            <w:vAlign w:val="center"/>
          </w:tcPr>
          <w:p w14:paraId="09EED34A">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1个月</w:t>
            </w:r>
          </w:p>
        </w:tc>
      </w:tr>
      <w:tr w14:paraId="4B11A6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7" w:type="pct"/>
            <w:noWrap w:val="0"/>
            <w:tcMar>
              <w:top w:w="16" w:type="dxa"/>
              <w:left w:w="16" w:type="dxa"/>
              <w:right w:w="16" w:type="dxa"/>
            </w:tcMar>
            <w:vAlign w:val="center"/>
          </w:tcPr>
          <w:p w14:paraId="2086EA02">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是否开工建设</w:t>
            </w:r>
          </w:p>
        </w:tc>
        <w:tc>
          <w:tcPr>
            <w:tcW w:w="947" w:type="pct"/>
            <w:noWrap w:val="0"/>
            <w:vAlign w:val="center"/>
          </w:tcPr>
          <w:p w14:paraId="7F145870">
            <w:pPr>
              <w:keepNext w:val="0"/>
              <w:keepLines w:val="0"/>
              <w:pageBreakBefore w:val="0"/>
              <w:widowControl w:val="0"/>
              <w:kinsoku/>
              <w:wordWrap/>
              <w:overflowPunct/>
              <w:topLinePunct w:val="0"/>
              <w:bidi w:val="0"/>
              <w:adjustRightInd w:val="0"/>
              <w:snapToGrid w:val="0"/>
              <w:spacing w:line="240" w:lineRule="auto"/>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14:textFill>
                  <w14:solidFill>
                    <w14:schemeClr w14:val="tx1"/>
                  </w14:solidFill>
                </w14:textFill>
              </w:rPr>
              <w:t>否</w:t>
            </w:r>
          </w:p>
          <w:p w14:paraId="34337472">
            <w:pPr>
              <w:keepNext w:val="0"/>
              <w:keepLines w:val="0"/>
              <w:pageBreakBefore w:val="0"/>
              <w:widowControl w:val="0"/>
              <w:kinsoku/>
              <w:wordWrap/>
              <w:overflowPunct/>
              <w:topLinePunct w:val="0"/>
              <w:bidi w:val="0"/>
              <w:adjustRightInd w:val="0"/>
              <w:snapToGrid w:val="0"/>
              <w:spacing w:line="240" w:lineRule="auto"/>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14:textFill>
                  <w14:solidFill>
                    <w14:schemeClr w14:val="tx1"/>
                  </w14:solidFill>
                </w14:textFill>
              </w:rPr>
              <w:t>是：</w:t>
            </w:r>
          </w:p>
        </w:tc>
        <w:tc>
          <w:tcPr>
            <w:tcW w:w="1125" w:type="pct"/>
            <w:noWrap w:val="0"/>
            <w:tcMar>
              <w:top w:w="16" w:type="dxa"/>
              <w:left w:w="16" w:type="dxa"/>
              <w:right w:w="16" w:type="dxa"/>
            </w:tcMar>
            <w:vAlign w:val="center"/>
          </w:tcPr>
          <w:p w14:paraId="04B76FC1">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pacing w:val="-6"/>
                <w:szCs w:val="21"/>
                <w:highlight w:val="none"/>
                <w14:textFill>
                  <w14:solidFill>
                    <w14:schemeClr w14:val="tx1"/>
                  </w14:solidFill>
                </w14:textFill>
              </w:rPr>
            </w:pPr>
            <w:r>
              <w:rPr>
                <w:rFonts w:hint="default" w:ascii="Times New Roman" w:hAnsi="Times New Roman" w:eastAsia="宋体" w:cs="Times New Roman"/>
                <w:color w:val="000000" w:themeColor="text1"/>
                <w:spacing w:val="-6"/>
                <w:szCs w:val="21"/>
                <w:highlight w:val="none"/>
                <w14:textFill>
                  <w14:solidFill>
                    <w14:schemeClr w14:val="tx1"/>
                  </w14:solidFill>
                </w14:textFill>
              </w:rPr>
              <w:t>用地（用海）</w:t>
            </w:r>
          </w:p>
          <w:p w14:paraId="0CBD9088">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pacing w:val="-6"/>
                <w:szCs w:val="21"/>
                <w:highlight w:val="none"/>
                <w14:textFill>
                  <w14:solidFill>
                    <w14:schemeClr w14:val="tx1"/>
                  </w14:solidFill>
                </w14:textFill>
              </w:rPr>
              <w:t>面积（m</w:t>
            </w:r>
            <w:r>
              <w:rPr>
                <w:rFonts w:hint="default" w:ascii="Times New Roman" w:hAnsi="Times New Roman" w:eastAsia="宋体" w:cs="Times New Roman"/>
                <w:color w:val="000000" w:themeColor="text1"/>
                <w:spacing w:val="-6"/>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pacing w:val="-6"/>
                <w:szCs w:val="21"/>
                <w:highlight w:val="none"/>
                <w14:textFill>
                  <w14:solidFill>
                    <w14:schemeClr w14:val="tx1"/>
                  </w14:solidFill>
                </w14:textFill>
              </w:rPr>
              <w:t>）</w:t>
            </w:r>
          </w:p>
        </w:tc>
        <w:tc>
          <w:tcPr>
            <w:tcW w:w="1738" w:type="pct"/>
            <w:noWrap w:val="0"/>
            <w:vAlign w:val="center"/>
          </w:tcPr>
          <w:p w14:paraId="3A37BB72">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3395</w:t>
            </w:r>
          </w:p>
        </w:tc>
      </w:tr>
      <w:tr w14:paraId="486F72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87" w:type="pct"/>
            <w:noWrap w:val="0"/>
            <w:vAlign w:val="center"/>
          </w:tcPr>
          <w:p w14:paraId="27719F8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专项评价设置情况</w:t>
            </w:r>
          </w:p>
        </w:tc>
        <w:tc>
          <w:tcPr>
            <w:tcW w:w="3812" w:type="pct"/>
            <w:gridSpan w:val="3"/>
            <w:noWrap w:val="0"/>
            <w:vAlign w:val="center"/>
          </w:tcPr>
          <w:p w14:paraId="0CA98A19">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本项目设置地表水专项评价，根据《建设项目环境影响报告表编制技术指南（污染影响类）》表1专项评价设置原则表中“新增废水直排的污水集中处理厂”需开展地表水专项评价的规定，本项目属于污水集中处理厂，现有尾水排放量</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1.5</w:t>
            </w:r>
            <w:r>
              <w:rPr>
                <w:rFonts w:hint="default" w:ascii="Times New Roman" w:hAnsi="Times New Roman" w:eastAsia="宋体" w:cs="Times New Roman"/>
                <w:color w:val="000000" w:themeColor="text1"/>
                <w:kern w:val="0"/>
                <w:szCs w:val="21"/>
                <w:highlight w:val="none"/>
                <w14:textFill>
                  <w14:solidFill>
                    <w14:schemeClr w14:val="tx1"/>
                  </w14:solidFill>
                </w14:textFill>
              </w:rPr>
              <w:t>万m</w:t>
            </w:r>
            <w:r>
              <w:rPr>
                <w:rFonts w:hint="default" w:ascii="Times New Roman" w:hAnsi="Times New Roman" w:eastAsia="宋体" w:cs="Times New Roman"/>
                <w:color w:val="000000" w:themeColor="text1"/>
                <w:kern w:val="0"/>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kern w:val="0"/>
                <w:szCs w:val="21"/>
                <w:highlight w:val="none"/>
                <w14:textFill>
                  <w14:solidFill>
                    <w14:schemeClr w14:val="tx1"/>
                  </w14:solidFill>
                </w14:textFill>
              </w:rPr>
              <w:t>/d，本项目实施后处理达标后尾水排放量增加至</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kern w:val="0"/>
                <w:szCs w:val="21"/>
                <w:highlight w:val="none"/>
                <w14:textFill>
                  <w14:solidFill>
                    <w14:schemeClr w14:val="tx1"/>
                  </w14:solidFill>
                </w14:textFill>
              </w:rPr>
              <w:t>万m</w:t>
            </w:r>
            <w:r>
              <w:rPr>
                <w:rFonts w:hint="default" w:ascii="Times New Roman" w:hAnsi="Times New Roman" w:eastAsia="宋体" w:cs="Times New Roman"/>
                <w:color w:val="000000" w:themeColor="text1"/>
                <w:kern w:val="0"/>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kern w:val="0"/>
                <w:szCs w:val="21"/>
                <w:highlight w:val="none"/>
                <w14:textFill>
                  <w14:solidFill>
                    <w14:schemeClr w14:val="tx1"/>
                  </w14:solidFill>
                </w14:textFill>
              </w:rPr>
              <w:t>/d，应开展地表水专项评价。</w:t>
            </w:r>
          </w:p>
        </w:tc>
      </w:tr>
      <w:tr w14:paraId="5E5B7D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87" w:type="pct"/>
            <w:noWrap w:val="0"/>
            <w:vAlign w:val="center"/>
          </w:tcPr>
          <w:p w14:paraId="0DA9B28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规划情况</w:t>
            </w:r>
          </w:p>
        </w:tc>
        <w:tc>
          <w:tcPr>
            <w:tcW w:w="3812" w:type="pct"/>
            <w:gridSpan w:val="3"/>
            <w:noWrap w:val="0"/>
            <w:vAlign w:val="center"/>
          </w:tcPr>
          <w:p w14:paraId="17AC7F3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无</w:t>
            </w:r>
          </w:p>
        </w:tc>
      </w:tr>
      <w:tr w14:paraId="13B365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87" w:type="pct"/>
            <w:noWrap w:val="0"/>
            <w:vAlign w:val="center"/>
          </w:tcPr>
          <w:p w14:paraId="50848012">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规划环境影响</w:t>
            </w:r>
          </w:p>
          <w:p w14:paraId="6EE50130">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评价情况</w:t>
            </w:r>
          </w:p>
        </w:tc>
        <w:tc>
          <w:tcPr>
            <w:tcW w:w="3812" w:type="pct"/>
            <w:gridSpan w:val="3"/>
            <w:noWrap w:val="0"/>
            <w:vAlign w:val="center"/>
          </w:tcPr>
          <w:p w14:paraId="575889B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无</w:t>
            </w:r>
          </w:p>
        </w:tc>
      </w:tr>
      <w:tr w14:paraId="1D5211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87" w:type="pct"/>
            <w:noWrap w:val="0"/>
            <w:vAlign w:val="center"/>
          </w:tcPr>
          <w:p w14:paraId="643D212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规划及规划环境</w:t>
            </w:r>
          </w:p>
          <w:p w14:paraId="49BC2B2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影响评价符合性分析</w:t>
            </w:r>
          </w:p>
        </w:tc>
        <w:tc>
          <w:tcPr>
            <w:tcW w:w="3812" w:type="pct"/>
            <w:gridSpan w:val="3"/>
            <w:noWrap w:val="0"/>
            <w:vAlign w:val="center"/>
          </w:tcPr>
          <w:p w14:paraId="62286F3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无</w:t>
            </w:r>
          </w:p>
        </w:tc>
      </w:tr>
      <w:tr w14:paraId="364BF2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87" w:type="pct"/>
            <w:noWrap w:val="0"/>
            <w:vAlign w:val="center"/>
          </w:tcPr>
          <w:p w14:paraId="4840B928">
            <w:pPr>
              <w:autoSpaceDE w:val="0"/>
              <w:autoSpaceDN w:val="0"/>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其他符合性分析</w:t>
            </w:r>
          </w:p>
        </w:tc>
        <w:tc>
          <w:tcPr>
            <w:tcW w:w="3812" w:type="pct"/>
            <w:gridSpan w:val="3"/>
            <w:noWrap w:val="0"/>
            <w:vAlign w:val="center"/>
          </w:tcPr>
          <w:p w14:paraId="1E413BE3">
            <w:pPr>
              <w:autoSpaceDE w:val="0"/>
              <w:autoSpaceDN w:val="0"/>
              <w:adjustRightInd w:val="0"/>
              <w:snapToGrid w:val="0"/>
              <w:spacing w:line="360" w:lineRule="auto"/>
              <w:rPr>
                <w:rFonts w:hint="default" w:ascii="Times New Roman" w:hAnsi="Times New Roman" w:eastAsia="宋体" w:cs="Times New Roman"/>
                <w:b/>
                <w:color w:val="000000" w:themeColor="text1"/>
                <w:kern w:val="0"/>
                <w:sz w:val="24"/>
                <w:highlight w:val="none"/>
                <w14:textFill>
                  <w14:solidFill>
                    <w14:schemeClr w14:val="tx1"/>
                  </w14:solidFill>
                </w14:textFill>
              </w:rPr>
            </w:pPr>
            <w:r>
              <w:rPr>
                <w:rFonts w:hint="eastAsia" w:cs="Times New Roman"/>
                <w:b/>
                <w:color w:val="000000" w:themeColor="text1"/>
                <w:kern w:val="0"/>
                <w:sz w:val="24"/>
                <w:highlight w:val="none"/>
                <w:lang w:val="en-US" w:eastAsia="zh-CN"/>
                <w14:textFill>
                  <w14:solidFill>
                    <w14:schemeClr w14:val="tx1"/>
                  </w14:solidFill>
                </w14:textFill>
              </w:rPr>
              <w:t>1</w:t>
            </w:r>
            <w:r>
              <w:rPr>
                <w:rFonts w:hint="default" w:ascii="Times New Roman" w:hAnsi="Times New Roman" w:eastAsia="宋体" w:cs="Times New Roman"/>
                <w:b/>
                <w:color w:val="000000" w:themeColor="text1"/>
                <w:kern w:val="0"/>
                <w:sz w:val="24"/>
                <w:highlight w:val="none"/>
                <w14:textFill>
                  <w14:solidFill>
                    <w14:schemeClr w14:val="tx1"/>
                  </w14:solidFill>
                </w14:textFill>
              </w:rPr>
              <w:t>、产业政策及选址符合性分析</w:t>
            </w:r>
          </w:p>
          <w:p w14:paraId="227BC2F6">
            <w:pPr>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eastAsia" w:cs="Times New Roman"/>
                <w:color w:val="000000" w:themeColor="text1"/>
                <w:kern w:val="0"/>
                <w:sz w:val="24"/>
                <w:highlight w:val="none"/>
                <w:lang w:eastAsia="zh-CN"/>
                <w14:textFill>
                  <w14:solidFill>
                    <w14:schemeClr w14:val="tx1"/>
                  </w14:solidFill>
                </w14:textFill>
              </w:rPr>
              <w:t>（</w:t>
            </w:r>
            <w:r>
              <w:rPr>
                <w:rFonts w:hint="eastAsia" w:cs="Times New Roman"/>
                <w:color w:val="000000" w:themeColor="text1"/>
                <w:kern w:val="0"/>
                <w:sz w:val="24"/>
                <w:highlight w:val="none"/>
                <w:lang w:val="en-US" w:eastAsia="zh-CN"/>
                <w14:textFill>
                  <w14:solidFill>
                    <w14:schemeClr w14:val="tx1"/>
                  </w14:solidFill>
                </w14:textFill>
              </w:rPr>
              <w:t>1</w:t>
            </w:r>
            <w:r>
              <w:rPr>
                <w:rFonts w:hint="eastAsia" w:cs="Times New Roman"/>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highlight w:val="none"/>
                <w14:textFill>
                  <w14:solidFill>
                    <w14:schemeClr w14:val="tx1"/>
                  </w14:solidFill>
                </w14:textFill>
              </w:rPr>
              <w:t>产业政策相符性</w:t>
            </w:r>
          </w:p>
          <w:p w14:paraId="489CF6A7">
            <w:pPr>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本项目为污水处理厂</w:t>
            </w:r>
            <w:r>
              <w:rPr>
                <w:rFonts w:hint="eastAsia" w:cs="Times New Roman"/>
                <w:color w:val="000000" w:themeColor="text1"/>
                <w:kern w:val="0"/>
                <w:sz w:val="24"/>
                <w:highlight w:val="none"/>
                <w:lang w:val="en-US" w:eastAsia="zh-CN"/>
                <w14:textFill>
                  <w14:solidFill>
                    <w14:schemeClr w14:val="tx1"/>
                  </w14:solidFill>
                </w14:textFill>
              </w:rPr>
              <w:t>改扩建</w:t>
            </w:r>
            <w:r>
              <w:rPr>
                <w:rFonts w:hint="default" w:ascii="Times New Roman" w:hAnsi="Times New Roman" w:eastAsia="宋体" w:cs="Times New Roman"/>
                <w:color w:val="000000" w:themeColor="text1"/>
                <w:kern w:val="0"/>
                <w:sz w:val="24"/>
                <w:highlight w:val="none"/>
                <w14:textFill>
                  <w14:solidFill>
                    <w14:schemeClr w14:val="tx1"/>
                  </w14:solidFill>
                </w14:textFill>
              </w:rPr>
              <w:t>项目，根据《产业结构调整指导目录（2024年本）》项目属于“鼓励类-三十八、环境保护与资源节约综合利用</w:t>
            </w:r>
            <w:r>
              <w:rPr>
                <w:rFonts w:hint="eastAsia" w:cs="Times New Roman"/>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highlight w:val="none"/>
                <w14:textFill>
                  <w14:solidFill>
                    <w14:schemeClr w14:val="tx1"/>
                  </w14:solidFill>
                </w14:textFill>
              </w:rPr>
              <w:t>三废</w:t>
            </w:r>
            <w:r>
              <w:rPr>
                <w:rFonts w:hint="eastAsia" w:cs="Times New Roman"/>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highlight w:val="none"/>
                <w14:textFill>
                  <w14:solidFill>
                    <w14:schemeClr w14:val="tx1"/>
                  </w14:solidFill>
                </w14:textFill>
              </w:rPr>
              <w:t>综合利用及治理技术、装备和工程”，属于鼓励类项目，因此本项目的建设符合产业政策要求。</w:t>
            </w:r>
          </w:p>
          <w:p w14:paraId="271CED73">
            <w:pPr>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eastAsia" w:cs="Times New Roman"/>
                <w:color w:val="000000" w:themeColor="text1"/>
                <w:kern w:val="0"/>
                <w:sz w:val="24"/>
                <w:highlight w:val="none"/>
                <w:lang w:eastAsia="zh-CN"/>
                <w14:textFill>
                  <w14:solidFill>
                    <w14:schemeClr w14:val="tx1"/>
                  </w14:solidFill>
                </w14:textFill>
              </w:rPr>
              <w:t>（</w:t>
            </w:r>
            <w:r>
              <w:rPr>
                <w:rFonts w:hint="eastAsia" w:cs="Times New Roman"/>
                <w:color w:val="000000" w:themeColor="text1"/>
                <w:kern w:val="0"/>
                <w:sz w:val="24"/>
                <w:highlight w:val="none"/>
                <w:lang w:val="en-US" w:eastAsia="zh-CN"/>
                <w14:textFill>
                  <w14:solidFill>
                    <w14:schemeClr w14:val="tx1"/>
                  </w14:solidFill>
                </w14:textFill>
              </w:rPr>
              <w:t>2</w:t>
            </w:r>
            <w:r>
              <w:rPr>
                <w:rFonts w:hint="eastAsia" w:cs="Times New Roman"/>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highlight w:val="none"/>
                <w14:textFill>
                  <w14:solidFill>
                    <w14:schemeClr w14:val="tx1"/>
                  </w14:solidFill>
                </w14:textFill>
              </w:rPr>
              <w:t>选址合理性分析</w:t>
            </w:r>
          </w:p>
          <w:p w14:paraId="4E11268C">
            <w:pPr>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本项目不涉及工程搬迁及环保搬迁，仅在原有厂址进行</w:t>
            </w:r>
            <w:r>
              <w:rPr>
                <w:rFonts w:hint="eastAsia" w:cs="Times New Roman"/>
                <w:color w:val="000000" w:themeColor="text1"/>
                <w:kern w:val="0"/>
                <w:sz w:val="24"/>
                <w:highlight w:val="none"/>
                <w:lang w:val="en-US" w:eastAsia="zh-CN"/>
                <w14:textFill>
                  <w14:solidFill>
                    <w14:schemeClr w14:val="tx1"/>
                  </w14:solidFill>
                </w14:textFill>
              </w:rPr>
              <w:t>改扩建</w:t>
            </w:r>
            <w:r>
              <w:rPr>
                <w:rFonts w:hint="default" w:ascii="Times New Roman" w:hAnsi="Times New Roman" w:eastAsia="宋体" w:cs="Times New Roman"/>
                <w:color w:val="000000" w:themeColor="text1"/>
                <w:kern w:val="0"/>
                <w:sz w:val="24"/>
                <w:highlight w:val="none"/>
                <w14:textFill>
                  <w14:solidFill>
                    <w14:schemeClr w14:val="tx1"/>
                  </w14:solidFill>
                </w14:textFill>
              </w:rPr>
              <w:t>；选址与周边环境相容，无安全、环境制约因素。本项目生产工艺简单、无重大污染物产生，按评价采取相关防治措施后，不会对所在区域环境质量造成不可接受的影响。</w:t>
            </w:r>
          </w:p>
          <w:p w14:paraId="2C70B1EF">
            <w:pPr>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综上分析，选址合理。</w:t>
            </w:r>
          </w:p>
          <w:p w14:paraId="36C121E4">
            <w:pPr>
              <w:autoSpaceDE w:val="0"/>
              <w:autoSpaceDN w:val="0"/>
              <w:adjustRightInd w:val="0"/>
              <w:snapToGrid w:val="0"/>
              <w:spacing w:line="360" w:lineRule="auto"/>
              <w:rPr>
                <w:rFonts w:hint="default" w:ascii="Times New Roman" w:hAnsi="Times New Roman" w:eastAsia="宋体" w:cs="Times New Roman"/>
                <w:b/>
                <w:color w:val="000000" w:themeColor="text1"/>
                <w:kern w:val="0"/>
                <w:sz w:val="24"/>
                <w:highlight w:val="none"/>
                <w14:textFill>
                  <w14:solidFill>
                    <w14:schemeClr w14:val="tx1"/>
                  </w14:solidFill>
                </w14:textFill>
              </w:rPr>
            </w:pPr>
            <w:r>
              <w:rPr>
                <w:rFonts w:hint="eastAsia" w:cs="Times New Roman"/>
                <w:b/>
                <w:color w:val="000000" w:themeColor="text1"/>
                <w:kern w:val="0"/>
                <w:sz w:val="24"/>
                <w:highlight w:val="none"/>
                <w:lang w:val="en-US" w:eastAsia="zh-CN"/>
                <w14:textFill>
                  <w14:solidFill>
                    <w14:schemeClr w14:val="tx1"/>
                  </w14:solidFill>
                </w14:textFill>
              </w:rPr>
              <w:t>2</w:t>
            </w:r>
            <w:r>
              <w:rPr>
                <w:rFonts w:hint="default" w:ascii="Times New Roman" w:hAnsi="Times New Roman" w:eastAsia="宋体" w:cs="Times New Roman"/>
                <w:b/>
                <w:color w:val="000000" w:themeColor="text1"/>
                <w:kern w:val="0"/>
                <w:sz w:val="24"/>
                <w:highlight w:val="none"/>
                <w14:textFill>
                  <w14:solidFill>
                    <w14:schemeClr w14:val="tx1"/>
                  </w14:solidFill>
                </w14:textFill>
              </w:rPr>
              <w:t>、“三线一单”符合性分析</w:t>
            </w:r>
          </w:p>
          <w:p w14:paraId="2857F1BD">
            <w:pPr>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本项目位于内蒙古自治区</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巴彦淖尔市</w:t>
            </w:r>
            <w:r>
              <w:rPr>
                <w:rFonts w:hint="eastAsia" w:cs="Times New Roman"/>
                <w:color w:val="000000" w:themeColor="text1"/>
                <w:kern w:val="0"/>
                <w:sz w:val="24"/>
                <w:highlight w:val="none"/>
                <w:lang w:val="en-US" w:eastAsia="zh-CN"/>
                <w14:textFill>
                  <w14:solidFill>
                    <w14:schemeClr w14:val="tx1"/>
                  </w14:solidFill>
                </w14:textFill>
              </w:rPr>
              <w:t>磴口县补隆淖镇</w:t>
            </w:r>
            <w:r>
              <w:rPr>
                <w:rFonts w:hint="default" w:ascii="Times New Roman" w:hAnsi="Times New Roman" w:eastAsia="宋体" w:cs="Times New Roman"/>
                <w:color w:val="000000" w:themeColor="text1"/>
                <w:kern w:val="0"/>
                <w:sz w:val="24"/>
                <w:highlight w:val="none"/>
                <w14:textFill>
                  <w14:solidFill>
                    <w14:schemeClr w14:val="tx1"/>
                  </w14:solidFill>
                </w14:textFill>
              </w:rPr>
              <w:t>。根据202</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kern w:val="0"/>
                <w:sz w:val="24"/>
                <w:highlight w:val="none"/>
                <w14:textFill>
                  <w14:solidFill>
                    <w14:schemeClr w14:val="tx1"/>
                  </w14:solidFill>
                </w14:textFill>
              </w:rPr>
              <w:t>年</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12</w:t>
            </w:r>
            <w:r>
              <w:rPr>
                <w:rFonts w:hint="default" w:ascii="Times New Roman" w:hAnsi="Times New Roman" w:eastAsia="宋体" w:cs="Times New Roman"/>
                <w:color w:val="000000" w:themeColor="text1"/>
                <w:kern w:val="0"/>
                <w:sz w:val="24"/>
                <w:highlight w:val="none"/>
                <w14:textFill>
                  <w14:solidFill>
                    <w14:schemeClr w14:val="tx1"/>
                  </w14:solidFill>
                </w14:textFill>
              </w:rPr>
              <w:t>月</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26</w:t>
            </w:r>
            <w:r>
              <w:rPr>
                <w:rFonts w:hint="default" w:ascii="Times New Roman" w:hAnsi="Times New Roman" w:eastAsia="宋体" w:cs="Times New Roman"/>
                <w:color w:val="000000" w:themeColor="text1"/>
                <w:kern w:val="0"/>
                <w:sz w:val="24"/>
                <w:highlight w:val="none"/>
                <w14:textFill>
                  <w14:solidFill>
                    <w14:schemeClr w14:val="tx1"/>
                  </w14:solidFill>
                </w14:textFill>
              </w:rPr>
              <w:t>日</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巴彦淖尔市</w:t>
            </w:r>
            <w:r>
              <w:rPr>
                <w:rFonts w:hint="default" w:ascii="Times New Roman" w:hAnsi="Times New Roman" w:eastAsia="宋体" w:cs="Times New Roman"/>
                <w:color w:val="000000" w:themeColor="text1"/>
                <w:kern w:val="0"/>
                <w:sz w:val="24"/>
                <w:highlight w:val="none"/>
                <w14:textFill>
                  <w14:solidFill>
                    <w14:schemeClr w14:val="tx1"/>
                  </w14:solidFill>
                </w14:textFill>
              </w:rPr>
              <w:t>人民政府发布《巴彦淖尔市人民政府办公室关于巴彦淖尔市2023年生态环境分区管控成果动态更新的通知》（巴政办字〔2023〕106号），本项目建设符合“三线一单”要求，具体符合性分析如下：</w:t>
            </w:r>
          </w:p>
          <w:p w14:paraId="040FE3B0">
            <w:pPr>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eastAsia" w:cs="Times New Roman"/>
                <w:color w:val="000000" w:themeColor="text1"/>
                <w:kern w:val="0"/>
                <w:sz w:val="24"/>
                <w:highlight w:val="none"/>
                <w:lang w:eastAsia="zh-CN"/>
                <w14:textFill>
                  <w14:solidFill>
                    <w14:schemeClr w14:val="tx1"/>
                  </w14:solidFill>
                </w14:textFill>
              </w:rPr>
              <w:t>（</w:t>
            </w:r>
            <w:r>
              <w:rPr>
                <w:rFonts w:hint="eastAsia" w:cs="Times New Roman"/>
                <w:color w:val="000000" w:themeColor="text1"/>
                <w:kern w:val="0"/>
                <w:sz w:val="24"/>
                <w:highlight w:val="none"/>
                <w:lang w:val="en-US" w:eastAsia="zh-CN"/>
                <w14:textFill>
                  <w14:solidFill>
                    <w14:schemeClr w14:val="tx1"/>
                  </w14:solidFill>
                </w14:textFill>
              </w:rPr>
              <w:t>1</w:t>
            </w:r>
            <w:r>
              <w:rPr>
                <w:rFonts w:hint="eastAsia" w:cs="Times New Roman"/>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highlight w:val="none"/>
                <w14:textFill>
                  <w14:solidFill>
                    <w14:schemeClr w14:val="tx1"/>
                  </w14:solidFill>
                </w14:textFill>
              </w:rPr>
              <w:t>生态保护红线</w:t>
            </w:r>
          </w:p>
          <w:p w14:paraId="28197839">
            <w:pPr>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本项目选址位于内蒙古自治区巴彦淖尔市</w:t>
            </w:r>
            <w:r>
              <w:rPr>
                <w:rFonts w:hint="eastAsia" w:cs="Times New Roman"/>
                <w:color w:val="000000" w:themeColor="text1"/>
                <w:kern w:val="0"/>
                <w:sz w:val="24"/>
                <w:highlight w:val="none"/>
                <w:lang w:val="en-US" w:eastAsia="zh-CN"/>
                <w14:textFill>
                  <w14:solidFill>
                    <w14:schemeClr w14:val="tx1"/>
                  </w14:solidFill>
                </w14:textFill>
              </w:rPr>
              <w:t>磴口县</w:t>
            </w:r>
            <w:r>
              <w:rPr>
                <w:rFonts w:hint="eastAsia" w:cs="Times New Roman"/>
                <w:color w:val="000000" w:themeColor="text1"/>
                <w:kern w:val="0"/>
                <w:sz w:val="24"/>
                <w:highlight w:val="none"/>
                <w:lang w:eastAsia="zh-CN"/>
                <w14:textFill>
                  <w14:solidFill>
                    <w14:schemeClr w14:val="tx1"/>
                  </w14:solidFill>
                </w14:textFill>
              </w:rPr>
              <w:t>补隆淖镇</w:t>
            </w:r>
            <w:r>
              <w:rPr>
                <w:rFonts w:hint="default" w:ascii="Times New Roman" w:hAnsi="Times New Roman" w:eastAsia="宋体" w:cs="Times New Roman"/>
                <w:color w:val="000000" w:themeColor="text1"/>
                <w:kern w:val="0"/>
                <w:sz w:val="24"/>
                <w:highlight w:val="none"/>
                <w14:textFill>
                  <w14:solidFill>
                    <w14:schemeClr w14:val="tx1"/>
                  </w14:solidFill>
                </w14:textFill>
              </w:rPr>
              <w:t>，本次</w:t>
            </w:r>
            <w:r>
              <w:rPr>
                <w:rFonts w:hint="eastAsia" w:cs="Times New Roman"/>
                <w:color w:val="000000" w:themeColor="text1"/>
                <w:kern w:val="0"/>
                <w:sz w:val="24"/>
                <w:highlight w:val="none"/>
                <w:lang w:val="en-US" w:eastAsia="zh-CN"/>
                <w14:textFill>
                  <w14:solidFill>
                    <w14:schemeClr w14:val="tx1"/>
                  </w14:solidFill>
                </w14:textFill>
              </w:rPr>
              <w:t>改扩建</w:t>
            </w:r>
            <w:r>
              <w:rPr>
                <w:rFonts w:hint="default" w:ascii="Times New Roman" w:hAnsi="Times New Roman" w:eastAsia="宋体" w:cs="Times New Roman"/>
                <w:color w:val="000000" w:themeColor="text1"/>
                <w:kern w:val="0"/>
                <w:sz w:val="24"/>
                <w:highlight w:val="none"/>
                <w14:textFill>
                  <w14:solidFill>
                    <w14:schemeClr w14:val="tx1"/>
                  </w14:solidFill>
                </w14:textFill>
              </w:rPr>
              <w:t>项目在原有厂区内进行建设，不涉及新增用地，不在当地饮用水源、自然保护区等生态保护区内，不在生态红线范围内。</w:t>
            </w:r>
          </w:p>
          <w:p w14:paraId="013EEABE">
            <w:pPr>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eastAsia" w:cs="Times New Roman"/>
                <w:color w:val="000000" w:themeColor="text1"/>
                <w:kern w:val="0"/>
                <w:sz w:val="24"/>
                <w:highlight w:val="none"/>
                <w:lang w:eastAsia="zh-CN"/>
                <w14:textFill>
                  <w14:solidFill>
                    <w14:schemeClr w14:val="tx1"/>
                  </w14:solidFill>
                </w14:textFill>
              </w:rPr>
              <w:t>（</w:t>
            </w:r>
            <w:r>
              <w:rPr>
                <w:rFonts w:hint="eastAsia" w:cs="Times New Roman"/>
                <w:color w:val="000000" w:themeColor="text1"/>
                <w:kern w:val="0"/>
                <w:sz w:val="24"/>
                <w:highlight w:val="none"/>
                <w:lang w:val="en-US" w:eastAsia="zh-CN"/>
                <w14:textFill>
                  <w14:solidFill>
                    <w14:schemeClr w14:val="tx1"/>
                  </w14:solidFill>
                </w14:textFill>
              </w:rPr>
              <w:t>2</w:t>
            </w:r>
            <w:r>
              <w:rPr>
                <w:rFonts w:hint="eastAsia" w:cs="Times New Roman"/>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highlight w:val="none"/>
                <w14:textFill>
                  <w14:solidFill>
                    <w14:schemeClr w14:val="tx1"/>
                  </w14:solidFill>
                </w14:textFill>
              </w:rPr>
              <w:t>环境质量底线</w:t>
            </w:r>
          </w:p>
          <w:p w14:paraId="044EAA8D">
            <w:pPr>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该项目所在区域的环境空气、地表水、声环境等环境现状满足相应的标准要求。根据分析、预测，项目采取防治措施后，项目施工期及运营期对周边环境的影响</w:t>
            </w:r>
            <w:r>
              <w:rPr>
                <w:rFonts w:hint="eastAsia" w:cs="Times New Roman"/>
                <w:color w:val="000000" w:themeColor="text1"/>
                <w:kern w:val="0"/>
                <w:sz w:val="24"/>
                <w:highlight w:val="none"/>
                <w:lang w:val="en-US" w:eastAsia="zh-CN"/>
                <w14:textFill>
                  <w14:solidFill>
                    <w14:schemeClr w14:val="tx1"/>
                  </w14:solidFill>
                </w14:textFill>
              </w:rPr>
              <w:t>较</w:t>
            </w:r>
            <w:r>
              <w:rPr>
                <w:rFonts w:hint="default" w:ascii="Times New Roman" w:hAnsi="Times New Roman" w:eastAsia="宋体" w:cs="Times New Roman"/>
                <w:color w:val="000000" w:themeColor="text1"/>
                <w:kern w:val="0"/>
                <w:sz w:val="24"/>
                <w:highlight w:val="none"/>
                <w14:textFill>
                  <w14:solidFill>
                    <w14:schemeClr w14:val="tx1"/>
                  </w14:solidFill>
                </w14:textFill>
              </w:rPr>
              <w:t>小，不会改变区域环境功能，符合环境质量底线要求。</w:t>
            </w:r>
          </w:p>
          <w:p w14:paraId="16937BBF">
            <w:pPr>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eastAsia" w:cs="Times New Roman"/>
                <w:color w:val="000000" w:themeColor="text1"/>
                <w:kern w:val="0"/>
                <w:sz w:val="24"/>
                <w:highlight w:val="none"/>
                <w:lang w:eastAsia="zh-CN"/>
                <w14:textFill>
                  <w14:solidFill>
                    <w14:schemeClr w14:val="tx1"/>
                  </w14:solidFill>
                </w14:textFill>
              </w:rPr>
              <w:t>（</w:t>
            </w:r>
            <w:r>
              <w:rPr>
                <w:rFonts w:hint="eastAsia" w:cs="Times New Roman"/>
                <w:color w:val="000000" w:themeColor="text1"/>
                <w:kern w:val="0"/>
                <w:sz w:val="24"/>
                <w:highlight w:val="none"/>
                <w:lang w:val="en-US" w:eastAsia="zh-CN"/>
                <w14:textFill>
                  <w14:solidFill>
                    <w14:schemeClr w14:val="tx1"/>
                  </w14:solidFill>
                </w14:textFill>
              </w:rPr>
              <w:t>3</w:t>
            </w:r>
            <w:r>
              <w:rPr>
                <w:rFonts w:hint="eastAsia" w:cs="Times New Roman"/>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highlight w:val="none"/>
                <w14:textFill>
                  <w14:solidFill>
                    <w14:schemeClr w14:val="tx1"/>
                  </w14:solidFill>
                </w14:textFill>
              </w:rPr>
              <w:t>资源利用上线</w:t>
            </w:r>
          </w:p>
          <w:p w14:paraId="1B9EE7F4">
            <w:pPr>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项目在现有</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厂区</w:t>
            </w:r>
            <w:r>
              <w:rPr>
                <w:rFonts w:hint="default" w:ascii="Times New Roman" w:hAnsi="Times New Roman" w:eastAsia="宋体" w:cs="Times New Roman"/>
                <w:color w:val="000000" w:themeColor="text1"/>
                <w:kern w:val="0"/>
                <w:sz w:val="24"/>
                <w:highlight w:val="none"/>
                <w14:textFill>
                  <w14:solidFill>
                    <w14:schemeClr w14:val="tx1"/>
                  </w14:solidFill>
                </w14:textFill>
              </w:rPr>
              <w:t>内</w:t>
            </w:r>
            <w:r>
              <w:rPr>
                <w:rFonts w:hint="eastAsia" w:cs="Times New Roman"/>
                <w:color w:val="000000" w:themeColor="text1"/>
                <w:kern w:val="0"/>
                <w:sz w:val="24"/>
                <w:highlight w:val="none"/>
                <w:lang w:val="en-US" w:eastAsia="zh-CN"/>
                <w14:textFill>
                  <w14:solidFill>
                    <w14:schemeClr w14:val="tx1"/>
                  </w14:solidFill>
                </w14:textFill>
              </w:rPr>
              <w:t>改扩建</w:t>
            </w:r>
            <w:r>
              <w:rPr>
                <w:rFonts w:hint="default" w:ascii="Times New Roman" w:hAnsi="Times New Roman" w:eastAsia="宋体" w:cs="Times New Roman"/>
                <w:color w:val="000000" w:themeColor="text1"/>
                <w:kern w:val="0"/>
                <w:sz w:val="24"/>
                <w:highlight w:val="none"/>
                <w14:textFill>
                  <w14:solidFill>
                    <w14:schemeClr w14:val="tx1"/>
                  </w14:solidFill>
                </w14:textFill>
              </w:rPr>
              <w:t>，不新增占地</w:t>
            </w:r>
            <w:r>
              <w:rPr>
                <w:rFonts w:hint="eastAsia" w:cs="Times New Roman"/>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highlight w:val="none"/>
                <w14:textFill>
                  <w14:solidFill>
                    <w14:schemeClr w14:val="tx1"/>
                  </w14:solidFill>
                </w14:textFill>
              </w:rPr>
              <w:t>建设土地不涉及基本农田，土地资源消耗符合要求。运营过程中消耗一定量的水资源等资源，项目资源的消耗量相对区域资源利用总量较少，符合资源利用上线的要求。</w:t>
            </w:r>
          </w:p>
          <w:p w14:paraId="10FBA48B">
            <w:pPr>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eastAsia" w:cs="Times New Roman"/>
                <w:color w:val="000000" w:themeColor="text1"/>
                <w:kern w:val="0"/>
                <w:sz w:val="24"/>
                <w:highlight w:val="none"/>
                <w:lang w:eastAsia="zh-CN"/>
                <w14:textFill>
                  <w14:solidFill>
                    <w14:schemeClr w14:val="tx1"/>
                  </w14:solidFill>
                </w14:textFill>
              </w:rPr>
              <w:t>（</w:t>
            </w:r>
            <w:r>
              <w:rPr>
                <w:rFonts w:hint="eastAsia" w:cs="Times New Roman"/>
                <w:color w:val="000000" w:themeColor="text1"/>
                <w:kern w:val="0"/>
                <w:sz w:val="24"/>
                <w:highlight w:val="none"/>
                <w:lang w:val="en-US" w:eastAsia="zh-CN"/>
                <w14:textFill>
                  <w14:solidFill>
                    <w14:schemeClr w14:val="tx1"/>
                  </w14:solidFill>
                </w14:textFill>
              </w:rPr>
              <w:t>4</w:t>
            </w:r>
            <w:r>
              <w:rPr>
                <w:rFonts w:hint="eastAsia" w:cs="Times New Roman"/>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highlight w:val="none"/>
                <w14:textFill>
                  <w14:solidFill>
                    <w14:schemeClr w14:val="tx1"/>
                  </w14:solidFill>
                </w14:textFill>
              </w:rPr>
              <w:t>生态环境准入清单</w:t>
            </w:r>
          </w:p>
          <w:p w14:paraId="4301BC7D">
            <w:pPr>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本项目位于《</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巴彦淖尔市</w:t>
            </w:r>
            <w:r>
              <w:rPr>
                <w:rFonts w:hint="default" w:ascii="Times New Roman" w:hAnsi="Times New Roman" w:eastAsia="宋体" w:cs="Times New Roman"/>
                <w:color w:val="000000" w:themeColor="text1"/>
                <w:kern w:val="0"/>
                <w:sz w:val="24"/>
                <w:highlight w:val="none"/>
                <w14:textFill>
                  <w14:solidFill>
                    <w14:schemeClr w14:val="tx1"/>
                  </w14:solidFill>
                </w14:textFill>
              </w:rPr>
              <w:t>生态环境准入清单</w:t>
            </w:r>
            <w:r>
              <w:rPr>
                <w:rFonts w:hint="eastAsia" w:ascii="Times New Roman" w:hAnsi="Times New Roman" w:eastAsia="宋体" w:cs="Times New Roman"/>
                <w:color w:val="000000" w:themeColor="text1"/>
                <w:kern w:val="0"/>
                <w:sz w:val="24"/>
                <w:highlight w:val="none"/>
                <w:lang w:eastAsia="zh-CN"/>
                <w14:textFill>
                  <w14:solidFill>
                    <w14:schemeClr w14:val="tx1"/>
                  </w14:solidFill>
                </w14:textFill>
              </w:rPr>
              <w:t>（</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2023年版</w:t>
            </w:r>
            <w:r>
              <w:rPr>
                <w:rFonts w:hint="eastAsia" w:ascii="Times New Roman" w:hAnsi="Times New Roman" w:eastAsia="宋体" w:cs="Times New Roman"/>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highlight w:val="none"/>
                <w14:textFill>
                  <w14:solidFill>
                    <w14:schemeClr w14:val="tx1"/>
                  </w14:solidFill>
                </w14:textFill>
              </w:rPr>
              <w:t>》内的</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重点</w:t>
            </w:r>
            <w:r>
              <w:rPr>
                <w:rFonts w:hint="default" w:ascii="Times New Roman" w:hAnsi="Times New Roman" w:eastAsia="宋体" w:cs="Times New Roman"/>
                <w:color w:val="000000" w:themeColor="text1"/>
                <w:kern w:val="0"/>
                <w:sz w:val="24"/>
                <w:highlight w:val="none"/>
                <w14:textFill>
                  <w14:solidFill>
                    <w14:schemeClr w14:val="tx1"/>
                  </w14:solidFill>
                </w14:textFill>
              </w:rPr>
              <w:t>管控单元的</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磴口县城镇空间</w:t>
            </w:r>
            <w:r>
              <w:rPr>
                <w:rFonts w:hint="default" w:ascii="Times New Roman" w:hAnsi="Times New Roman" w:eastAsia="宋体" w:cs="Times New Roman"/>
                <w:color w:val="000000" w:themeColor="text1"/>
                <w:kern w:val="0"/>
                <w:sz w:val="24"/>
                <w:highlight w:val="none"/>
                <w14:textFill>
                  <w14:solidFill>
                    <w14:schemeClr w14:val="tx1"/>
                  </w14:solidFill>
                </w14:textFill>
              </w:rPr>
              <w:t>；管控单元编码为：ZH15082220003。</w:t>
            </w:r>
          </w:p>
          <w:p w14:paraId="125550C5">
            <w:pPr>
              <w:autoSpaceDE w:val="0"/>
              <w:autoSpaceDN w:val="0"/>
              <w:adjustRightInd w:val="0"/>
              <w:snapToGrid w:val="0"/>
              <w:spacing w:line="360" w:lineRule="auto"/>
              <w:rPr>
                <w:rFonts w:hint="default" w:ascii="Times New Roman" w:hAnsi="Times New Roman" w:eastAsia="宋体" w:cs="Times New Roman"/>
                <w:color w:val="000000" w:themeColor="text1"/>
                <w:kern w:val="0"/>
                <w:sz w:val="24"/>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968750" cy="2132965"/>
                  <wp:effectExtent l="0" t="0" r="1270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1"/>
                          <a:stretch>
                            <a:fillRect/>
                          </a:stretch>
                        </pic:blipFill>
                        <pic:spPr>
                          <a:xfrm>
                            <a:off x="0" y="0"/>
                            <a:ext cx="3968750" cy="2132965"/>
                          </a:xfrm>
                          <a:prstGeom prst="rect">
                            <a:avLst/>
                          </a:prstGeom>
                          <a:noFill/>
                          <a:ln>
                            <a:noFill/>
                          </a:ln>
                        </pic:spPr>
                      </pic:pic>
                    </a:graphicData>
                  </a:graphic>
                </wp:inline>
              </w:drawing>
            </w:r>
          </w:p>
          <w:p w14:paraId="3330CEBF">
            <w:pPr>
              <w:pStyle w:val="19"/>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图1  项目生态环境管控单元图</w:t>
            </w:r>
          </w:p>
          <w:p w14:paraId="11F9C32E">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表1-1  生态环境准入清单符合性分析</w:t>
            </w:r>
          </w:p>
          <w:tbl>
            <w:tblPr>
              <w:tblStyle w:val="12"/>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77"/>
              <w:gridCol w:w="699"/>
              <w:gridCol w:w="3277"/>
              <w:gridCol w:w="1615"/>
            </w:tblGrid>
            <w:tr w14:paraId="270F6E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79" w:type="pct"/>
                  <w:noWrap w:val="0"/>
                  <w:vAlign w:val="center"/>
                </w:tcPr>
                <w:p w14:paraId="3676458C">
                  <w:pPr>
                    <w:keepNext w:val="0"/>
                    <w:keepLines w:val="0"/>
                    <w:pageBreakBefore w:val="0"/>
                    <w:kinsoku/>
                    <w:wordWrap/>
                    <w:overflowPunct/>
                    <w:topLinePunct w:val="0"/>
                    <w:bidi w:val="0"/>
                    <w:adjustRightInd w:val="0"/>
                    <w:snapToGrid w:val="0"/>
                    <w:spacing w:line="240" w:lineRule="auto"/>
                    <w:ind w:left="0" w:leftChars="0" w:right="0" w:rightChars="0"/>
                    <w:jc w:val="center"/>
                    <w:rPr>
                      <w:rFonts w:hint="default" w:eastAsia="宋体"/>
                      <w:color w:val="000000" w:themeColor="text1"/>
                      <w:sz w:val="18"/>
                      <w:szCs w:val="18"/>
                      <w:highlight w:val="none"/>
                      <w:lang w:val="en-US" w:eastAsia="zh-CN"/>
                      <w14:textFill>
                        <w14:solidFill>
                          <w14:schemeClr w14:val="tx1"/>
                        </w14:solidFill>
                      </w14:textFill>
                    </w:rPr>
                  </w:pPr>
                  <w:r>
                    <w:rPr>
                      <w:rFonts w:eastAsia="宋体"/>
                      <w:bCs/>
                      <w:color w:val="000000" w:themeColor="text1"/>
                      <w:sz w:val="18"/>
                      <w:szCs w:val="18"/>
                      <w:highlight w:val="none"/>
                      <w14:textFill>
                        <w14:solidFill>
                          <w14:schemeClr w14:val="tx1"/>
                        </w14:solidFill>
                      </w14:textFill>
                    </w:rPr>
                    <w:t>环境管控单元名称</w:t>
                  </w:r>
                  <w:r>
                    <w:rPr>
                      <w:rFonts w:hint="eastAsia" w:eastAsia="宋体"/>
                      <w:bCs/>
                      <w:color w:val="000000" w:themeColor="text1"/>
                      <w:sz w:val="18"/>
                      <w:szCs w:val="18"/>
                      <w:highlight w:val="none"/>
                      <w:lang w:val="en-US" w:eastAsia="zh-CN"/>
                      <w14:textFill>
                        <w14:solidFill>
                          <w14:schemeClr w14:val="tx1"/>
                        </w14:solidFill>
                      </w14:textFill>
                    </w:rPr>
                    <w:t>及编码</w:t>
                  </w:r>
                </w:p>
              </w:tc>
              <w:tc>
                <w:tcPr>
                  <w:tcW w:w="540" w:type="pct"/>
                  <w:noWrap w:val="0"/>
                  <w:vAlign w:val="center"/>
                </w:tcPr>
                <w:p w14:paraId="47AA9925">
                  <w:pPr>
                    <w:keepNext w:val="0"/>
                    <w:keepLines w:val="0"/>
                    <w:pageBreakBefore w:val="0"/>
                    <w:kinsoku/>
                    <w:wordWrap/>
                    <w:overflowPunct/>
                    <w:topLinePunct w:val="0"/>
                    <w:bidi w:val="0"/>
                    <w:adjustRightInd w:val="0"/>
                    <w:snapToGrid w:val="0"/>
                    <w:spacing w:line="240" w:lineRule="auto"/>
                    <w:ind w:left="0" w:leftChars="0" w:right="0" w:rightChars="0"/>
                    <w:jc w:val="center"/>
                    <w:rPr>
                      <w:rFonts w:eastAsia="宋体"/>
                      <w:color w:val="000000" w:themeColor="text1"/>
                      <w:kern w:val="0"/>
                      <w:sz w:val="18"/>
                      <w:szCs w:val="18"/>
                      <w:highlight w:val="none"/>
                      <w:lang w:bidi="ar"/>
                      <w14:textFill>
                        <w14:solidFill>
                          <w14:schemeClr w14:val="tx1"/>
                        </w14:solidFill>
                      </w14:textFill>
                    </w:rPr>
                  </w:pPr>
                  <w:r>
                    <w:rPr>
                      <w:rFonts w:eastAsia="宋体"/>
                      <w:bCs/>
                      <w:color w:val="000000" w:themeColor="text1"/>
                      <w:sz w:val="18"/>
                      <w:szCs w:val="18"/>
                      <w:highlight w:val="none"/>
                      <w14:textFill>
                        <w14:solidFill>
                          <w14:schemeClr w14:val="tx1"/>
                        </w14:solidFill>
                      </w14:textFill>
                    </w:rPr>
                    <w:t>管控要求</w:t>
                  </w:r>
                </w:p>
              </w:tc>
              <w:tc>
                <w:tcPr>
                  <w:tcW w:w="2532" w:type="pct"/>
                  <w:noWrap w:val="0"/>
                  <w:vAlign w:val="center"/>
                </w:tcPr>
                <w:p w14:paraId="42C40F4A">
                  <w:pPr>
                    <w:keepNext w:val="0"/>
                    <w:keepLines w:val="0"/>
                    <w:pageBreakBefore w:val="0"/>
                    <w:kinsoku/>
                    <w:wordWrap/>
                    <w:overflowPunct/>
                    <w:topLinePunct w:val="0"/>
                    <w:bidi w:val="0"/>
                    <w:adjustRightInd w:val="0"/>
                    <w:snapToGrid w:val="0"/>
                    <w:spacing w:line="240" w:lineRule="auto"/>
                    <w:ind w:left="0" w:leftChars="0" w:right="0" w:rightChars="0"/>
                    <w:jc w:val="center"/>
                    <w:rPr>
                      <w:rFonts w:eastAsia="宋体"/>
                      <w:color w:val="000000" w:themeColor="text1"/>
                      <w:sz w:val="18"/>
                      <w:szCs w:val="18"/>
                      <w:highlight w:val="none"/>
                      <w14:textFill>
                        <w14:solidFill>
                          <w14:schemeClr w14:val="tx1"/>
                        </w14:solidFill>
                      </w14:textFill>
                    </w:rPr>
                  </w:pPr>
                  <w:r>
                    <w:rPr>
                      <w:rFonts w:eastAsia="宋体"/>
                      <w:bCs/>
                      <w:color w:val="000000" w:themeColor="text1"/>
                      <w:sz w:val="18"/>
                      <w:szCs w:val="18"/>
                      <w:highlight w:val="none"/>
                      <w14:textFill>
                        <w14:solidFill>
                          <w14:schemeClr w14:val="tx1"/>
                        </w14:solidFill>
                      </w14:textFill>
                    </w:rPr>
                    <w:t>编码</w:t>
                  </w:r>
                </w:p>
              </w:tc>
              <w:tc>
                <w:tcPr>
                  <w:tcW w:w="1246" w:type="pct"/>
                  <w:noWrap w:val="0"/>
                  <w:vAlign w:val="center"/>
                </w:tcPr>
                <w:p w14:paraId="37E942BA">
                  <w:pPr>
                    <w:keepNext w:val="0"/>
                    <w:keepLines w:val="0"/>
                    <w:pageBreakBefore w:val="0"/>
                    <w:kinsoku/>
                    <w:wordWrap/>
                    <w:overflowPunct/>
                    <w:topLinePunct w:val="0"/>
                    <w:bidi w:val="0"/>
                    <w:adjustRightInd w:val="0"/>
                    <w:snapToGrid w:val="0"/>
                    <w:spacing w:line="240" w:lineRule="auto"/>
                    <w:ind w:left="0" w:leftChars="0" w:right="0" w:rightChars="0"/>
                    <w:jc w:val="center"/>
                    <w:rPr>
                      <w:rFonts w:hint="eastAsia" w:eastAsia="宋体"/>
                      <w:bCs/>
                      <w:color w:val="000000" w:themeColor="text1"/>
                      <w:sz w:val="18"/>
                      <w:szCs w:val="18"/>
                      <w:highlight w:val="none"/>
                      <w:lang w:val="en-US" w:eastAsia="zh-CN"/>
                      <w14:textFill>
                        <w14:solidFill>
                          <w14:schemeClr w14:val="tx1"/>
                        </w14:solidFill>
                      </w14:textFill>
                    </w:rPr>
                  </w:pPr>
                  <w:r>
                    <w:rPr>
                      <w:rFonts w:hint="eastAsia" w:eastAsia="宋体"/>
                      <w:bCs/>
                      <w:color w:val="000000" w:themeColor="text1"/>
                      <w:sz w:val="18"/>
                      <w:szCs w:val="18"/>
                      <w:highlight w:val="none"/>
                      <w:lang w:val="en-US" w:eastAsia="zh-CN"/>
                      <w14:textFill>
                        <w14:solidFill>
                          <w14:schemeClr w14:val="tx1"/>
                        </w14:solidFill>
                      </w14:textFill>
                    </w:rPr>
                    <w:t>符合性分析</w:t>
                  </w:r>
                </w:p>
              </w:tc>
            </w:tr>
            <w:tr w14:paraId="7FE4AF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679" w:type="pct"/>
                  <w:vMerge w:val="restart"/>
                  <w:noWrap w:val="0"/>
                  <w:vAlign w:val="center"/>
                </w:tcPr>
                <w:p w14:paraId="418FAC8D">
                  <w:pPr>
                    <w:keepNext w:val="0"/>
                    <w:keepLines w:val="0"/>
                    <w:pageBreakBefore w:val="0"/>
                    <w:widowControl/>
                    <w:kinsoku/>
                    <w:wordWrap/>
                    <w:overflowPunct/>
                    <w:topLinePunct w:val="0"/>
                    <w:bidi w:val="0"/>
                    <w:adjustRightInd w:val="0"/>
                    <w:snapToGrid w:val="0"/>
                    <w:spacing w:line="240" w:lineRule="auto"/>
                    <w:ind w:left="0" w:leftChars="0" w:right="0" w:rightChars="0"/>
                    <w:jc w:val="center"/>
                    <w:rPr>
                      <w:rFonts w:eastAsia="宋体"/>
                      <w:color w:val="000000" w:themeColor="text1"/>
                      <w:sz w:val="18"/>
                      <w:szCs w:val="18"/>
                      <w:highlight w:val="none"/>
                      <w14:textFill>
                        <w14:solidFill>
                          <w14:schemeClr w14:val="tx1"/>
                        </w14:solidFill>
                      </w14:textFill>
                    </w:rPr>
                  </w:pPr>
                  <w:r>
                    <w:rPr>
                      <w:rFonts w:eastAsia="宋体"/>
                      <w:color w:val="000000" w:themeColor="text1"/>
                      <w:sz w:val="18"/>
                      <w:szCs w:val="18"/>
                      <w:highlight w:val="none"/>
                      <w14:textFill>
                        <w14:solidFill>
                          <w14:schemeClr w14:val="tx1"/>
                        </w14:solidFill>
                      </w14:textFill>
                    </w:rPr>
                    <w:t>磴口县城镇空间ZH15082220003</w:t>
                  </w:r>
                </w:p>
              </w:tc>
              <w:tc>
                <w:tcPr>
                  <w:tcW w:w="540" w:type="pct"/>
                  <w:noWrap w:val="0"/>
                  <w:vAlign w:val="center"/>
                </w:tcPr>
                <w:p w14:paraId="42D9F38B">
                  <w:pPr>
                    <w:keepNext w:val="0"/>
                    <w:keepLines w:val="0"/>
                    <w:pageBreakBefore w:val="0"/>
                    <w:kinsoku/>
                    <w:wordWrap/>
                    <w:overflowPunct/>
                    <w:topLinePunct w:val="0"/>
                    <w:bidi w:val="0"/>
                    <w:adjustRightInd w:val="0"/>
                    <w:snapToGrid w:val="0"/>
                    <w:spacing w:line="240" w:lineRule="auto"/>
                    <w:ind w:left="0" w:leftChars="0" w:right="0" w:rightChars="0"/>
                    <w:jc w:val="center"/>
                    <w:rPr>
                      <w:rFonts w:eastAsia="宋体"/>
                      <w:color w:val="000000" w:themeColor="text1"/>
                      <w:kern w:val="0"/>
                      <w:sz w:val="18"/>
                      <w:szCs w:val="18"/>
                      <w:highlight w:val="none"/>
                      <w:lang w:bidi="ar"/>
                      <w14:textFill>
                        <w14:solidFill>
                          <w14:schemeClr w14:val="tx1"/>
                        </w14:solidFill>
                      </w14:textFill>
                    </w:rPr>
                  </w:pPr>
                  <w:r>
                    <w:rPr>
                      <w:rFonts w:eastAsia="宋体"/>
                      <w:color w:val="000000" w:themeColor="text1"/>
                      <w:kern w:val="0"/>
                      <w:sz w:val="18"/>
                      <w:szCs w:val="18"/>
                      <w:highlight w:val="none"/>
                      <w:lang w:bidi="ar"/>
                      <w14:textFill>
                        <w14:solidFill>
                          <w14:schemeClr w14:val="tx1"/>
                        </w14:solidFill>
                      </w14:textFill>
                    </w:rPr>
                    <w:t>空间布局约束</w:t>
                  </w:r>
                </w:p>
              </w:tc>
              <w:tc>
                <w:tcPr>
                  <w:tcW w:w="2532" w:type="pct"/>
                  <w:noWrap w:val="0"/>
                  <w:vAlign w:val="center"/>
                </w:tcPr>
                <w:p w14:paraId="6B6EF540">
                  <w:pPr>
                    <w:keepNext w:val="0"/>
                    <w:keepLines w:val="0"/>
                    <w:pageBreakBefore w:val="0"/>
                    <w:kinsoku/>
                    <w:wordWrap/>
                    <w:overflowPunct/>
                    <w:topLinePunct w:val="0"/>
                    <w:bidi w:val="0"/>
                    <w:adjustRightInd w:val="0"/>
                    <w:snapToGrid w:val="0"/>
                    <w:spacing w:line="240" w:lineRule="auto"/>
                    <w:ind w:left="0" w:leftChars="0" w:right="0" w:rightChars="0"/>
                    <w:rPr>
                      <w:rFonts w:eastAsia="宋体"/>
                      <w:color w:val="000000" w:themeColor="text1"/>
                      <w:sz w:val="18"/>
                      <w:szCs w:val="18"/>
                      <w:highlight w:val="none"/>
                      <w14:textFill>
                        <w14:solidFill>
                          <w14:schemeClr w14:val="tx1"/>
                        </w14:solidFill>
                      </w14:textFill>
                    </w:rPr>
                  </w:pPr>
                  <w:r>
                    <w:rPr>
                      <w:rFonts w:eastAsia="宋体"/>
                      <w:color w:val="000000" w:themeColor="text1"/>
                      <w:sz w:val="18"/>
                      <w:szCs w:val="18"/>
                      <w:highlight w:val="none"/>
                      <w14:textFill>
                        <w14:solidFill>
                          <w14:schemeClr w14:val="tx1"/>
                        </w14:solidFill>
                      </w14:textFill>
                    </w:rPr>
                    <w:t>1、严禁新建、扩建重污染企业，现有重污染企业根据区域环境质量目标倒逼其转型升级或搬迁转移。</w:t>
                  </w:r>
                </w:p>
                <w:p w14:paraId="2D607893">
                  <w:pPr>
                    <w:keepNext w:val="0"/>
                    <w:keepLines w:val="0"/>
                    <w:pageBreakBefore w:val="0"/>
                    <w:kinsoku/>
                    <w:wordWrap/>
                    <w:overflowPunct/>
                    <w:topLinePunct w:val="0"/>
                    <w:bidi w:val="0"/>
                    <w:adjustRightInd w:val="0"/>
                    <w:snapToGrid w:val="0"/>
                    <w:spacing w:line="240" w:lineRule="auto"/>
                    <w:ind w:left="0" w:leftChars="0" w:right="0" w:rightChars="0"/>
                    <w:rPr>
                      <w:rFonts w:eastAsia="宋体"/>
                      <w:color w:val="000000" w:themeColor="text1"/>
                      <w:sz w:val="18"/>
                      <w:szCs w:val="18"/>
                      <w:highlight w:val="none"/>
                      <w14:textFill>
                        <w14:solidFill>
                          <w14:schemeClr w14:val="tx1"/>
                        </w14:solidFill>
                      </w14:textFill>
                    </w:rPr>
                  </w:pPr>
                  <w:r>
                    <w:rPr>
                      <w:rFonts w:eastAsia="宋体"/>
                      <w:color w:val="000000" w:themeColor="text1"/>
                      <w:sz w:val="18"/>
                      <w:szCs w:val="18"/>
                      <w:highlight w:val="none"/>
                      <w14:textFill>
                        <w14:solidFill>
                          <w14:schemeClr w14:val="tx1"/>
                        </w14:solidFill>
                      </w14:textFill>
                    </w:rPr>
                    <w:t>2、</w:t>
                  </w:r>
                  <w:r>
                    <w:rPr>
                      <w:rFonts w:hint="eastAsia" w:eastAsia="宋体"/>
                      <w:color w:val="000000" w:themeColor="text1"/>
                      <w:sz w:val="18"/>
                      <w:szCs w:val="18"/>
                      <w:highlight w:val="none"/>
                      <w14:textFill>
                        <w14:solidFill>
                          <w14:schemeClr w14:val="tx1"/>
                        </w14:solidFill>
                      </w14:textFill>
                    </w:rPr>
                    <w:t>推进城市建成区范围内的钢铁、石化、化工、有色、冶金、水泥、制药等污染严重企业退城入园，由本地区人民政府制定计划，限期完成搬迁、改造（安全、环保、节能和智能化改造），逾期不退城的依法予以停产</w:t>
                  </w:r>
                  <w:r>
                    <w:rPr>
                      <w:rFonts w:eastAsia="宋体"/>
                      <w:color w:val="000000" w:themeColor="text1"/>
                      <w:sz w:val="18"/>
                      <w:szCs w:val="18"/>
                      <w:highlight w:val="none"/>
                      <w14:textFill>
                        <w14:solidFill>
                          <w14:schemeClr w14:val="tx1"/>
                        </w14:solidFill>
                      </w14:textFill>
                    </w:rPr>
                    <w:t>。</w:t>
                  </w:r>
                </w:p>
                <w:p w14:paraId="7077D5AF">
                  <w:pPr>
                    <w:keepNext w:val="0"/>
                    <w:keepLines w:val="0"/>
                    <w:pageBreakBefore w:val="0"/>
                    <w:kinsoku/>
                    <w:wordWrap/>
                    <w:overflowPunct/>
                    <w:topLinePunct w:val="0"/>
                    <w:bidi w:val="0"/>
                    <w:adjustRightInd w:val="0"/>
                    <w:snapToGrid w:val="0"/>
                    <w:spacing w:line="240" w:lineRule="auto"/>
                    <w:ind w:left="0" w:leftChars="0" w:right="0" w:rightChars="0"/>
                    <w:rPr>
                      <w:rFonts w:eastAsia="宋体"/>
                      <w:color w:val="000000" w:themeColor="text1"/>
                      <w:kern w:val="0"/>
                      <w:sz w:val="18"/>
                      <w:szCs w:val="18"/>
                      <w:highlight w:val="none"/>
                      <w14:textFill>
                        <w14:solidFill>
                          <w14:schemeClr w14:val="tx1"/>
                        </w14:solidFill>
                      </w14:textFill>
                    </w:rPr>
                  </w:pPr>
                  <w:r>
                    <w:rPr>
                      <w:rFonts w:eastAsia="宋体"/>
                      <w:color w:val="000000" w:themeColor="text1"/>
                      <w:sz w:val="18"/>
                      <w:szCs w:val="18"/>
                      <w:highlight w:val="none"/>
                      <w14:textFill>
                        <w14:solidFill>
                          <w14:schemeClr w14:val="tx1"/>
                        </w14:solidFill>
                      </w14:textFill>
                    </w:rPr>
                    <w:t>3、</w:t>
                  </w:r>
                  <w:r>
                    <w:rPr>
                      <w:rFonts w:eastAsia="宋体"/>
                      <w:color w:val="000000" w:themeColor="text1"/>
                      <w:kern w:val="0"/>
                      <w:sz w:val="18"/>
                      <w:szCs w:val="18"/>
                      <w:highlight w:val="none"/>
                      <w14:textFill>
                        <w14:solidFill>
                          <w14:schemeClr w14:val="tx1"/>
                        </w14:solidFill>
                      </w14:textFill>
                    </w:rPr>
                    <w:t>严格控制缺水地区、水污染严重地区和敏感区域发展高耗水、高污染行业，已建项目要采用先进节水技术，提高用水水平。</w:t>
                  </w:r>
                </w:p>
                <w:p w14:paraId="2146EDBE">
                  <w:pPr>
                    <w:keepNext w:val="0"/>
                    <w:keepLines w:val="0"/>
                    <w:pageBreakBefore w:val="0"/>
                    <w:kinsoku/>
                    <w:wordWrap/>
                    <w:overflowPunct/>
                    <w:topLinePunct w:val="0"/>
                    <w:bidi w:val="0"/>
                    <w:adjustRightInd w:val="0"/>
                    <w:snapToGrid w:val="0"/>
                    <w:spacing w:line="240" w:lineRule="auto"/>
                    <w:ind w:left="0" w:leftChars="0" w:right="0" w:rightChars="0"/>
                    <w:rPr>
                      <w:rFonts w:eastAsia="宋体"/>
                      <w:color w:val="000000" w:themeColor="text1"/>
                      <w:kern w:val="0"/>
                      <w:sz w:val="18"/>
                      <w:szCs w:val="18"/>
                      <w:highlight w:val="none"/>
                      <w14:textFill>
                        <w14:solidFill>
                          <w14:schemeClr w14:val="tx1"/>
                        </w14:solidFill>
                      </w14:textFill>
                    </w:rPr>
                  </w:pPr>
                  <w:r>
                    <w:rPr>
                      <w:rFonts w:eastAsia="宋体"/>
                      <w:color w:val="000000" w:themeColor="text1"/>
                      <w:kern w:val="0"/>
                      <w:sz w:val="18"/>
                      <w:szCs w:val="18"/>
                      <w:highlight w:val="none"/>
                      <w14:textFill>
                        <w14:solidFill>
                          <w14:schemeClr w14:val="tx1"/>
                        </w14:solidFill>
                      </w14:textFill>
                    </w:rPr>
                    <w:t>4、禁止侵占永久基本农田的生产经营活动；</w:t>
                  </w:r>
                </w:p>
                <w:p w14:paraId="635BD8FF">
                  <w:pPr>
                    <w:keepNext w:val="0"/>
                    <w:keepLines w:val="0"/>
                    <w:pageBreakBefore w:val="0"/>
                    <w:kinsoku/>
                    <w:wordWrap/>
                    <w:overflowPunct/>
                    <w:topLinePunct w:val="0"/>
                    <w:bidi w:val="0"/>
                    <w:adjustRightInd w:val="0"/>
                    <w:snapToGrid w:val="0"/>
                    <w:spacing w:line="240" w:lineRule="auto"/>
                    <w:ind w:left="0" w:leftChars="0" w:right="0" w:rightChars="0"/>
                    <w:rPr>
                      <w:rFonts w:eastAsia="宋体"/>
                      <w:color w:val="000000" w:themeColor="text1"/>
                      <w:kern w:val="0"/>
                      <w:sz w:val="18"/>
                      <w:szCs w:val="18"/>
                      <w:highlight w:val="none"/>
                      <w14:textFill>
                        <w14:solidFill>
                          <w14:schemeClr w14:val="tx1"/>
                        </w14:solidFill>
                      </w14:textFill>
                    </w:rPr>
                  </w:pPr>
                  <w:r>
                    <w:rPr>
                      <w:rFonts w:eastAsia="宋体"/>
                      <w:color w:val="000000" w:themeColor="text1"/>
                      <w:kern w:val="0"/>
                      <w:sz w:val="18"/>
                      <w:szCs w:val="18"/>
                      <w:highlight w:val="none"/>
                      <w14:textFill>
                        <w14:solidFill>
                          <w14:schemeClr w14:val="tx1"/>
                        </w14:solidFill>
                      </w14:textFill>
                    </w:rPr>
                    <w:t>5、严禁在禁养区内新建、改建、扩建规模化畜禽养殖项目，现有项目限期关闭或搬迁。</w:t>
                  </w:r>
                </w:p>
                <w:p w14:paraId="194D33B6">
                  <w:pPr>
                    <w:keepNext w:val="0"/>
                    <w:keepLines w:val="0"/>
                    <w:pageBreakBefore w:val="0"/>
                    <w:kinsoku/>
                    <w:wordWrap/>
                    <w:overflowPunct/>
                    <w:topLinePunct w:val="0"/>
                    <w:bidi w:val="0"/>
                    <w:adjustRightInd w:val="0"/>
                    <w:snapToGrid w:val="0"/>
                    <w:spacing w:line="240" w:lineRule="auto"/>
                    <w:ind w:left="0" w:leftChars="0" w:right="0" w:rightChars="0"/>
                    <w:rPr>
                      <w:rFonts w:eastAsia="宋体"/>
                      <w:color w:val="000000" w:themeColor="text1"/>
                      <w:sz w:val="18"/>
                      <w:szCs w:val="18"/>
                      <w:highlight w:val="none"/>
                      <w14:textFill>
                        <w14:solidFill>
                          <w14:schemeClr w14:val="tx1"/>
                        </w14:solidFill>
                      </w14:textFill>
                    </w:rPr>
                  </w:pPr>
                  <w:r>
                    <w:rPr>
                      <w:rFonts w:eastAsia="宋体"/>
                      <w:color w:val="000000" w:themeColor="text1"/>
                      <w:sz w:val="18"/>
                      <w:szCs w:val="18"/>
                      <w:highlight w:val="none"/>
                      <w14:textFill>
                        <w14:solidFill>
                          <w14:schemeClr w14:val="tx1"/>
                        </w14:solidFill>
                      </w14:textFill>
                    </w:rPr>
                    <w:t>6、规范病死畜禽无害化处理。集中无害化处理体系健全的地区，在做好动物疫病防控的前提下，原则上养殖场户的病死畜禽应委托专业无害化处理场进行集中处理。山区、牧区、边远地区等暂时不具备集中处理条件的地区自行处理的，要配备与养殖规模相适应的无害化处理设施设备，严格按照相关技术规范进行处理，逐步减少深埋、化尸窖、堆肥等处理方式，确保有效杀灭病原体，清洁安全，不污染环境。</w:t>
                  </w:r>
                </w:p>
              </w:tc>
              <w:tc>
                <w:tcPr>
                  <w:tcW w:w="1246" w:type="pct"/>
                  <w:noWrap w:val="0"/>
                  <w:vAlign w:val="center"/>
                </w:tcPr>
                <w:p w14:paraId="1E1FE029">
                  <w:pPr>
                    <w:keepNext w:val="0"/>
                    <w:keepLines w:val="0"/>
                    <w:pageBreakBefore w:val="0"/>
                    <w:kinsoku/>
                    <w:wordWrap/>
                    <w:overflowPunct/>
                    <w:topLinePunct w:val="0"/>
                    <w:bidi w:val="0"/>
                    <w:adjustRightInd w:val="0"/>
                    <w:snapToGrid w:val="0"/>
                    <w:spacing w:line="240" w:lineRule="auto"/>
                    <w:ind w:left="0" w:leftChars="0" w:right="0" w:rightChars="0"/>
                    <w:rPr>
                      <w:rFonts w:hint="eastAsia" w:eastAsia="宋体"/>
                      <w:color w:val="000000" w:themeColor="text1"/>
                      <w:sz w:val="18"/>
                      <w:szCs w:val="18"/>
                      <w:highlight w:val="none"/>
                      <w:lang w:val="en-US" w:eastAsia="zh-CN"/>
                      <w14:textFill>
                        <w14:solidFill>
                          <w14:schemeClr w14:val="tx1"/>
                        </w14:solidFill>
                      </w14:textFill>
                    </w:rPr>
                  </w:pPr>
                  <w:r>
                    <w:rPr>
                      <w:rFonts w:hint="eastAsia" w:eastAsia="宋体"/>
                      <w:color w:val="000000" w:themeColor="text1"/>
                      <w:sz w:val="18"/>
                      <w:szCs w:val="18"/>
                      <w:highlight w:val="none"/>
                      <w:lang w:val="en-US" w:eastAsia="zh-CN"/>
                      <w14:textFill>
                        <w14:solidFill>
                          <w14:schemeClr w14:val="tx1"/>
                        </w14:solidFill>
                      </w14:textFill>
                    </w:rPr>
                    <w:t>1、本项目不属于重污染企业；</w:t>
                  </w:r>
                </w:p>
                <w:p w14:paraId="161986AC">
                  <w:pPr>
                    <w:keepNext w:val="0"/>
                    <w:keepLines w:val="0"/>
                    <w:pageBreakBefore w:val="0"/>
                    <w:kinsoku/>
                    <w:wordWrap/>
                    <w:overflowPunct/>
                    <w:topLinePunct w:val="0"/>
                    <w:bidi w:val="0"/>
                    <w:adjustRightInd w:val="0"/>
                    <w:snapToGrid w:val="0"/>
                    <w:spacing w:line="240" w:lineRule="auto"/>
                    <w:ind w:left="0" w:leftChars="0" w:right="0" w:rightChars="0"/>
                    <w:rPr>
                      <w:rFonts w:hint="eastAsia" w:eastAsia="宋体"/>
                      <w:color w:val="000000" w:themeColor="text1"/>
                      <w:sz w:val="18"/>
                      <w:szCs w:val="18"/>
                      <w:highlight w:val="none"/>
                      <w:lang w:val="en-US" w:eastAsia="zh-CN"/>
                      <w14:textFill>
                        <w14:solidFill>
                          <w14:schemeClr w14:val="tx1"/>
                        </w14:solidFill>
                      </w14:textFill>
                    </w:rPr>
                  </w:pPr>
                  <w:r>
                    <w:rPr>
                      <w:rFonts w:hint="eastAsia" w:eastAsia="宋体"/>
                      <w:color w:val="000000" w:themeColor="text1"/>
                      <w:sz w:val="18"/>
                      <w:szCs w:val="18"/>
                      <w:highlight w:val="none"/>
                      <w:lang w:val="en-US" w:eastAsia="zh-CN"/>
                      <w14:textFill>
                        <w14:solidFill>
                          <w14:schemeClr w14:val="tx1"/>
                        </w14:solidFill>
                      </w14:textFill>
                    </w:rPr>
                    <w:t>2、本项目不属于钢铁、石化、化工、有色、冶金、水泥、制药等污染严重企业；</w:t>
                  </w:r>
                </w:p>
                <w:p w14:paraId="05D8CFF7">
                  <w:pPr>
                    <w:keepNext w:val="0"/>
                    <w:keepLines w:val="0"/>
                    <w:pageBreakBefore w:val="0"/>
                    <w:kinsoku/>
                    <w:wordWrap/>
                    <w:overflowPunct/>
                    <w:topLinePunct w:val="0"/>
                    <w:bidi w:val="0"/>
                    <w:adjustRightInd w:val="0"/>
                    <w:snapToGrid w:val="0"/>
                    <w:spacing w:line="240" w:lineRule="auto"/>
                    <w:ind w:left="0" w:leftChars="0" w:firstLine="0" w:firstLineChars="0"/>
                    <w:rPr>
                      <w:rFonts w:hint="eastAsia" w:eastAsia="宋体"/>
                      <w:color w:val="000000" w:themeColor="text1"/>
                      <w:sz w:val="18"/>
                      <w:szCs w:val="18"/>
                      <w:highlight w:val="none"/>
                      <w:lang w:val="en-US" w:eastAsia="zh-CN"/>
                      <w14:textFill>
                        <w14:solidFill>
                          <w14:schemeClr w14:val="tx1"/>
                        </w14:solidFill>
                      </w14:textFill>
                    </w:rPr>
                  </w:pPr>
                  <w:r>
                    <w:rPr>
                      <w:rFonts w:hint="eastAsia" w:eastAsia="宋体"/>
                      <w:color w:val="000000" w:themeColor="text1"/>
                      <w:sz w:val="18"/>
                      <w:szCs w:val="18"/>
                      <w:highlight w:val="none"/>
                      <w:lang w:val="en-US" w:eastAsia="zh-CN"/>
                      <w14:textFill>
                        <w14:solidFill>
                          <w14:schemeClr w14:val="tx1"/>
                        </w14:solidFill>
                      </w14:textFill>
                    </w:rPr>
                    <w:t>3、本项目属于污水处理厂</w:t>
                  </w:r>
                  <w:r>
                    <w:rPr>
                      <w:rFonts w:hint="eastAsia"/>
                      <w:color w:val="000000" w:themeColor="text1"/>
                      <w:sz w:val="18"/>
                      <w:szCs w:val="18"/>
                      <w:highlight w:val="none"/>
                      <w:lang w:val="en-US" w:eastAsia="zh-CN"/>
                      <w14:textFill>
                        <w14:solidFill>
                          <w14:schemeClr w14:val="tx1"/>
                        </w14:solidFill>
                      </w14:textFill>
                    </w:rPr>
                    <w:t>改扩建</w:t>
                  </w:r>
                  <w:r>
                    <w:rPr>
                      <w:rFonts w:hint="eastAsia" w:eastAsia="宋体"/>
                      <w:color w:val="000000" w:themeColor="text1"/>
                      <w:sz w:val="18"/>
                      <w:szCs w:val="18"/>
                      <w:highlight w:val="none"/>
                      <w:lang w:val="en-US" w:eastAsia="zh-CN"/>
                      <w14:textFill>
                        <w14:solidFill>
                          <w14:schemeClr w14:val="tx1"/>
                        </w14:solidFill>
                      </w14:textFill>
                    </w:rPr>
                    <w:t>项目，</w:t>
                  </w:r>
                  <w:r>
                    <w:rPr>
                      <w:rFonts w:hint="eastAsia"/>
                      <w:color w:val="000000" w:themeColor="text1"/>
                      <w:sz w:val="18"/>
                      <w:szCs w:val="18"/>
                      <w:highlight w:val="none"/>
                      <w:lang w:val="en-US" w:eastAsia="zh-CN"/>
                      <w14:textFill>
                        <w14:solidFill>
                          <w14:schemeClr w14:val="tx1"/>
                        </w14:solidFill>
                      </w14:textFill>
                    </w:rPr>
                    <w:t>建设</w:t>
                  </w:r>
                  <w:r>
                    <w:rPr>
                      <w:rFonts w:hint="eastAsia" w:eastAsia="宋体"/>
                      <w:color w:val="000000" w:themeColor="text1"/>
                      <w:sz w:val="18"/>
                      <w:szCs w:val="18"/>
                      <w:highlight w:val="none"/>
                      <w:lang w:val="en-US" w:eastAsia="zh-CN"/>
                      <w14:textFill>
                        <w14:solidFill>
                          <w14:schemeClr w14:val="tx1"/>
                        </w14:solidFill>
                      </w14:textFill>
                    </w:rPr>
                    <w:t>完成后提高了用水水平；</w:t>
                  </w:r>
                </w:p>
                <w:p w14:paraId="6040AAF4">
                  <w:pPr>
                    <w:keepNext w:val="0"/>
                    <w:keepLines w:val="0"/>
                    <w:pageBreakBefore w:val="0"/>
                    <w:kinsoku/>
                    <w:wordWrap/>
                    <w:overflowPunct/>
                    <w:topLinePunct w:val="0"/>
                    <w:bidi w:val="0"/>
                    <w:adjustRightInd w:val="0"/>
                    <w:snapToGrid w:val="0"/>
                    <w:spacing w:line="240" w:lineRule="auto"/>
                    <w:ind w:left="0" w:leftChars="0" w:firstLine="0" w:firstLineChars="0"/>
                    <w:rPr>
                      <w:rFonts w:hint="default" w:eastAsia="宋体"/>
                      <w:color w:val="000000" w:themeColor="text1"/>
                      <w:sz w:val="18"/>
                      <w:szCs w:val="18"/>
                      <w:highlight w:val="none"/>
                      <w:lang w:val="en-US" w:eastAsia="zh-CN"/>
                      <w14:textFill>
                        <w14:solidFill>
                          <w14:schemeClr w14:val="tx1"/>
                        </w14:solidFill>
                      </w14:textFill>
                    </w:rPr>
                  </w:pPr>
                  <w:r>
                    <w:rPr>
                      <w:rFonts w:hint="eastAsia" w:eastAsia="宋体"/>
                      <w:color w:val="000000" w:themeColor="text1"/>
                      <w:sz w:val="18"/>
                      <w:szCs w:val="18"/>
                      <w:highlight w:val="none"/>
                      <w:lang w:val="en-US" w:eastAsia="zh-CN"/>
                      <w14:textFill>
                        <w14:solidFill>
                          <w14:schemeClr w14:val="tx1"/>
                        </w14:solidFill>
                      </w14:textFill>
                    </w:rPr>
                    <w:t>4、本项目在现有厂区内进行</w:t>
                  </w:r>
                  <w:r>
                    <w:rPr>
                      <w:rFonts w:hint="eastAsia"/>
                      <w:color w:val="000000" w:themeColor="text1"/>
                      <w:sz w:val="18"/>
                      <w:szCs w:val="18"/>
                      <w:highlight w:val="none"/>
                      <w:lang w:val="en-US" w:eastAsia="zh-CN"/>
                      <w14:textFill>
                        <w14:solidFill>
                          <w14:schemeClr w14:val="tx1"/>
                        </w14:solidFill>
                      </w14:textFill>
                    </w:rPr>
                    <w:t>改扩建</w:t>
                  </w:r>
                  <w:r>
                    <w:rPr>
                      <w:rFonts w:hint="eastAsia" w:eastAsia="宋体"/>
                      <w:color w:val="000000" w:themeColor="text1"/>
                      <w:sz w:val="18"/>
                      <w:szCs w:val="18"/>
                      <w:highlight w:val="none"/>
                      <w:lang w:val="en-US" w:eastAsia="zh-CN"/>
                      <w14:textFill>
                        <w14:solidFill>
                          <w14:schemeClr w14:val="tx1"/>
                        </w14:solidFill>
                      </w14:textFill>
                    </w:rPr>
                    <w:t>，未侵占永久基本农田；</w:t>
                  </w:r>
                </w:p>
                <w:p w14:paraId="679E211B">
                  <w:pPr>
                    <w:keepNext w:val="0"/>
                    <w:keepLines w:val="0"/>
                    <w:pageBreakBefore w:val="0"/>
                    <w:kinsoku/>
                    <w:wordWrap/>
                    <w:overflowPunct/>
                    <w:topLinePunct w:val="0"/>
                    <w:bidi w:val="0"/>
                    <w:adjustRightInd w:val="0"/>
                    <w:snapToGrid w:val="0"/>
                    <w:spacing w:line="240" w:lineRule="auto"/>
                    <w:ind w:left="0" w:leftChars="0" w:firstLine="0" w:firstLineChars="0"/>
                    <w:rPr>
                      <w:rFonts w:hint="eastAsia" w:eastAsia="宋体"/>
                      <w:color w:val="000000" w:themeColor="text1"/>
                      <w:sz w:val="18"/>
                      <w:szCs w:val="18"/>
                      <w:highlight w:val="none"/>
                      <w:lang w:val="en-US" w:eastAsia="zh-CN"/>
                      <w14:textFill>
                        <w14:solidFill>
                          <w14:schemeClr w14:val="tx1"/>
                        </w14:solidFill>
                      </w14:textFill>
                    </w:rPr>
                  </w:pPr>
                  <w:r>
                    <w:rPr>
                      <w:rFonts w:hint="eastAsia" w:eastAsia="宋体"/>
                      <w:color w:val="000000" w:themeColor="text1"/>
                      <w:sz w:val="18"/>
                      <w:szCs w:val="18"/>
                      <w:highlight w:val="none"/>
                      <w:lang w:val="en-US" w:eastAsia="zh-CN"/>
                      <w14:textFill>
                        <w14:solidFill>
                          <w14:schemeClr w14:val="tx1"/>
                        </w14:solidFill>
                      </w14:textFill>
                    </w:rPr>
                    <w:t>5、本项目不属于养殖类项目；</w:t>
                  </w:r>
                </w:p>
                <w:p w14:paraId="5366F627">
                  <w:pPr>
                    <w:keepNext w:val="0"/>
                    <w:keepLines w:val="0"/>
                    <w:pageBreakBefore w:val="0"/>
                    <w:kinsoku/>
                    <w:wordWrap/>
                    <w:overflowPunct/>
                    <w:topLinePunct w:val="0"/>
                    <w:bidi w:val="0"/>
                    <w:adjustRightInd w:val="0"/>
                    <w:snapToGrid w:val="0"/>
                    <w:spacing w:line="240" w:lineRule="auto"/>
                    <w:ind w:left="0" w:leftChars="0" w:firstLine="0" w:firstLineChars="0"/>
                    <w:rPr>
                      <w:rFonts w:hint="default" w:eastAsia="宋体"/>
                      <w:color w:val="000000" w:themeColor="text1"/>
                      <w:sz w:val="18"/>
                      <w:szCs w:val="18"/>
                      <w:highlight w:val="none"/>
                      <w:lang w:val="en-US" w:eastAsia="zh-CN"/>
                      <w14:textFill>
                        <w14:solidFill>
                          <w14:schemeClr w14:val="tx1"/>
                        </w14:solidFill>
                      </w14:textFill>
                    </w:rPr>
                  </w:pPr>
                  <w:r>
                    <w:rPr>
                      <w:rFonts w:hint="eastAsia" w:eastAsia="宋体"/>
                      <w:color w:val="000000" w:themeColor="text1"/>
                      <w:sz w:val="18"/>
                      <w:szCs w:val="18"/>
                      <w:highlight w:val="none"/>
                      <w:lang w:val="en-US" w:eastAsia="zh-CN"/>
                      <w14:textFill>
                        <w14:solidFill>
                          <w14:schemeClr w14:val="tx1"/>
                        </w14:solidFill>
                      </w14:textFill>
                    </w:rPr>
                    <w:t>6、不涉及；</w:t>
                  </w:r>
                </w:p>
              </w:tc>
            </w:tr>
            <w:tr w14:paraId="5FE7B0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79" w:type="pct"/>
                  <w:vMerge w:val="continue"/>
                  <w:noWrap w:val="0"/>
                  <w:vAlign w:val="center"/>
                </w:tcPr>
                <w:p w14:paraId="7343A734">
                  <w:pPr>
                    <w:keepNext w:val="0"/>
                    <w:keepLines w:val="0"/>
                    <w:pageBreakBefore w:val="0"/>
                    <w:widowControl/>
                    <w:kinsoku/>
                    <w:wordWrap/>
                    <w:overflowPunct/>
                    <w:topLinePunct w:val="0"/>
                    <w:bidi w:val="0"/>
                    <w:adjustRightInd w:val="0"/>
                    <w:snapToGrid w:val="0"/>
                    <w:spacing w:line="240" w:lineRule="auto"/>
                    <w:ind w:left="0" w:leftChars="0" w:right="0" w:rightChars="0"/>
                    <w:jc w:val="center"/>
                    <w:rPr>
                      <w:rFonts w:eastAsia="宋体"/>
                      <w:color w:val="000000" w:themeColor="text1"/>
                      <w:sz w:val="18"/>
                      <w:szCs w:val="18"/>
                      <w:highlight w:val="none"/>
                      <w14:textFill>
                        <w14:solidFill>
                          <w14:schemeClr w14:val="tx1"/>
                        </w14:solidFill>
                      </w14:textFill>
                    </w:rPr>
                  </w:pPr>
                </w:p>
              </w:tc>
              <w:tc>
                <w:tcPr>
                  <w:tcW w:w="540" w:type="pct"/>
                  <w:noWrap w:val="0"/>
                  <w:vAlign w:val="center"/>
                </w:tcPr>
                <w:p w14:paraId="0941C6AD">
                  <w:pPr>
                    <w:keepNext w:val="0"/>
                    <w:keepLines w:val="0"/>
                    <w:pageBreakBefore w:val="0"/>
                    <w:widowControl/>
                    <w:kinsoku/>
                    <w:wordWrap/>
                    <w:overflowPunct/>
                    <w:topLinePunct w:val="0"/>
                    <w:bidi w:val="0"/>
                    <w:adjustRightInd w:val="0"/>
                    <w:snapToGrid w:val="0"/>
                    <w:spacing w:line="240" w:lineRule="auto"/>
                    <w:ind w:left="0" w:leftChars="0" w:right="0" w:rightChars="0"/>
                    <w:jc w:val="center"/>
                    <w:textAlignment w:val="center"/>
                    <w:rPr>
                      <w:rFonts w:eastAsia="宋体"/>
                      <w:color w:val="000000" w:themeColor="text1"/>
                      <w:kern w:val="0"/>
                      <w:sz w:val="18"/>
                      <w:szCs w:val="18"/>
                      <w:highlight w:val="none"/>
                      <w14:textFill>
                        <w14:solidFill>
                          <w14:schemeClr w14:val="tx1"/>
                        </w14:solidFill>
                      </w14:textFill>
                    </w:rPr>
                  </w:pPr>
                  <w:r>
                    <w:rPr>
                      <w:rFonts w:eastAsia="宋体"/>
                      <w:color w:val="000000" w:themeColor="text1"/>
                      <w:kern w:val="0"/>
                      <w:sz w:val="18"/>
                      <w:szCs w:val="18"/>
                      <w:highlight w:val="none"/>
                      <w:lang w:bidi="ar"/>
                      <w14:textFill>
                        <w14:solidFill>
                          <w14:schemeClr w14:val="tx1"/>
                        </w14:solidFill>
                      </w14:textFill>
                    </w:rPr>
                    <w:t>污染物排放管控</w:t>
                  </w:r>
                </w:p>
              </w:tc>
              <w:tc>
                <w:tcPr>
                  <w:tcW w:w="2532" w:type="pct"/>
                  <w:noWrap w:val="0"/>
                  <w:vAlign w:val="center"/>
                </w:tcPr>
                <w:p w14:paraId="2E831C5B">
                  <w:pPr>
                    <w:keepNext w:val="0"/>
                    <w:keepLines w:val="0"/>
                    <w:pageBreakBefore w:val="0"/>
                    <w:kinsoku/>
                    <w:wordWrap/>
                    <w:overflowPunct/>
                    <w:topLinePunct w:val="0"/>
                    <w:bidi w:val="0"/>
                    <w:adjustRightInd w:val="0"/>
                    <w:snapToGrid w:val="0"/>
                    <w:spacing w:line="240" w:lineRule="auto"/>
                    <w:ind w:left="0" w:leftChars="0" w:right="0" w:rightChars="0"/>
                    <w:rPr>
                      <w:rFonts w:eastAsia="宋体"/>
                      <w:color w:val="000000" w:themeColor="text1"/>
                      <w:sz w:val="18"/>
                      <w:szCs w:val="18"/>
                      <w:highlight w:val="none"/>
                      <w14:textFill>
                        <w14:solidFill>
                          <w14:schemeClr w14:val="tx1"/>
                        </w14:solidFill>
                      </w14:textFill>
                    </w:rPr>
                  </w:pPr>
                  <w:r>
                    <w:rPr>
                      <w:rFonts w:eastAsia="宋体"/>
                      <w:color w:val="000000" w:themeColor="text1"/>
                      <w:sz w:val="18"/>
                      <w:szCs w:val="18"/>
                      <w:highlight w:val="none"/>
                      <w14:textFill>
                        <w14:solidFill>
                          <w14:schemeClr w14:val="tx1"/>
                        </w14:solidFill>
                      </w14:textFill>
                    </w:rPr>
                    <w:t>1、深入推进扬尘污染综合防治。加强机动车辆环保管理。</w:t>
                  </w:r>
                </w:p>
                <w:p w14:paraId="5837F695">
                  <w:pPr>
                    <w:keepNext w:val="0"/>
                    <w:keepLines w:val="0"/>
                    <w:pageBreakBefore w:val="0"/>
                    <w:kinsoku/>
                    <w:wordWrap/>
                    <w:overflowPunct/>
                    <w:topLinePunct w:val="0"/>
                    <w:bidi w:val="0"/>
                    <w:adjustRightInd w:val="0"/>
                    <w:snapToGrid w:val="0"/>
                    <w:spacing w:line="240" w:lineRule="auto"/>
                    <w:ind w:left="0" w:leftChars="0" w:firstLine="0"/>
                    <w:rPr>
                      <w:rFonts w:eastAsia="宋体"/>
                      <w:color w:val="000000" w:themeColor="text1"/>
                      <w:kern w:val="0"/>
                      <w:sz w:val="18"/>
                      <w:szCs w:val="18"/>
                      <w:highlight w:val="none"/>
                      <w14:textFill>
                        <w14:solidFill>
                          <w14:schemeClr w14:val="tx1"/>
                        </w14:solidFill>
                      </w14:textFill>
                    </w:rPr>
                  </w:pPr>
                  <w:r>
                    <w:rPr>
                      <w:rFonts w:hint="eastAsia" w:eastAsia="宋体"/>
                      <w:color w:val="000000" w:themeColor="text1"/>
                      <w:kern w:val="0"/>
                      <w:sz w:val="18"/>
                      <w:szCs w:val="18"/>
                      <w:highlight w:val="none"/>
                      <w14:textFill>
                        <w14:solidFill>
                          <w14:schemeClr w14:val="tx1"/>
                        </w14:solidFill>
                      </w14:textFill>
                    </w:rPr>
                    <w:t>2、加快城镇污水处理设施及配套管网建设与改造。提高城市生活垃圾处理减量化、资源化和无害化水平，建制镇建成区基本实现生活垃圾收集、转运、处理能力全覆盖。</w:t>
                  </w:r>
                </w:p>
                <w:p w14:paraId="68890CF8">
                  <w:pPr>
                    <w:keepNext w:val="0"/>
                    <w:keepLines w:val="0"/>
                    <w:pageBreakBefore w:val="0"/>
                    <w:kinsoku/>
                    <w:wordWrap/>
                    <w:overflowPunct/>
                    <w:topLinePunct w:val="0"/>
                    <w:bidi w:val="0"/>
                    <w:adjustRightInd w:val="0"/>
                    <w:snapToGrid w:val="0"/>
                    <w:spacing w:line="240" w:lineRule="auto"/>
                    <w:ind w:left="0" w:leftChars="0" w:firstLine="0"/>
                    <w:rPr>
                      <w:rFonts w:eastAsia="宋体"/>
                      <w:color w:val="000000" w:themeColor="text1"/>
                      <w:kern w:val="0"/>
                      <w:sz w:val="18"/>
                      <w:szCs w:val="18"/>
                      <w:highlight w:val="none"/>
                      <w14:textFill>
                        <w14:solidFill>
                          <w14:schemeClr w14:val="tx1"/>
                        </w14:solidFill>
                      </w14:textFill>
                    </w:rPr>
                  </w:pPr>
                  <w:r>
                    <w:rPr>
                      <w:rFonts w:hint="eastAsia" w:eastAsia="宋体"/>
                      <w:color w:val="000000" w:themeColor="text1"/>
                      <w:kern w:val="0"/>
                      <w:sz w:val="18"/>
                      <w:szCs w:val="18"/>
                      <w:highlight w:val="none"/>
                      <w14:textFill>
                        <w14:solidFill>
                          <w14:schemeClr w14:val="tx1"/>
                        </w14:solidFill>
                      </w14:textFill>
                    </w:rPr>
                    <w:t>3、建设项目的噪声污染防治设施应当与主体工程同时设计、同时施工、同时投产使用。排放噪声的工业企业应切实采取</w:t>
                  </w:r>
                  <w:r>
                    <w:rPr>
                      <w:rFonts w:hint="eastAsia"/>
                      <w:color w:val="000000" w:themeColor="text1"/>
                      <w:kern w:val="0"/>
                      <w:sz w:val="18"/>
                      <w:szCs w:val="18"/>
                      <w:highlight w:val="none"/>
                      <w:lang w:eastAsia="zh-CN"/>
                      <w14:textFill>
                        <w14:solidFill>
                          <w14:schemeClr w14:val="tx1"/>
                        </w14:solidFill>
                      </w14:textFill>
                    </w:rPr>
                    <w:t>减震</w:t>
                  </w:r>
                  <w:r>
                    <w:rPr>
                      <w:rFonts w:hint="eastAsia" w:eastAsia="宋体"/>
                      <w:color w:val="000000" w:themeColor="text1"/>
                      <w:kern w:val="0"/>
                      <w:sz w:val="18"/>
                      <w:szCs w:val="18"/>
                      <w:highlight w:val="none"/>
                      <w14:textFill>
                        <w14:solidFill>
                          <w14:schemeClr w14:val="tx1"/>
                        </w14:solidFill>
                      </w14:textFill>
                    </w:rPr>
                    <w:t>降噪措施，加强厂区内固定设备、运输工具货物装卸等噪声源管理，同时避免突发噪声扰民。</w:t>
                  </w:r>
                </w:p>
                <w:p w14:paraId="16763917">
                  <w:pPr>
                    <w:keepNext w:val="0"/>
                    <w:keepLines w:val="0"/>
                    <w:pageBreakBefore w:val="0"/>
                    <w:kinsoku/>
                    <w:wordWrap/>
                    <w:overflowPunct/>
                    <w:topLinePunct w:val="0"/>
                    <w:bidi w:val="0"/>
                    <w:adjustRightInd w:val="0"/>
                    <w:snapToGrid w:val="0"/>
                    <w:spacing w:line="240" w:lineRule="auto"/>
                    <w:ind w:left="0" w:leftChars="0" w:right="0" w:rightChars="0"/>
                    <w:rPr>
                      <w:rFonts w:eastAsia="宋体"/>
                      <w:color w:val="000000" w:themeColor="text1"/>
                      <w:sz w:val="18"/>
                      <w:szCs w:val="18"/>
                      <w:highlight w:val="none"/>
                      <w14:textFill>
                        <w14:solidFill>
                          <w14:schemeClr w14:val="tx1"/>
                        </w14:solidFill>
                      </w14:textFill>
                    </w:rPr>
                  </w:pPr>
                  <w:r>
                    <w:rPr>
                      <w:rFonts w:hint="eastAsia" w:eastAsia="宋体"/>
                      <w:color w:val="000000" w:themeColor="text1"/>
                      <w:sz w:val="18"/>
                      <w:szCs w:val="18"/>
                      <w:highlight w:val="none"/>
                      <w14:textFill>
                        <w14:solidFill>
                          <w14:schemeClr w14:val="tx1"/>
                        </w14:solidFill>
                      </w14:textFill>
                    </w:rPr>
                    <w:t>4</w:t>
                  </w:r>
                  <w:r>
                    <w:rPr>
                      <w:rFonts w:eastAsia="宋体"/>
                      <w:color w:val="000000" w:themeColor="text1"/>
                      <w:sz w:val="18"/>
                      <w:szCs w:val="18"/>
                      <w:highlight w:val="none"/>
                      <w14:textFill>
                        <w14:solidFill>
                          <w14:schemeClr w14:val="tx1"/>
                        </w14:solidFill>
                      </w14:textFill>
                    </w:rPr>
                    <w:t>、</w:t>
                  </w:r>
                  <w:r>
                    <w:rPr>
                      <w:rFonts w:hint="eastAsia" w:eastAsia="宋体"/>
                      <w:color w:val="000000" w:themeColor="text1"/>
                      <w:sz w:val="18"/>
                      <w:szCs w:val="18"/>
                      <w:highlight w:val="none"/>
                      <w14:textFill>
                        <w14:solidFill>
                          <w14:schemeClr w14:val="tx1"/>
                        </w14:solidFill>
                      </w14:textFill>
                    </w:rPr>
                    <w:t>县级及以上城市建成区原则上不再新建35蒸吨/小时及以下燃煤锅炉</w:t>
                  </w:r>
                  <w:r>
                    <w:rPr>
                      <w:rFonts w:eastAsia="宋体"/>
                      <w:color w:val="000000" w:themeColor="text1"/>
                      <w:sz w:val="18"/>
                      <w:szCs w:val="18"/>
                      <w:highlight w:val="none"/>
                      <w14:textFill>
                        <w14:solidFill>
                          <w14:schemeClr w14:val="tx1"/>
                        </w14:solidFill>
                      </w14:textFill>
                    </w:rPr>
                    <w:t>。其他地区原则不再新建每小时10蒸吨以下的燃煤锅炉。</w:t>
                  </w:r>
                </w:p>
                <w:p w14:paraId="6DC8755C">
                  <w:pPr>
                    <w:keepNext w:val="0"/>
                    <w:keepLines w:val="0"/>
                    <w:pageBreakBefore w:val="0"/>
                    <w:kinsoku/>
                    <w:wordWrap/>
                    <w:overflowPunct/>
                    <w:topLinePunct w:val="0"/>
                    <w:bidi w:val="0"/>
                    <w:adjustRightInd w:val="0"/>
                    <w:snapToGrid w:val="0"/>
                    <w:spacing w:line="240" w:lineRule="auto"/>
                    <w:ind w:left="0" w:leftChars="0" w:right="0" w:rightChars="0"/>
                    <w:rPr>
                      <w:rFonts w:eastAsia="宋体"/>
                      <w:color w:val="000000" w:themeColor="text1"/>
                      <w:kern w:val="0"/>
                      <w:sz w:val="18"/>
                      <w:szCs w:val="18"/>
                      <w:highlight w:val="none"/>
                      <w14:textFill>
                        <w14:solidFill>
                          <w14:schemeClr w14:val="tx1"/>
                        </w14:solidFill>
                      </w14:textFill>
                    </w:rPr>
                  </w:pPr>
                  <w:r>
                    <w:rPr>
                      <w:rFonts w:hint="eastAsia" w:eastAsia="宋体"/>
                      <w:color w:val="000000" w:themeColor="text1"/>
                      <w:kern w:val="0"/>
                      <w:sz w:val="18"/>
                      <w:szCs w:val="18"/>
                      <w:highlight w:val="none"/>
                      <w14:textFill>
                        <w14:solidFill>
                          <w14:schemeClr w14:val="tx1"/>
                        </w14:solidFill>
                      </w14:textFill>
                    </w:rPr>
                    <w:t>5</w:t>
                  </w:r>
                  <w:r>
                    <w:rPr>
                      <w:rFonts w:eastAsia="宋体"/>
                      <w:color w:val="000000" w:themeColor="text1"/>
                      <w:kern w:val="0"/>
                      <w:sz w:val="18"/>
                      <w:szCs w:val="18"/>
                      <w:highlight w:val="none"/>
                      <w14:textFill>
                        <w14:solidFill>
                          <w14:schemeClr w14:val="tx1"/>
                        </w14:solidFill>
                      </w14:textFill>
                    </w:rPr>
                    <w:t>、所有新建城镇污水处理设施要执行</w:t>
                  </w:r>
                  <w:r>
                    <w:rPr>
                      <w:rFonts w:eastAsia="宋体"/>
                      <w:color w:val="000000" w:themeColor="text1"/>
                      <w:sz w:val="18"/>
                      <w:szCs w:val="18"/>
                      <w:highlight w:val="none"/>
                      <w14:textFill>
                        <w14:solidFill>
                          <w14:schemeClr w14:val="tx1"/>
                        </w14:solidFill>
                      </w14:textFill>
                    </w:rPr>
                    <w:t>《城镇污水处理厂污染物排放标准》（GB18918）中一级A</w:t>
                  </w:r>
                  <w:r>
                    <w:rPr>
                      <w:rFonts w:eastAsia="宋体"/>
                      <w:color w:val="000000" w:themeColor="text1"/>
                      <w:kern w:val="0"/>
                      <w:sz w:val="18"/>
                      <w:szCs w:val="18"/>
                      <w:highlight w:val="none"/>
                      <w14:textFill>
                        <w14:solidFill>
                          <w14:schemeClr w14:val="tx1"/>
                        </w14:solidFill>
                      </w14:textFill>
                    </w:rPr>
                    <w:t>排放标准。新建农村生活污水处理设施执行《农村生活污水处理设施污染物排放标准》（</w:t>
                  </w:r>
                  <w:r>
                    <w:rPr>
                      <w:rFonts w:hint="eastAsia" w:eastAsia="宋体"/>
                      <w:color w:val="000000" w:themeColor="text1"/>
                      <w:kern w:val="0"/>
                      <w:sz w:val="18"/>
                      <w:szCs w:val="18"/>
                      <w:highlight w:val="none"/>
                      <w14:textFill>
                        <w14:solidFill>
                          <w14:schemeClr w14:val="tx1"/>
                        </w14:solidFill>
                      </w14:textFill>
                    </w:rPr>
                    <w:t>D</w:t>
                  </w:r>
                  <w:r>
                    <w:rPr>
                      <w:rFonts w:eastAsia="宋体"/>
                      <w:color w:val="000000" w:themeColor="text1"/>
                      <w:kern w:val="0"/>
                      <w:sz w:val="18"/>
                      <w:szCs w:val="18"/>
                      <w:highlight w:val="none"/>
                      <w14:textFill>
                        <w14:solidFill>
                          <w14:schemeClr w14:val="tx1"/>
                        </w14:solidFill>
                      </w14:textFill>
                    </w:rPr>
                    <w:t>BHJ/001</w:t>
                  </w:r>
                  <w:r>
                    <w:rPr>
                      <w:rFonts w:hint="eastAsia" w:eastAsia="宋体"/>
                      <w:color w:val="000000" w:themeColor="text1"/>
                      <w:kern w:val="0"/>
                      <w:sz w:val="18"/>
                      <w:szCs w:val="18"/>
                      <w:highlight w:val="none"/>
                      <w14:textFill>
                        <w14:solidFill>
                          <w14:schemeClr w14:val="tx1"/>
                        </w14:solidFill>
                      </w14:textFill>
                    </w:rPr>
                    <w:t>）</w:t>
                  </w:r>
                  <w:r>
                    <w:rPr>
                      <w:rFonts w:eastAsia="宋体"/>
                      <w:color w:val="000000" w:themeColor="text1"/>
                      <w:kern w:val="0"/>
                      <w:sz w:val="18"/>
                      <w:szCs w:val="18"/>
                      <w:highlight w:val="none"/>
                      <w14:textFill>
                        <w14:solidFill>
                          <w14:schemeClr w14:val="tx1"/>
                        </w14:solidFill>
                      </w14:textFill>
                    </w:rPr>
                    <w:t>中相关标准。</w:t>
                  </w:r>
                </w:p>
                <w:p w14:paraId="0BBE2690">
                  <w:pPr>
                    <w:keepNext w:val="0"/>
                    <w:keepLines w:val="0"/>
                    <w:pageBreakBefore w:val="0"/>
                    <w:kinsoku/>
                    <w:wordWrap/>
                    <w:overflowPunct/>
                    <w:topLinePunct w:val="0"/>
                    <w:bidi w:val="0"/>
                    <w:adjustRightInd w:val="0"/>
                    <w:snapToGrid w:val="0"/>
                    <w:spacing w:line="240" w:lineRule="auto"/>
                    <w:ind w:left="0" w:leftChars="0" w:right="0" w:rightChars="0"/>
                    <w:rPr>
                      <w:rFonts w:eastAsia="宋体"/>
                      <w:color w:val="000000" w:themeColor="text1"/>
                      <w:sz w:val="18"/>
                      <w:szCs w:val="18"/>
                      <w:highlight w:val="none"/>
                      <w14:textFill>
                        <w14:solidFill>
                          <w14:schemeClr w14:val="tx1"/>
                        </w14:solidFill>
                      </w14:textFill>
                    </w:rPr>
                  </w:pPr>
                  <w:r>
                    <w:rPr>
                      <w:rFonts w:hint="eastAsia" w:eastAsia="宋体"/>
                      <w:color w:val="000000" w:themeColor="text1"/>
                      <w:sz w:val="18"/>
                      <w:szCs w:val="18"/>
                      <w:highlight w:val="none"/>
                      <w14:textFill>
                        <w14:solidFill>
                          <w14:schemeClr w14:val="tx1"/>
                        </w14:solidFill>
                      </w14:textFill>
                    </w:rPr>
                    <w:t>6</w:t>
                  </w:r>
                  <w:r>
                    <w:rPr>
                      <w:rFonts w:eastAsia="宋体"/>
                      <w:color w:val="000000" w:themeColor="text1"/>
                      <w:sz w:val="18"/>
                      <w:szCs w:val="18"/>
                      <w:highlight w:val="none"/>
                      <w14:textFill>
                        <w14:solidFill>
                          <w14:schemeClr w14:val="tx1"/>
                        </w14:solidFill>
                      </w14:textFill>
                    </w:rPr>
                    <w:t>、禁止向农用地排放重金属或者其他有毒有害物质含量超标的污水、污泥，以及可能造成土壤污染的清淤底泥、尾矿、矿渣等。</w:t>
                  </w:r>
                </w:p>
              </w:tc>
              <w:tc>
                <w:tcPr>
                  <w:tcW w:w="1246" w:type="pct"/>
                  <w:noWrap w:val="0"/>
                  <w:vAlign w:val="center"/>
                </w:tcPr>
                <w:p w14:paraId="630C7335">
                  <w:pPr>
                    <w:keepNext w:val="0"/>
                    <w:keepLines w:val="0"/>
                    <w:pageBreakBefore w:val="0"/>
                    <w:kinsoku/>
                    <w:wordWrap/>
                    <w:overflowPunct/>
                    <w:topLinePunct w:val="0"/>
                    <w:bidi w:val="0"/>
                    <w:adjustRightInd w:val="0"/>
                    <w:snapToGrid w:val="0"/>
                    <w:spacing w:line="240" w:lineRule="auto"/>
                    <w:ind w:left="0" w:leftChars="0" w:right="0" w:rightChars="0"/>
                    <w:rPr>
                      <w:rFonts w:hint="default" w:eastAsia="宋体"/>
                      <w:color w:val="000000" w:themeColor="text1"/>
                      <w:sz w:val="18"/>
                      <w:szCs w:val="18"/>
                      <w:highlight w:val="none"/>
                      <w:lang w:val="en-US" w:eastAsia="zh-CN"/>
                      <w14:textFill>
                        <w14:solidFill>
                          <w14:schemeClr w14:val="tx1"/>
                        </w14:solidFill>
                      </w14:textFill>
                    </w:rPr>
                  </w:pPr>
                  <w:r>
                    <w:rPr>
                      <w:rFonts w:hint="eastAsia" w:eastAsia="宋体"/>
                      <w:color w:val="000000" w:themeColor="text1"/>
                      <w:sz w:val="18"/>
                      <w:szCs w:val="18"/>
                      <w:highlight w:val="none"/>
                      <w:lang w:val="en-US" w:eastAsia="zh-CN"/>
                      <w14:textFill>
                        <w14:solidFill>
                          <w14:schemeClr w14:val="tx1"/>
                        </w14:solidFill>
                      </w14:textFill>
                    </w:rPr>
                    <w:t>本项目为污水处理厂</w:t>
                  </w:r>
                  <w:r>
                    <w:rPr>
                      <w:rFonts w:hint="eastAsia"/>
                      <w:color w:val="000000" w:themeColor="text1"/>
                      <w:sz w:val="18"/>
                      <w:szCs w:val="18"/>
                      <w:highlight w:val="none"/>
                      <w:lang w:val="en-US" w:eastAsia="zh-CN"/>
                      <w14:textFill>
                        <w14:solidFill>
                          <w14:schemeClr w14:val="tx1"/>
                        </w14:solidFill>
                      </w14:textFill>
                    </w:rPr>
                    <w:t>改扩建</w:t>
                  </w:r>
                  <w:r>
                    <w:rPr>
                      <w:rFonts w:hint="eastAsia" w:eastAsia="宋体"/>
                      <w:color w:val="000000" w:themeColor="text1"/>
                      <w:sz w:val="18"/>
                      <w:szCs w:val="18"/>
                      <w:highlight w:val="none"/>
                      <w:lang w:val="en-US" w:eastAsia="zh-CN"/>
                      <w14:textFill>
                        <w14:solidFill>
                          <w14:schemeClr w14:val="tx1"/>
                        </w14:solidFill>
                      </w14:textFill>
                    </w:rPr>
                    <w:t>项目，可有效改善城镇生活污水治理现状，提高收集和处理能力。改造后出水水质满足</w:t>
                  </w:r>
                  <w:r>
                    <w:rPr>
                      <w:rFonts w:eastAsia="宋体"/>
                      <w:color w:val="000000" w:themeColor="text1"/>
                      <w:sz w:val="18"/>
                      <w:szCs w:val="18"/>
                      <w:highlight w:val="none"/>
                      <w14:textFill>
                        <w14:solidFill>
                          <w14:schemeClr w14:val="tx1"/>
                        </w14:solidFill>
                      </w14:textFill>
                    </w:rPr>
                    <w:t>《城镇污水处理厂污染物排放标准》（GB18918）</w:t>
                  </w:r>
                  <w:r>
                    <w:rPr>
                      <w:rFonts w:hint="eastAsia" w:eastAsia="宋体"/>
                      <w:color w:val="000000" w:themeColor="text1"/>
                      <w:sz w:val="18"/>
                      <w:szCs w:val="18"/>
                      <w:highlight w:val="none"/>
                      <w14:textFill>
                        <w14:solidFill>
                          <w14:schemeClr w14:val="tx1"/>
                        </w14:solidFill>
                      </w14:textFill>
                    </w:rPr>
                    <w:t>（含2006年、2025年修改单）</w:t>
                  </w:r>
                  <w:r>
                    <w:rPr>
                      <w:rFonts w:eastAsia="宋体"/>
                      <w:color w:val="000000" w:themeColor="text1"/>
                      <w:sz w:val="18"/>
                      <w:szCs w:val="18"/>
                      <w:highlight w:val="none"/>
                      <w14:textFill>
                        <w14:solidFill>
                          <w14:schemeClr w14:val="tx1"/>
                        </w14:solidFill>
                      </w14:textFill>
                    </w:rPr>
                    <w:t>中一级A</w:t>
                  </w:r>
                  <w:r>
                    <w:rPr>
                      <w:rFonts w:eastAsia="宋体"/>
                      <w:color w:val="000000" w:themeColor="text1"/>
                      <w:kern w:val="0"/>
                      <w:sz w:val="18"/>
                      <w:szCs w:val="18"/>
                      <w:highlight w:val="none"/>
                      <w14:textFill>
                        <w14:solidFill>
                          <w14:schemeClr w14:val="tx1"/>
                        </w14:solidFill>
                      </w14:textFill>
                    </w:rPr>
                    <w:t>排放标准。</w:t>
                  </w:r>
                </w:p>
              </w:tc>
            </w:tr>
            <w:tr w14:paraId="0F58B4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79" w:type="pct"/>
                  <w:vMerge w:val="continue"/>
                  <w:noWrap w:val="0"/>
                  <w:vAlign w:val="center"/>
                </w:tcPr>
                <w:p w14:paraId="432DE658">
                  <w:pPr>
                    <w:keepNext w:val="0"/>
                    <w:keepLines w:val="0"/>
                    <w:pageBreakBefore w:val="0"/>
                    <w:widowControl/>
                    <w:kinsoku/>
                    <w:wordWrap/>
                    <w:overflowPunct/>
                    <w:topLinePunct w:val="0"/>
                    <w:bidi w:val="0"/>
                    <w:adjustRightInd w:val="0"/>
                    <w:snapToGrid w:val="0"/>
                    <w:spacing w:line="240" w:lineRule="auto"/>
                    <w:ind w:left="0" w:leftChars="0" w:right="0" w:rightChars="0"/>
                    <w:jc w:val="center"/>
                    <w:rPr>
                      <w:rFonts w:eastAsia="宋体"/>
                      <w:color w:val="000000" w:themeColor="text1"/>
                      <w:sz w:val="18"/>
                      <w:szCs w:val="18"/>
                      <w:highlight w:val="none"/>
                      <w14:textFill>
                        <w14:solidFill>
                          <w14:schemeClr w14:val="tx1"/>
                        </w14:solidFill>
                      </w14:textFill>
                    </w:rPr>
                  </w:pPr>
                </w:p>
              </w:tc>
              <w:tc>
                <w:tcPr>
                  <w:tcW w:w="540" w:type="pct"/>
                  <w:noWrap w:val="0"/>
                  <w:vAlign w:val="center"/>
                </w:tcPr>
                <w:p w14:paraId="18F546F7">
                  <w:pPr>
                    <w:keepNext w:val="0"/>
                    <w:keepLines w:val="0"/>
                    <w:pageBreakBefore w:val="0"/>
                    <w:widowControl/>
                    <w:kinsoku/>
                    <w:wordWrap/>
                    <w:overflowPunct/>
                    <w:topLinePunct w:val="0"/>
                    <w:bidi w:val="0"/>
                    <w:adjustRightInd w:val="0"/>
                    <w:snapToGrid w:val="0"/>
                    <w:spacing w:line="240" w:lineRule="auto"/>
                    <w:ind w:left="0" w:leftChars="0" w:right="0" w:rightChars="0"/>
                    <w:jc w:val="center"/>
                    <w:textAlignment w:val="center"/>
                    <w:rPr>
                      <w:rFonts w:eastAsia="宋体"/>
                      <w:color w:val="000000" w:themeColor="text1"/>
                      <w:kern w:val="0"/>
                      <w:sz w:val="18"/>
                      <w:szCs w:val="18"/>
                      <w:highlight w:val="none"/>
                      <w14:textFill>
                        <w14:solidFill>
                          <w14:schemeClr w14:val="tx1"/>
                        </w14:solidFill>
                      </w14:textFill>
                    </w:rPr>
                  </w:pPr>
                  <w:r>
                    <w:rPr>
                      <w:rFonts w:eastAsia="宋体"/>
                      <w:color w:val="000000" w:themeColor="text1"/>
                      <w:sz w:val="18"/>
                      <w:szCs w:val="18"/>
                      <w:highlight w:val="none"/>
                      <w14:textFill>
                        <w14:solidFill>
                          <w14:schemeClr w14:val="tx1"/>
                        </w14:solidFill>
                      </w14:textFill>
                    </w:rPr>
                    <w:t>环境风险防控</w:t>
                  </w:r>
                </w:p>
              </w:tc>
              <w:tc>
                <w:tcPr>
                  <w:tcW w:w="2532" w:type="pct"/>
                  <w:noWrap w:val="0"/>
                  <w:vAlign w:val="center"/>
                </w:tcPr>
                <w:p w14:paraId="16FE24A7">
                  <w:pPr>
                    <w:keepNext w:val="0"/>
                    <w:keepLines w:val="0"/>
                    <w:pageBreakBefore w:val="0"/>
                    <w:widowControl/>
                    <w:kinsoku/>
                    <w:wordWrap/>
                    <w:overflowPunct/>
                    <w:topLinePunct w:val="0"/>
                    <w:bidi w:val="0"/>
                    <w:adjustRightInd w:val="0"/>
                    <w:snapToGrid w:val="0"/>
                    <w:spacing w:line="240" w:lineRule="auto"/>
                    <w:ind w:left="0" w:leftChars="0" w:right="0" w:rightChars="0"/>
                    <w:rPr>
                      <w:rFonts w:eastAsia="宋体"/>
                      <w:color w:val="000000" w:themeColor="text1"/>
                      <w:kern w:val="0"/>
                      <w:sz w:val="18"/>
                      <w:szCs w:val="18"/>
                      <w:highlight w:val="none"/>
                      <w14:textFill>
                        <w14:solidFill>
                          <w14:schemeClr w14:val="tx1"/>
                        </w14:solidFill>
                      </w14:textFill>
                    </w:rPr>
                  </w:pPr>
                  <w:r>
                    <w:rPr>
                      <w:rFonts w:hint="eastAsia" w:eastAsia="宋体"/>
                      <w:color w:val="000000" w:themeColor="text1"/>
                      <w:kern w:val="0"/>
                      <w:sz w:val="18"/>
                      <w:szCs w:val="18"/>
                      <w:highlight w:val="none"/>
                      <w14:textFill>
                        <w14:solidFill>
                          <w14:schemeClr w14:val="tx1"/>
                        </w14:solidFill>
                      </w14:textFill>
                    </w:rPr>
                    <w:t>1、</w:t>
                  </w:r>
                  <w:r>
                    <w:rPr>
                      <w:rFonts w:eastAsia="宋体"/>
                      <w:color w:val="000000" w:themeColor="text1"/>
                      <w:kern w:val="0"/>
                      <w:sz w:val="18"/>
                      <w:szCs w:val="18"/>
                      <w:highlight w:val="none"/>
                      <w14:textFill>
                        <w14:solidFill>
                          <w14:schemeClr w14:val="tx1"/>
                        </w14:solidFill>
                      </w14:textFill>
                    </w:rPr>
                    <w:t>执行全市总体准入要求中关于环境风险防控的准入要求。</w:t>
                  </w:r>
                </w:p>
                <w:p w14:paraId="5E9D6D35">
                  <w:pPr>
                    <w:keepNext w:val="0"/>
                    <w:keepLines w:val="0"/>
                    <w:pageBreakBefore w:val="0"/>
                    <w:kinsoku/>
                    <w:wordWrap/>
                    <w:overflowPunct/>
                    <w:topLinePunct w:val="0"/>
                    <w:bidi w:val="0"/>
                    <w:adjustRightInd w:val="0"/>
                    <w:snapToGrid w:val="0"/>
                    <w:spacing w:line="240" w:lineRule="auto"/>
                    <w:ind w:left="0" w:leftChars="0" w:right="0" w:rightChars="0" w:firstLine="0"/>
                    <w:rPr>
                      <w:rFonts w:eastAsia="宋体"/>
                      <w:color w:val="000000" w:themeColor="text1"/>
                      <w:kern w:val="0"/>
                      <w:sz w:val="18"/>
                      <w:szCs w:val="18"/>
                      <w:highlight w:val="none"/>
                      <w14:textFill>
                        <w14:solidFill>
                          <w14:schemeClr w14:val="tx1"/>
                        </w14:solidFill>
                      </w14:textFill>
                    </w:rPr>
                  </w:pPr>
                  <w:r>
                    <w:rPr>
                      <w:rFonts w:hint="eastAsia" w:eastAsia="宋体"/>
                      <w:color w:val="000000" w:themeColor="text1"/>
                      <w:kern w:val="0"/>
                      <w:sz w:val="18"/>
                      <w:szCs w:val="18"/>
                      <w:highlight w:val="none"/>
                      <w14:textFill>
                        <w14:solidFill>
                          <w14:schemeClr w14:val="tx1"/>
                        </w14:solidFill>
                      </w14:textFill>
                    </w:rPr>
                    <w:t>2、执行《磴口县突发环境事件应急预案》相关规定，建设突发事件应急物资储备库或能依托区域有效的公共物资库，并定期进行修编。</w:t>
                  </w:r>
                </w:p>
              </w:tc>
              <w:tc>
                <w:tcPr>
                  <w:tcW w:w="1246" w:type="pct"/>
                  <w:noWrap w:val="0"/>
                  <w:vAlign w:val="center"/>
                </w:tcPr>
                <w:p w14:paraId="190A6F06">
                  <w:pPr>
                    <w:keepNext w:val="0"/>
                    <w:keepLines w:val="0"/>
                    <w:pageBreakBefore w:val="0"/>
                    <w:kinsoku/>
                    <w:wordWrap/>
                    <w:overflowPunct/>
                    <w:topLinePunct w:val="0"/>
                    <w:bidi w:val="0"/>
                    <w:adjustRightInd w:val="0"/>
                    <w:snapToGrid w:val="0"/>
                    <w:spacing w:line="240" w:lineRule="auto"/>
                    <w:ind w:left="0" w:leftChars="0" w:right="0" w:rightChars="0" w:firstLine="0"/>
                    <w:rPr>
                      <w:rFonts w:hint="eastAsia" w:eastAsia="宋体"/>
                      <w:color w:val="000000" w:themeColor="text1"/>
                      <w:kern w:val="0"/>
                      <w:sz w:val="18"/>
                      <w:szCs w:val="18"/>
                      <w:highlight w:val="none"/>
                      <w:lang w:eastAsia="zh-CN"/>
                      <w14:textFill>
                        <w14:solidFill>
                          <w14:schemeClr w14:val="tx1"/>
                        </w14:solidFill>
                      </w14:textFill>
                    </w:rPr>
                  </w:pPr>
                  <w:r>
                    <w:rPr>
                      <w:rFonts w:hint="eastAsia" w:eastAsia="宋体"/>
                      <w:color w:val="000000" w:themeColor="text1"/>
                      <w:kern w:val="0"/>
                      <w:sz w:val="18"/>
                      <w:szCs w:val="18"/>
                      <w:highlight w:val="none"/>
                      <w14:textFill>
                        <w14:solidFill>
                          <w14:schemeClr w14:val="tx1"/>
                        </w14:solidFill>
                      </w14:textFill>
                    </w:rPr>
                    <w:t>针对本次</w:t>
                  </w:r>
                  <w:r>
                    <w:rPr>
                      <w:rFonts w:hint="eastAsia"/>
                      <w:color w:val="000000" w:themeColor="text1"/>
                      <w:kern w:val="0"/>
                      <w:sz w:val="18"/>
                      <w:szCs w:val="18"/>
                      <w:highlight w:val="none"/>
                      <w:lang w:val="en-US" w:eastAsia="zh-CN"/>
                      <w14:textFill>
                        <w14:solidFill>
                          <w14:schemeClr w14:val="tx1"/>
                        </w14:solidFill>
                      </w14:textFill>
                    </w:rPr>
                    <w:t>改扩建</w:t>
                  </w:r>
                  <w:r>
                    <w:rPr>
                      <w:rFonts w:hint="eastAsia" w:eastAsia="宋体"/>
                      <w:color w:val="000000" w:themeColor="text1"/>
                      <w:kern w:val="0"/>
                      <w:sz w:val="18"/>
                      <w:szCs w:val="18"/>
                      <w:highlight w:val="none"/>
                      <w14:textFill>
                        <w14:solidFill>
                          <w14:schemeClr w14:val="tx1"/>
                        </w14:solidFill>
                      </w14:textFill>
                    </w:rPr>
                    <w:t>内容对</w:t>
                  </w:r>
                  <w:r>
                    <w:rPr>
                      <w:rFonts w:hint="eastAsia"/>
                      <w:color w:val="000000" w:themeColor="text1"/>
                      <w:kern w:val="0"/>
                      <w:sz w:val="18"/>
                      <w:szCs w:val="18"/>
                      <w:highlight w:val="none"/>
                      <w:lang w:val="en-US" w:eastAsia="zh-CN"/>
                      <w14:textFill>
                        <w14:solidFill>
                          <w14:schemeClr w14:val="tx1"/>
                        </w14:solidFill>
                      </w14:textFill>
                    </w:rPr>
                    <w:t>企业</w:t>
                  </w:r>
                  <w:r>
                    <w:rPr>
                      <w:rFonts w:hint="eastAsia" w:eastAsia="宋体"/>
                      <w:color w:val="000000" w:themeColor="text1"/>
                      <w:kern w:val="0"/>
                      <w:sz w:val="18"/>
                      <w:szCs w:val="18"/>
                      <w:highlight w:val="none"/>
                      <w14:textFill>
                        <w14:solidFill>
                          <w14:schemeClr w14:val="tx1"/>
                        </w14:solidFill>
                      </w14:textFill>
                    </w:rPr>
                    <w:t>突发环境事件应急预案进行更新完善</w:t>
                  </w:r>
                  <w:r>
                    <w:rPr>
                      <w:rFonts w:hint="eastAsia" w:eastAsia="宋体"/>
                      <w:color w:val="000000" w:themeColor="text1"/>
                      <w:kern w:val="0"/>
                      <w:sz w:val="18"/>
                      <w:szCs w:val="18"/>
                      <w:highlight w:val="none"/>
                      <w:lang w:eastAsia="zh-CN"/>
                      <w14:textFill>
                        <w14:solidFill>
                          <w14:schemeClr w14:val="tx1"/>
                        </w14:solidFill>
                      </w14:textFill>
                    </w:rPr>
                    <w:t>。</w:t>
                  </w:r>
                </w:p>
              </w:tc>
            </w:tr>
            <w:tr w14:paraId="0253EA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79" w:type="pct"/>
                  <w:vMerge w:val="continue"/>
                  <w:noWrap w:val="0"/>
                  <w:vAlign w:val="center"/>
                </w:tcPr>
                <w:p w14:paraId="6AE49D46">
                  <w:pPr>
                    <w:keepNext w:val="0"/>
                    <w:keepLines w:val="0"/>
                    <w:pageBreakBefore w:val="0"/>
                    <w:widowControl/>
                    <w:kinsoku/>
                    <w:wordWrap/>
                    <w:overflowPunct/>
                    <w:topLinePunct w:val="0"/>
                    <w:bidi w:val="0"/>
                    <w:adjustRightInd w:val="0"/>
                    <w:snapToGrid w:val="0"/>
                    <w:spacing w:line="240" w:lineRule="auto"/>
                    <w:ind w:left="0" w:leftChars="0" w:right="0" w:rightChars="0"/>
                    <w:jc w:val="center"/>
                    <w:rPr>
                      <w:rFonts w:eastAsia="宋体"/>
                      <w:color w:val="000000" w:themeColor="text1"/>
                      <w:sz w:val="18"/>
                      <w:szCs w:val="18"/>
                      <w:highlight w:val="none"/>
                      <w14:textFill>
                        <w14:solidFill>
                          <w14:schemeClr w14:val="tx1"/>
                        </w14:solidFill>
                      </w14:textFill>
                    </w:rPr>
                  </w:pPr>
                </w:p>
              </w:tc>
              <w:tc>
                <w:tcPr>
                  <w:tcW w:w="540" w:type="pct"/>
                  <w:noWrap w:val="0"/>
                  <w:vAlign w:val="center"/>
                </w:tcPr>
                <w:p w14:paraId="5CF54B22">
                  <w:pPr>
                    <w:keepNext w:val="0"/>
                    <w:keepLines w:val="0"/>
                    <w:pageBreakBefore w:val="0"/>
                    <w:widowControl/>
                    <w:kinsoku/>
                    <w:wordWrap/>
                    <w:overflowPunct/>
                    <w:topLinePunct w:val="0"/>
                    <w:bidi w:val="0"/>
                    <w:adjustRightInd w:val="0"/>
                    <w:snapToGrid w:val="0"/>
                    <w:spacing w:line="240" w:lineRule="auto"/>
                    <w:ind w:left="0" w:leftChars="0" w:right="0" w:rightChars="0"/>
                    <w:jc w:val="center"/>
                    <w:textAlignment w:val="center"/>
                    <w:rPr>
                      <w:rFonts w:eastAsia="宋体"/>
                      <w:color w:val="000000" w:themeColor="text1"/>
                      <w:kern w:val="0"/>
                      <w:sz w:val="18"/>
                      <w:szCs w:val="18"/>
                      <w:highlight w:val="none"/>
                      <w14:textFill>
                        <w14:solidFill>
                          <w14:schemeClr w14:val="tx1"/>
                        </w14:solidFill>
                      </w14:textFill>
                    </w:rPr>
                  </w:pPr>
                  <w:r>
                    <w:rPr>
                      <w:rFonts w:eastAsia="宋体"/>
                      <w:color w:val="000000" w:themeColor="text1"/>
                      <w:kern w:val="0"/>
                      <w:sz w:val="18"/>
                      <w:szCs w:val="18"/>
                      <w:highlight w:val="none"/>
                      <w:lang w:bidi="ar"/>
                      <w14:textFill>
                        <w14:solidFill>
                          <w14:schemeClr w14:val="tx1"/>
                        </w14:solidFill>
                      </w14:textFill>
                    </w:rPr>
                    <w:t>资源利用效率要求</w:t>
                  </w:r>
                </w:p>
              </w:tc>
              <w:tc>
                <w:tcPr>
                  <w:tcW w:w="2532" w:type="pct"/>
                  <w:noWrap w:val="0"/>
                  <w:vAlign w:val="center"/>
                </w:tcPr>
                <w:p w14:paraId="3F4D9C09">
                  <w:pPr>
                    <w:keepNext w:val="0"/>
                    <w:keepLines w:val="0"/>
                    <w:pageBreakBefore w:val="0"/>
                    <w:widowControl/>
                    <w:kinsoku/>
                    <w:wordWrap/>
                    <w:overflowPunct/>
                    <w:topLinePunct w:val="0"/>
                    <w:bidi w:val="0"/>
                    <w:adjustRightInd w:val="0"/>
                    <w:snapToGrid w:val="0"/>
                    <w:spacing w:line="240" w:lineRule="auto"/>
                    <w:ind w:left="0" w:leftChars="0" w:right="0" w:rightChars="0"/>
                    <w:rPr>
                      <w:rFonts w:eastAsia="宋体"/>
                      <w:color w:val="000000" w:themeColor="text1"/>
                      <w:sz w:val="18"/>
                      <w:szCs w:val="18"/>
                      <w:highlight w:val="none"/>
                      <w14:textFill>
                        <w14:solidFill>
                          <w14:schemeClr w14:val="tx1"/>
                        </w14:solidFill>
                      </w14:textFill>
                    </w:rPr>
                  </w:pPr>
                  <w:r>
                    <w:rPr>
                      <w:rFonts w:eastAsia="宋体"/>
                      <w:color w:val="000000" w:themeColor="text1"/>
                      <w:sz w:val="18"/>
                      <w:szCs w:val="18"/>
                      <w:highlight w:val="none"/>
                      <w14:textFill>
                        <w14:solidFill>
                          <w14:schemeClr w14:val="tx1"/>
                        </w14:solidFill>
                      </w14:textFill>
                    </w:rPr>
                    <w:t>1、禁止农作物秸秆等生物质及其他废弃物违规露天焚烧。</w:t>
                  </w:r>
                </w:p>
                <w:p w14:paraId="4584CB5F">
                  <w:pPr>
                    <w:keepNext w:val="0"/>
                    <w:keepLines w:val="0"/>
                    <w:pageBreakBefore w:val="0"/>
                    <w:kinsoku/>
                    <w:wordWrap/>
                    <w:overflowPunct/>
                    <w:topLinePunct w:val="0"/>
                    <w:bidi w:val="0"/>
                    <w:adjustRightInd w:val="0"/>
                    <w:snapToGrid w:val="0"/>
                    <w:spacing w:line="240" w:lineRule="auto"/>
                    <w:jc w:val="both"/>
                    <w:rPr>
                      <w:rFonts w:ascii="Times New Roman" w:hAnsi="Times New Roman" w:eastAsia="宋体" w:cs="Times New Roman"/>
                      <w:color w:val="000000" w:themeColor="text1"/>
                      <w:sz w:val="18"/>
                      <w:szCs w:val="18"/>
                      <w:highlight w:val="none"/>
                      <w14:textFill>
                        <w14:solidFill>
                          <w14:schemeClr w14:val="tx1"/>
                        </w14:solidFill>
                      </w14:textFill>
                    </w:rPr>
                  </w:pPr>
                  <w:r>
                    <w:rPr>
                      <w:rFonts w:ascii="Times New Roman" w:hAnsi="Times New Roman" w:eastAsia="宋体" w:cs="Times New Roman"/>
                      <w:color w:val="000000" w:themeColor="text1"/>
                      <w:kern w:val="2"/>
                      <w:sz w:val="18"/>
                      <w:szCs w:val="18"/>
                      <w:highlight w:val="none"/>
                      <w14:textFill>
                        <w14:solidFill>
                          <w14:schemeClr w14:val="tx1"/>
                        </w14:solidFill>
                      </w14:textFill>
                    </w:rPr>
                    <w:t>2、</w:t>
                  </w:r>
                  <w:r>
                    <w:rPr>
                      <w:rFonts w:eastAsia="宋体"/>
                      <w:color w:val="000000" w:themeColor="text1"/>
                      <w:sz w:val="18"/>
                      <w:szCs w:val="18"/>
                      <w:highlight w:val="none"/>
                      <w14:textFill>
                        <w14:solidFill>
                          <w14:schemeClr w14:val="tx1"/>
                        </w14:solidFill>
                      </w14:textFill>
                    </w:rPr>
                    <w:t>严控地下水超采。禁止私自开采地下水。新建、改建、扩建的工业项目，禁止擅自使用地下水。食品、制药等项目取用地下水，须经有管理权限的水行政主管部门批准。</w:t>
                  </w:r>
                </w:p>
              </w:tc>
              <w:tc>
                <w:tcPr>
                  <w:tcW w:w="1246" w:type="pct"/>
                  <w:noWrap w:val="0"/>
                  <w:vAlign w:val="center"/>
                </w:tcPr>
                <w:p w14:paraId="2C82700D">
                  <w:pPr>
                    <w:keepNext w:val="0"/>
                    <w:keepLines w:val="0"/>
                    <w:pageBreakBefore w:val="0"/>
                    <w:kinsoku/>
                    <w:wordWrap/>
                    <w:overflowPunct/>
                    <w:topLinePunct w:val="0"/>
                    <w:bidi w:val="0"/>
                    <w:adjustRightInd w:val="0"/>
                    <w:snapToGrid w:val="0"/>
                    <w:spacing w:line="240" w:lineRule="auto"/>
                    <w:jc w:val="both"/>
                    <w:rPr>
                      <w:rFonts w:hint="eastAsia" w:ascii="Times New Roman" w:hAnsi="Times New Roman" w:eastAsia="宋体" w:cs="Times New Roman"/>
                      <w:color w:val="000000" w:themeColor="text1"/>
                      <w:kern w:val="2"/>
                      <w:sz w:val="18"/>
                      <w:szCs w:val="18"/>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18"/>
                      <w:szCs w:val="18"/>
                      <w:highlight w:val="none"/>
                      <w:lang w:val="en-US" w:eastAsia="zh-CN"/>
                      <w14:textFill>
                        <w14:solidFill>
                          <w14:schemeClr w14:val="tx1"/>
                        </w14:solidFill>
                      </w14:textFill>
                    </w:rPr>
                    <w:t>不涉及。</w:t>
                  </w:r>
                </w:p>
              </w:tc>
            </w:tr>
          </w:tbl>
          <w:p w14:paraId="2B590617">
            <w:pPr>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p>
          <w:p w14:paraId="7A577823">
            <w:pPr>
              <w:autoSpaceDE w:val="0"/>
              <w:autoSpaceDN w:val="0"/>
              <w:adjustRightInd w:val="0"/>
              <w:snapToGrid w:val="0"/>
              <w:spacing w:line="360" w:lineRule="auto"/>
              <w:rPr>
                <w:rFonts w:hint="default" w:ascii="Times New Roman" w:hAnsi="Times New Roman" w:eastAsia="宋体" w:cs="Times New Roman"/>
                <w:b/>
                <w:bCs/>
                <w:color w:val="000000" w:themeColor="text1"/>
                <w:kern w:val="0"/>
                <w:sz w:val="24"/>
                <w:highlight w:val="none"/>
                <w:lang w:val="en-US" w:eastAsia="zh-CN"/>
                <w14:textFill>
                  <w14:solidFill>
                    <w14:schemeClr w14:val="tx1"/>
                  </w14:solidFill>
                </w14:textFill>
              </w:rPr>
            </w:pPr>
            <w:r>
              <w:rPr>
                <w:rFonts w:hint="eastAsia" w:cs="Times New Roman"/>
                <w:b/>
                <w:bCs/>
                <w:color w:val="000000" w:themeColor="text1"/>
                <w:kern w:val="0"/>
                <w:sz w:val="24"/>
                <w:highlight w:val="none"/>
                <w:lang w:val="en-US" w:eastAsia="zh-CN"/>
                <w14:textFill>
                  <w14:solidFill>
                    <w14:schemeClr w14:val="tx1"/>
                  </w14:solidFill>
                </w14:textFill>
              </w:rPr>
              <w:t>3</w:t>
            </w:r>
            <w:r>
              <w:rPr>
                <w:rFonts w:hint="eastAsia" w:ascii="Times New Roman" w:hAnsi="Times New Roman" w:eastAsia="宋体" w:cs="Times New Roman"/>
                <w:b/>
                <w:bCs/>
                <w:color w:val="000000" w:themeColor="text1"/>
                <w:kern w:val="0"/>
                <w:sz w:val="24"/>
                <w:highlight w:val="none"/>
                <w:lang w:val="en-US" w:eastAsia="zh-CN"/>
                <w14:textFill>
                  <w14:solidFill>
                    <w14:schemeClr w14:val="tx1"/>
                  </w14:solidFill>
                </w14:textFill>
              </w:rPr>
              <w:t>、与《巴彦淖尔市“十四五”生态环境保护规划》符合性分析</w:t>
            </w:r>
          </w:p>
          <w:p w14:paraId="2D9BE768">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cs="Times New Roman"/>
                <w:color w:val="000000" w:themeColor="text1"/>
                <w:kern w:val="0"/>
                <w:sz w:val="24"/>
                <w:highlight w:val="none"/>
                <w:lang w:val="en-US" w:eastAsia="zh-CN"/>
                <w14:textFill>
                  <w14:solidFill>
                    <w14:schemeClr w14:val="tx1"/>
                  </w14:solidFill>
                </w14:textFill>
              </w:rPr>
            </w:pPr>
            <w:r>
              <w:rPr>
                <w:rFonts w:hint="eastAsia" w:cs="Times New Roman"/>
                <w:color w:val="000000" w:themeColor="text1"/>
                <w:kern w:val="0"/>
                <w:sz w:val="24"/>
                <w:highlight w:val="none"/>
                <w:lang w:val="en-US" w:eastAsia="zh-CN"/>
                <w14:textFill>
                  <w14:solidFill>
                    <w14:schemeClr w14:val="tx1"/>
                  </w14:solidFill>
                </w14:textFill>
              </w:rPr>
              <w:t>规划指出：点源治理方面，以“提质增效、循环利用”为主线，充分发挥城镇污水收集、处理设施的效能，补强乡镇污水处理的短板，多举措深挖再生水回用潜力，促进水资源的合理开发、高效利用，减少污染物的入湖量。</w:t>
            </w:r>
          </w:p>
          <w:p w14:paraId="603961F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color w:val="000000" w:themeColor="text1"/>
                <w:kern w:val="0"/>
                <w:sz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加大城镇污水收集处理。大力实施污水管网补短板工程，加快城中村、老旧城区、城乡结合部和易地扶贫搬迁安置区的生活污水收集管网建设，加快消除收集管网空白区。实施混错接、漏接、老旧破损管网更新修复，提升污水收集效能。合理推进雨污分流改造，暂不具备条件的，可通过增设调蓄设施、管道截留等工程措施，防止合流制管网溢流污染。到2025年，城市生活污水集中收集率达到90%以上，旗县区污水处理率达到95%以上，建制镇污水设施配备率力争达到100%。加强再生水回用设施建设，统筹全市污水处理及再生水回用设施建设，逐步提高再生水回用率，到2025年，中水回用率达到40%以上；加强再生水等非常规水源的配置，将再生水纳入水资源的统一调配；拓展再生水利用渠道，重点在工业冷却循环用水、城市景观用水、城市绿化用水等方面大力推广使用再生水</w:t>
            </w:r>
            <w:r>
              <w:rPr>
                <w:rFonts w:hint="eastAsia" w:cs="Times New Roman"/>
                <w:color w:val="000000" w:themeColor="text1"/>
                <w:kern w:val="0"/>
                <w:sz w:val="24"/>
                <w:highlight w:val="none"/>
                <w:lang w:eastAsia="zh-CN"/>
                <w14:textFill>
                  <w14:solidFill>
                    <w14:schemeClr w14:val="tx1"/>
                  </w14:solidFill>
                </w14:textFill>
              </w:rPr>
              <w:t>。</w:t>
            </w:r>
          </w:p>
          <w:p w14:paraId="0D2B8D21">
            <w:pPr>
              <w:keepNext w:val="0"/>
              <w:keepLines w:val="0"/>
              <w:pageBreakBefore w:val="0"/>
              <w:widowControl w:val="0"/>
              <w:kinsoku/>
              <w:wordWrap/>
              <w:overflowPunct/>
              <w:topLinePunct w:val="0"/>
              <w:bidi w:val="0"/>
              <w:adjustRightInd w:val="0"/>
              <w:snapToGrid w:val="0"/>
              <w:ind w:firstLine="480" w:firstLineChars="200"/>
              <w:textAlignment w:val="auto"/>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eastAsia" w:cs="Times New Roman"/>
                <w:color w:val="000000" w:themeColor="text1"/>
                <w:kern w:val="0"/>
                <w:sz w:val="24"/>
                <w:highlight w:val="none"/>
                <w:lang w:val="en-US" w:eastAsia="zh-CN"/>
                <w14:textFill>
                  <w14:solidFill>
                    <w14:schemeClr w14:val="tx1"/>
                  </w14:solidFill>
                </w14:textFill>
              </w:rPr>
              <w:t>本项目为磴口县巴彦高勒镇污水处理厂一期改扩建项目，项目通过升级改造污水处理工艺、更新老旧设备，将一期处理能力提升至30000m</w:t>
            </w:r>
            <w:r>
              <w:rPr>
                <w:rFonts w:hint="eastAsia" w:cs="Times New Roman"/>
                <w:color w:val="000000" w:themeColor="text1"/>
                <w:kern w:val="0"/>
                <w:sz w:val="24"/>
                <w:highlight w:val="none"/>
                <w:vertAlign w:val="superscript"/>
                <w:lang w:val="en-US" w:eastAsia="zh-CN"/>
                <w14:textFill>
                  <w14:solidFill>
                    <w14:schemeClr w14:val="tx1"/>
                  </w14:solidFill>
                </w14:textFill>
              </w:rPr>
              <w:t>3</w:t>
            </w:r>
            <w:r>
              <w:rPr>
                <w:rFonts w:hint="eastAsia" w:cs="Times New Roman"/>
                <w:color w:val="000000" w:themeColor="text1"/>
                <w:kern w:val="0"/>
                <w:sz w:val="24"/>
                <w:highlight w:val="none"/>
                <w:lang w:val="en-US" w:eastAsia="zh-CN"/>
                <w14:textFill>
                  <w14:solidFill>
                    <w14:schemeClr w14:val="tx1"/>
                  </w14:solidFill>
                </w14:textFill>
              </w:rPr>
              <w:t>/d，有效补强区域污水处理短板。项目的建设符合《巴彦淖尔市“十四五”生态环境保护规划》相关内容。</w:t>
            </w:r>
          </w:p>
          <w:p w14:paraId="3BC1E854">
            <w:pPr>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p>
        </w:tc>
      </w:tr>
    </w:tbl>
    <w:p w14:paraId="6F116245">
      <w:pPr>
        <w:spacing w:line="360" w:lineRule="auto"/>
        <w:outlineLvl w:val="0"/>
        <w:rPr>
          <w:rFonts w:eastAsia="黑体"/>
          <w:color w:val="000000" w:themeColor="text1"/>
          <w:sz w:val="30"/>
          <w:highlight w:val="none"/>
          <w14:textFill>
            <w14:solidFill>
              <w14:schemeClr w14:val="tx1"/>
            </w14:solidFill>
          </w14:textFill>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78DC9B7C">
      <w:pPr>
        <w:jc w:val="center"/>
        <w:outlineLvl w:val="0"/>
        <w:rPr>
          <w:rFonts w:ascii="黑体" w:hAnsi="黑体" w:eastAsia="黑体"/>
          <w:snapToGrid w:val="0"/>
          <w:color w:val="000000" w:themeColor="text1"/>
          <w:sz w:val="30"/>
          <w:szCs w:val="30"/>
          <w:highlight w:val="none"/>
          <w14:textFill>
            <w14:solidFill>
              <w14:schemeClr w14:val="tx1"/>
            </w14:solidFill>
          </w14:textFill>
        </w:rPr>
      </w:pPr>
      <w:bookmarkStart w:id="4" w:name="_Toc11435"/>
      <w:bookmarkStart w:id="5" w:name="_Toc29150"/>
      <w:bookmarkStart w:id="6" w:name="_Toc2344"/>
      <w:r>
        <w:rPr>
          <w:rFonts w:hint="eastAsia" w:ascii="黑体" w:hAnsi="黑体" w:eastAsia="黑体"/>
          <w:snapToGrid w:val="0"/>
          <w:color w:val="000000" w:themeColor="text1"/>
          <w:sz w:val="30"/>
          <w:szCs w:val="30"/>
          <w:highlight w:val="none"/>
          <w14:textFill>
            <w14:solidFill>
              <w14:schemeClr w14:val="tx1"/>
            </w14:solidFill>
          </w14:textFill>
        </w:rPr>
        <w:t>二、建设项目工程分析</w:t>
      </w:r>
      <w:bookmarkEnd w:id="4"/>
      <w:bookmarkEnd w:id="5"/>
      <w:bookmarkEnd w:id="6"/>
    </w:p>
    <w:tbl>
      <w:tblPr>
        <w:tblStyle w:val="1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79"/>
        <w:gridCol w:w="7749"/>
      </w:tblGrid>
      <w:tr w14:paraId="0B4659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92" w:hRule="atLeast"/>
          <w:jc w:val="center"/>
        </w:trPr>
        <w:tc>
          <w:tcPr>
            <w:tcW w:w="457" w:type="pct"/>
            <w:noWrap w:val="0"/>
            <w:vAlign w:val="center"/>
          </w:tcPr>
          <w:p w14:paraId="651D25D4">
            <w:pPr>
              <w:adjustRightInd w:val="0"/>
              <w:snapToGrid w:val="0"/>
              <w:spacing w:before="0" w:beforeAutospacing="0" w:after="0" w:afterAutospacing="0"/>
              <w:jc w:val="center"/>
              <w:rPr>
                <w:rFonts w:cs="宋体"/>
                <w:color w:val="000000" w:themeColor="text1"/>
                <w:szCs w:val="24"/>
                <w:highlight w:val="none"/>
                <w14:textFill>
                  <w14:solidFill>
                    <w14:schemeClr w14:val="tx1"/>
                  </w14:solidFill>
                </w14:textFill>
              </w:rPr>
            </w:pPr>
            <w:r>
              <w:rPr>
                <w:rFonts w:hint="eastAsia" w:cs="宋体"/>
                <w:color w:val="000000" w:themeColor="text1"/>
                <w:szCs w:val="24"/>
                <w:highlight w:val="none"/>
                <w14:textFill>
                  <w14:solidFill>
                    <w14:schemeClr w14:val="tx1"/>
                  </w14:solidFill>
                </w14:textFill>
              </w:rPr>
              <w:t>建设内容</w:t>
            </w:r>
          </w:p>
        </w:tc>
        <w:tc>
          <w:tcPr>
            <w:tcW w:w="4542" w:type="pct"/>
            <w:noWrap w:val="0"/>
            <w:vAlign w:val="top"/>
          </w:tcPr>
          <w:p w14:paraId="07C0B450">
            <w:pPr>
              <w:numPr>
                <w:ilvl w:val="0"/>
                <w:numId w:val="1"/>
              </w:numPr>
              <w:adjustRightInd w:val="0"/>
              <w:snapToGrid w:val="0"/>
              <w:spacing w:line="360" w:lineRule="auto"/>
              <w:rPr>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项目背景</w:t>
            </w:r>
          </w:p>
          <w:p w14:paraId="334FB3C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000000" w:themeColor="text1"/>
                <w:sz w:val="24"/>
                <w:highlight w:val="none"/>
                <w:lang w:eastAsia="zh-CN"/>
                <w14:textFill>
                  <w14:solidFill>
                    <w14:schemeClr w14:val="tx1"/>
                  </w14:solidFill>
                </w14:textFill>
              </w:rPr>
            </w:pPr>
            <w:r>
              <w:rPr>
                <w:rFonts w:hint="default" w:ascii="Times New Roman" w:hAnsi="Times New Roman" w:cs="Times New Roman"/>
                <w:bCs/>
                <w:color w:val="000000" w:themeColor="text1"/>
                <w:sz w:val="24"/>
                <w:highlight w:val="none"/>
                <w:lang w:eastAsia="zh-CN"/>
                <w14:textFill>
                  <w14:solidFill>
                    <w14:schemeClr w14:val="tx1"/>
                  </w14:solidFill>
                </w14:textFill>
              </w:rPr>
              <w:t>内蒙古巴彦淖尔市磴口县巴彦高勒镇污水处理工程（以下简称“一期工程”）位于磴口县</w:t>
            </w:r>
            <w:r>
              <w:rPr>
                <w:rFonts w:hint="eastAsia" w:cs="Times New Roman"/>
                <w:bCs/>
                <w:color w:val="000000" w:themeColor="text1"/>
                <w:sz w:val="24"/>
                <w:highlight w:val="none"/>
                <w:lang w:eastAsia="zh-CN"/>
                <w14:textFill>
                  <w14:solidFill>
                    <w14:schemeClr w14:val="tx1"/>
                  </w14:solidFill>
                </w14:textFill>
              </w:rPr>
              <w:t>补隆淖镇</w:t>
            </w:r>
            <w:r>
              <w:rPr>
                <w:rFonts w:hint="default" w:ascii="Times New Roman" w:hAnsi="Times New Roman" w:cs="Times New Roman"/>
                <w:bCs/>
                <w:color w:val="000000" w:themeColor="text1"/>
                <w:sz w:val="24"/>
                <w:highlight w:val="none"/>
                <w:lang w:eastAsia="zh-CN"/>
                <w14:textFill>
                  <w14:solidFill>
                    <w14:schemeClr w14:val="tx1"/>
                  </w14:solidFill>
                </w14:textFill>
              </w:rPr>
              <w:t>，</w:t>
            </w:r>
            <w:r>
              <w:rPr>
                <w:rFonts w:hint="eastAsia" w:cs="Times New Roman"/>
                <w:bCs/>
                <w:color w:val="000000" w:themeColor="text1"/>
                <w:sz w:val="24"/>
                <w:highlight w:val="none"/>
                <w:lang w:val="en-US" w:eastAsia="zh-CN"/>
                <w14:textFill>
                  <w14:solidFill>
                    <w14:schemeClr w14:val="tx1"/>
                  </w14:solidFill>
                </w14:textFill>
              </w:rPr>
              <w:t>目前实际运营管理单位为</w:t>
            </w:r>
            <w:r>
              <w:rPr>
                <w:rFonts w:hint="default" w:ascii="Times New Roman" w:hAnsi="Times New Roman" w:cs="Times New Roman"/>
                <w:bCs/>
                <w:color w:val="000000" w:themeColor="text1"/>
                <w:sz w:val="24"/>
                <w:highlight w:val="none"/>
                <w:lang w:eastAsia="zh-CN"/>
                <w14:textFill>
                  <w14:solidFill>
                    <w14:schemeClr w14:val="tx1"/>
                  </w14:solidFill>
                </w14:textFill>
              </w:rPr>
              <w:t>磴口县住房和城乡建设局。该厂区内同址布局有磴口县中涵水务有限公司承建的二期工程“磴口县工业污水+城市生活污水处理厂BOT项目”、巴彦淖尔市首投水务有限公司实施的“巴彦淖尔市磴口县巴彦高勒镇污水再生利用扩建工程”（以下简称“中水厂”），三个项目同址布局于同一厂区，运营单位相互独立，且各项目的生产运行方式、工艺系统及管理体系均保持独立，互不干扰。</w:t>
            </w:r>
          </w:p>
          <w:p w14:paraId="2408333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000000" w:themeColor="text1"/>
                <w:sz w:val="24"/>
                <w:highlight w:val="none"/>
                <w:lang w:eastAsia="zh-CN"/>
                <w14:textFill>
                  <w14:solidFill>
                    <w14:schemeClr w14:val="tx1"/>
                  </w14:solidFill>
                </w14:textFill>
              </w:rPr>
            </w:pPr>
            <w:r>
              <w:rPr>
                <w:rFonts w:hint="default" w:ascii="Times New Roman" w:hAnsi="Times New Roman" w:cs="Times New Roman"/>
                <w:bCs/>
                <w:color w:val="000000" w:themeColor="text1"/>
                <w:sz w:val="24"/>
                <w:highlight w:val="none"/>
                <w:lang w:eastAsia="zh-CN"/>
                <w14:textFill>
                  <w14:solidFill>
                    <w14:schemeClr w14:val="tx1"/>
                  </w14:solidFill>
                </w14:textFill>
              </w:rPr>
              <w:t>一期工程由巴彦淖尔市磴口县滨辉水务有限公司始建于2008年，当年委托编制环境影响报告书，并于8月17日取得原巴彦淖尔市环保局批复（巴环审发〔2008〕14号），设计处理规模15000m</w:t>
            </w:r>
            <w:r>
              <w:rPr>
                <w:rFonts w:hint="eastAsia" w:cs="Times New Roman"/>
                <w:bCs/>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4"/>
                <w:highlight w:val="none"/>
                <w:lang w:eastAsia="zh-CN"/>
                <w14:textFill>
                  <w14:solidFill>
                    <w14:schemeClr w14:val="tx1"/>
                  </w14:solidFill>
                </w14:textFill>
              </w:rPr>
              <w:t>/d，建设地块预留远期用地，尾水执行《污水综合排放标准》（GB8978-1996）二级标准。</w:t>
            </w:r>
          </w:p>
          <w:p w14:paraId="0E92184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000000" w:themeColor="text1"/>
                <w:sz w:val="24"/>
                <w:highlight w:val="none"/>
                <w:lang w:val="en-US" w:eastAsia="zh-CN"/>
                <w14:textFill>
                  <w14:solidFill>
                    <w14:schemeClr w14:val="tx1"/>
                  </w14:solidFill>
                </w14:textFill>
              </w:rPr>
            </w:pPr>
            <w:r>
              <w:rPr>
                <w:rFonts w:hint="default" w:ascii="Times New Roman" w:hAnsi="Times New Roman" w:cs="Times New Roman"/>
                <w:bCs/>
                <w:color w:val="000000" w:themeColor="text1"/>
                <w:sz w:val="24"/>
                <w:highlight w:val="none"/>
                <w:lang w:eastAsia="zh-CN"/>
                <w14:textFill>
                  <w14:solidFill>
                    <w14:schemeClr w14:val="tx1"/>
                  </w14:solidFill>
                </w14:textFill>
              </w:rPr>
              <w:t>因工艺优化调整，建设单位于2014年委托编制提标改造工程环境影响报告表，6月23日取得原巴彦淖尔市环保局批复（巴环</w:t>
            </w:r>
            <w:r>
              <w:rPr>
                <w:rFonts w:hint="eastAsia" w:cs="Times New Roman"/>
                <w:bCs/>
                <w:color w:val="000000" w:themeColor="text1"/>
                <w:sz w:val="24"/>
                <w:highlight w:val="none"/>
                <w:lang w:val="en-US" w:eastAsia="zh-CN"/>
                <w14:textFill>
                  <w14:solidFill>
                    <w14:schemeClr w14:val="tx1"/>
                  </w14:solidFill>
                </w14:textFill>
              </w:rPr>
              <w:t>审表</w:t>
            </w:r>
            <w:r>
              <w:rPr>
                <w:rFonts w:hint="default" w:ascii="Times New Roman" w:hAnsi="Times New Roman" w:cs="Times New Roman"/>
                <w:bCs/>
                <w:color w:val="000000" w:themeColor="text1"/>
                <w:sz w:val="24"/>
                <w:highlight w:val="none"/>
                <w:lang w:eastAsia="zh-CN"/>
                <w14:textFill>
                  <w14:solidFill>
                    <w14:schemeClr w14:val="tx1"/>
                  </w14:solidFill>
                </w14:textFill>
              </w:rPr>
              <w:t>〔2014〕074号），对现有MBBR工艺进行改造；同年11月23日，该提标改造工程通过</w:t>
            </w:r>
            <w:r>
              <w:rPr>
                <w:rFonts w:hint="eastAsia" w:cs="Times New Roman"/>
                <w:bCs/>
                <w:color w:val="000000" w:themeColor="text1"/>
                <w:sz w:val="24"/>
                <w:highlight w:val="none"/>
                <w:lang w:val="en-US" w:eastAsia="zh-CN"/>
                <w14:textFill>
                  <w14:solidFill>
                    <w14:schemeClr w14:val="tx1"/>
                  </w14:solidFill>
                </w14:textFill>
              </w:rPr>
              <w:t>原</w:t>
            </w:r>
            <w:r>
              <w:rPr>
                <w:rFonts w:hint="default" w:ascii="Times New Roman" w:hAnsi="Times New Roman" w:cs="Times New Roman"/>
                <w:bCs/>
                <w:color w:val="000000" w:themeColor="text1"/>
                <w:sz w:val="24"/>
                <w:highlight w:val="none"/>
                <w:lang w:eastAsia="zh-CN"/>
                <w14:textFill>
                  <w14:solidFill>
                    <w14:schemeClr w14:val="tx1"/>
                  </w14:solidFill>
                </w14:textFill>
              </w:rPr>
              <w:t>巴彦淖尔市环境保护局竣工环境保护验收（巴环验</w:t>
            </w:r>
            <w:r>
              <w:rPr>
                <w:rFonts w:hint="eastAsia"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lang w:eastAsia="zh-CN"/>
                <w14:textFill>
                  <w14:solidFill>
                    <w14:schemeClr w14:val="tx1"/>
                  </w14:solidFill>
                </w14:textFill>
              </w:rPr>
              <w:t>2014</w:t>
            </w:r>
            <w:r>
              <w:rPr>
                <w:rFonts w:hint="eastAsia"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lang w:eastAsia="zh-CN"/>
                <w14:textFill>
                  <w14:solidFill>
                    <w14:schemeClr w14:val="tx1"/>
                  </w14:solidFill>
                </w14:textFill>
              </w:rPr>
              <w:t>56号），改造后采用“格栅+调节池+厌氧池+缺氧池+MBBR+二沉池+消毒”处理工艺，出水水质提升至《城镇污水处理厂污染物排放标准》（GB18918-2002）一级A标准。</w:t>
            </w:r>
          </w:p>
          <w:p w14:paraId="34682C0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000000" w:themeColor="text1"/>
                <w:sz w:val="24"/>
                <w:highlight w:val="none"/>
                <w:lang w:val="en-US" w:eastAsia="zh-CN"/>
                <w14:textFill>
                  <w14:solidFill>
                    <w14:schemeClr w14:val="tx1"/>
                  </w14:solidFill>
                </w14:textFill>
              </w:rPr>
            </w:pPr>
            <w:r>
              <w:rPr>
                <w:rFonts w:hint="default" w:ascii="Times New Roman" w:hAnsi="Times New Roman" w:cs="Times New Roman"/>
                <w:bCs/>
                <w:color w:val="000000" w:themeColor="text1"/>
                <w:sz w:val="24"/>
                <w:highlight w:val="none"/>
                <w:lang w:val="en-US" w:eastAsia="zh-CN"/>
                <w14:textFill>
                  <w14:solidFill>
                    <w14:schemeClr w14:val="tx1"/>
                  </w14:solidFill>
                </w14:textFill>
              </w:rPr>
              <w:t>201</w:t>
            </w:r>
            <w:r>
              <w:rPr>
                <w:rFonts w:hint="eastAsia" w:cs="Times New Roman"/>
                <w:bCs/>
                <w:color w:val="000000" w:themeColor="text1"/>
                <w:sz w:val="24"/>
                <w:highlight w:val="none"/>
                <w:lang w:val="en-US" w:eastAsia="zh-CN"/>
                <w14:textFill>
                  <w14:solidFill>
                    <w14:schemeClr w14:val="tx1"/>
                  </w14:solidFill>
                </w14:textFill>
              </w:rPr>
              <w:t>7</w:t>
            </w:r>
            <w:r>
              <w:rPr>
                <w:rFonts w:hint="default" w:ascii="Times New Roman" w:hAnsi="Times New Roman" w:cs="Times New Roman"/>
                <w:bCs/>
                <w:color w:val="000000" w:themeColor="text1"/>
                <w:sz w:val="24"/>
                <w:highlight w:val="none"/>
                <w:lang w:val="en-US" w:eastAsia="zh-CN"/>
                <w14:textFill>
                  <w14:solidFill>
                    <w14:schemeClr w14:val="tx1"/>
                  </w14:solidFill>
                </w14:textFill>
              </w:rPr>
              <w:t>年，一期工程运营管理单位变更为</w:t>
            </w:r>
            <w:r>
              <w:rPr>
                <w:rFonts w:hint="eastAsia" w:cs="Times New Roman"/>
                <w:bCs/>
                <w:color w:val="000000" w:themeColor="text1"/>
                <w:sz w:val="24"/>
                <w:highlight w:val="none"/>
                <w:lang w:val="en-US" w:eastAsia="zh-CN"/>
                <w14:textFill>
                  <w14:solidFill>
                    <w14:schemeClr w14:val="tx1"/>
                  </w14:solidFill>
                </w14:textFill>
              </w:rPr>
              <w:t>磴口县住房和城乡建设局</w:t>
            </w:r>
            <w:r>
              <w:rPr>
                <w:rFonts w:hint="default" w:ascii="Times New Roman" w:hAnsi="Times New Roman" w:cs="Times New Roman"/>
                <w:bCs/>
                <w:color w:val="000000" w:themeColor="text1"/>
                <w:sz w:val="24"/>
                <w:highlight w:val="none"/>
                <w:lang w:val="en-US" w:eastAsia="zh-CN"/>
                <w14:textFill>
                  <w14:solidFill>
                    <w14:schemeClr w14:val="tx1"/>
                  </w14:solidFill>
                </w14:textFill>
              </w:rPr>
              <w:t>，变更后仍延续原项目合法运营资质及相关环保要求，未改变工程原有建设内容及环保治理措施。</w:t>
            </w:r>
          </w:p>
          <w:p w14:paraId="62FADA6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000000" w:themeColor="text1"/>
                <w:sz w:val="24"/>
                <w:highlight w:val="none"/>
                <w:lang w:val="en-US" w:eastAsia="zh-CN"/>
                <w14:textFill>
                  <w14:solidFill>
                    <w14:schemeClr w14:val="tx1"/>
                  </w14:solidFill>
                </w14:textFill>
              </w:rPr>
            </w:pPr>
            <w:r>
              <w:rPr>
                <w:rFonts w:hint="default" w:ascii="Times New Roman" w:hAnsi="Times New Roman" w:cs="Times New Roman"/>
                <w:bCs/>
                <w:color w:val="000000" w:themeColor="text1"/>
                <w:sz w:val="24"/>
                <w:highlight w:val="none"/>
                <w:lang w:val="en-US" w:eastAsia="zh-CN"/>
                <w14:textFill>
                  <w14:solidFill>
                    <w14:schemeClr w14:val="tx1"/>
                  </w14:solidFill>
                </w14:textFill>
              </w:rPr>
              <w:t>为进一步提升尾水净化效果，磴口县住房和城乡建设局于2022年推进“巴彦淖尔市磴口县污水处理厂尾水人工湿地水质净化工程”建设，该项目位于内蒙古巴彦淖尔市磴口县巴彦高勒镇污水处理工程北侧（中心坐标：东经107°1′9.603″，北纬40°24′39.555″），建设内容包括下行流垂直潜流湿地、表流湿地、生态边坡及人工水草，于2022年11月3日委托编制环境影响评价文件，并于2022年11月30日取得巴彦淖尔市生态环境局磴口县分局批复（磴环审表〔2022〕13号）。</w:t>
            </w:r>
            <w:r>
              <w:rPr>
                <w:rFonts w:hint="eastAsia" w:cs="Times New Roman"/>
                <w:bCs/>
                <w:color w:val="000000" w:themeColor="text1"/>
                <w:sz w:val="24"/>
                <w:highlight w:val="none"/>
                <w:lang w:val="en-US" w:eastAsia="zh-CN"/>
                <w14:textFill>
                  <w14:solidFill>
                    <w14:schemeClr w14:val="tx1"/>
                  </w14:solidFill>
                </w14:textFill>
              </w:rPr>
              <w:t>目前人工湿地正在建设，预计2026年6月投入使用。</w:t>
            </w:r>
          </w:p>
          <w:p w14:paraId="2F24D62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000000" w:themeColor="text1"/>
                <w:sz w:val="24"/>
                <w:highlight w:val="none"/>
                <w:lang w:val="en-US" w:eastAsia="zh-CN"/>
                <w14:textFill>
                  <w14:solidFill>
                    <w14:schemeClr w14:val="tx1"/>
                  </w14:solidFill>
                </w14:textFill>
              </w:rPr>
            </w:pPr>
            <w:r>
              <w:rPr>
                <w:rFonts w:hint="default" w:ascii="Times New Roman" w:hAnsi="Times New Roman" w:cs="Times New Roman"/>
                <w:bCs/>
                <w:color w:val="000000" w:themeColor="text1"/>
                <w:sz w:val="24"/>
                <w:highlight w:val="none"/>
                <w:lang w:val="en-US" w:eastAsia="zh-CN"/>
                <w14:textFill>
                  <w14:solidFill>
                    <w14:schemeClr w14:val="tx1"/>
                  </w14:solidFill>
                </w14:textFill>
              </w:rPr>
              <w:t>为规范一期、二期工程尾水的统一合法排放，二期工程运营单位磴口县中涵水务有限公司于2023年9月11日向巴彦淖尔市生态环境局提出入河排污口设置申请，申请明确该排污口专为集中排放一期工程与二期工程经处理达标后的尾水而设。经审查符合法定设置条件后，该局于2023年10月31日出具《关于准予设置磴口县中涵水务有限公司排污口决定书》，正式明确该排污口为一期、二期工程共用排污口。该排污口位于磴口县食品工业园区，地理坐标为东经107°2′49.06″、北纬40°24′45.17″，类型为城镇污水处理厂排污口，排放方式为连续排放，入河方式为明渠+管道结合，排污口编码为DA-150822-0001-SH-00，允许最大排放量为1239.175万m</w:t>
            </w:r>
            <w:r>
              <w:rPr>
                <w:rFonts w:hint="eastAsia" w:cs="Times New Roman"/>
                <w:bCs/>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4"/>
                <w:highlight w:val="none"/>
                <w:lang w:val="en-US" w:eastAsia="zh-CN"/>
                <w14:textFill>
                  <w14:solidFill>
                    <w14:schemeClr w14:val="tx1"/>
                  </w14:solidFill>
                </w14:textFill>
              </w:rPr>
              <w:t>/a，可充分满足一期、二期工程联合外排需求。</w:t>
            </w:r>
          </w:p>
          <w:p w14:paraId="50C3CB9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000000" w:themeColor="text1"/>
                <w:sz w:val="24"/>
                <w:highlight w:val="none"/>
                <w:lang w:val="en-US" w:eastAsia="zh-CN"/>
                <w14:textFill>
                  <w14:solidFill>
                    <w14:schemeClr w14:val="tx1"/>
                  </w14:solidFill>
                </w14:textFill>
              </w:rPr>
            </w:pPr>
            <w:r>
              <w:rPr>
                <w:rFonts w:hint="default" w:ascii="Times New Roman" w:hAnsi="Times New Roman" w:cs="Times New Roman"/>
                <w:bCs/>
                <w:color w:val="000000" w:themeColor="text1"/>
                <w:sz w:val="24"/>
                <w:highlight w:val="none"/>
                <w:lang w:val="en-US" w:eastAsia="zh-CN"/>
                <w14:textFill>
                  <w14:solidFill>
                    <w14:schemeClr w14:val="tx1"/>
                  </w14:solidFill>
                </w14:textFill>
              </w:rPr>
              <w:t>目前，城区生活污水及部分工业污水经统一收集后接入一期污水处理工程，通过MBBR工艺依次开展预处理、生化处理及深度处理，处理后尾水水质达到《城镇污水处理厂污染物排放标准》（GB18918-2002）（含2006年、2025年修改单）一级A标准。达标尾水部分供给中水厂进行深度处理后回用，剩余部分主要用于湿地补水；待人工湿地建成后，尾水将先排入人工湿地进一步净化，最终依托现有入河排污口排入二排干。</w:t>
            </w:r>
          </w:p>
          <w:p w14:paraId="6949B0D4">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val="0"/>
                <w:color w:val="000000" w:themeColor="text1"/>
                <w:sz w:val="24"/>
                <w:highlight w:val="none"/>
                <w:lang w:val="en-US" w:eastAsia="zh-CN"/>
                <w14:textFill>
                  <w14:solidFill>
                    <w14:schemeClr w14:val="tx1"/>
                  </w14:solidFill>
                </w14:textFill>
              </w:rPr>
            </w:pPr>
            <w:r>
              <w:rPr>
                <w:rFonts w:hint="eastAsia" w:cs="Times New Roman"/>
                <w:b/>
                <w:bCs w:val="0"/>
                <w:color w:val="000000" w:themeColor="text1"/>
                <w:sz w:val="24"/>
                <w:highlight w:val="none"/>
                <w:lang w:val="en-US" w:eastAsia="zh-CN"/>
                <w14:textFill>
                  <w14:solidFill>
                    <w14:schemeClr w14:val="tx1"/>
                  </w14:solidFill>
                </w14:textFill>
              </w:rPr>
              <w:t>2、项目由来</w:t>
            </w:r>
          </w:p>
          <w:p w14:paraId="74F8D41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000000" w:themeColor="text1"/>
                <w:sz w:val="24"/>
                <w:highlight w:val="none"/>
                <w:lang w:val="en-US" w:eastAsia="zh-CN"/>
                <w14:textFill>
                  <w14:solidFill>
                    <w14:schemeClr w14:val="tx1"/>
                  </w14:solidFill>
                </w14:textFill>
              </w:rPr>
            </w:pPr>
            <w:r>
              <w:rPr>
                <w:rFonts w:hint="default" w:ascii="Times New Roman" w:hAnsi="Times New Roman" w:cs="Times New Roman"/>
                <w:bCs/>
                <w:color w:val="000000" w:themeColor="text1"/>
                <w:sz w:val="24"/>
                <w:highlight w:val="none"/>
                <w:lang w:val="en-US" w:eastAsia="zh-CN"/>
                <w14:textFill>
                  <w14:solidFill>
                    <w14:schemeClr w14:val="tx1"/>
                  </w14:solidFill>
                </w14:textFill>
              </w:rPr>
              <w:t>随着地区城市化进程加快，城镇人口持续集聚、居民生活水平稳步提升，加之服务范围内蒙牛乳业、圣牧高科乳业等工业企业生产规模自然扩大，镇区生活污水与工业废水产生量同步增长，其中中粮屯河番茄制品、汉肯地番茄制品等番茄类企业具有季节性生产特征，导致现有磴口污水处理厂一期工程15000m</w:t>
            </w:r>
            <w:r>
              <w:rPr>
                <w:rFonts w:hint="eastAsia" w:cs="Times New Roman"/>
                <w:bCs/>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4"/>
                <w:highlight w:val="none"/>
                <w:lang w:val="en-US" w:eastAsia="zh-CN"/>
                <w14:textFill>
                  <w14:solidFill>
                    <w14:schemeClr w14:val="tx1"/>
                  </w14:solidFill>
                </w14:textFill>
              </w:rPr>
              <w:t>/d的处理能力已难以满足区域污水全收集、全处理需求。为有效承接污水自然增长带来的处理压力，应对番茄类企业季节性排水波动，实现城区污水治理目标，拟实施磴口一期污水处理厂升级改造项目。本次改扩建仅针对污水处理厂一期项目开展，核心内容为提升处理规模与优化处理工艺，处理规模将由现状15000m</w:t>
            </w:r>
            <w:r>
              <w:rPr>
                <w:rFonts w:hint="eastAsia" w:cs="Times New Roman"/>
                <w:bCs/>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4"/>
                <w:highlight w:val="none"/>
                <w:lang w:val="en-US" w:eastAsia="zh-CN"/>
                <w14:textFill>
                  <w14:solidFill>
                    <w14:schemeClr w14:val="tx1"/>
                  </w14:solidFill>
                </w14:textFill>
              </w:rPr>
              <w:t>/d提升至30000m</w:t>
            </w:r>
            <w:r>
              <w:rPr>
                <w:rFonts w:hint="eastAsia" w:cs="Times New Roman"/>
                <w:bCs/>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4"/>
                <w:highlight w:val="none"/>
                <w:lang w:val="en-US" w:eastAsia="zh-CN"/>
                <w14:textFill>
                  <w14:solidFill>
                    <w14:schemeClr w14:val="tx1"/>
                  </w14:solidFill>
                </w14:textFill>
              </w:rPr>
              <w:t>/d，同时将原有MBBR处理工艺改造为A²/O+MBR工艺，进一步强化污染物去除效能，保障出水水质稳定达到《城镇污水处理厂污染物排放标准》（GB18918-2002）（含2006年、2025年修改单）一级A标准。</w:t>
            </w:r>
          </w:p>
          <w:p w14:paraId="3A02032D">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val="0"/>
                <w:color w:val="000000" w:themeColor="text1"/>
                <w:sz w:val="24"/>
                <w:highlight w:val="none"/>
                <w:lang w:val="en-US" w:eastAsia="zh-CN"/>
                <w14:textFill>
                  <w14:solidFill>
                    <w14:schemeClr w14:val="tx1"/>
                  </w14:solidFill>
                </w14:textFill>
              </w:rPr>
            </w:pPr>
            <w:r>
              <w:rPr>
                <w:rFonts w:hint="eastAsia" w:cs="Times New Roman"/>
                <w:b/>
                <w:bCs w:val="0"/>
                <w:color w:val="000000" w:themeColor="text1"/>
                <w:sz w:val="24"/>
                <w:highlight w:val="none"/>
                <w:lang w:val="en-US" w:eastAsia="zh-CN"/>
                <w14:textFill>
                  <w14:solidFill>
                    <w14:schemeClr w14:val="tx1"/>
                  </w14:solidFill>
                </w14:textFill>
              </w:rPr>
              <w:t>3</w:t>
            </w:r>
            <w:r>
              <w:rPr>
                <w:rFonts w:hint="default" w:ascii="Times New Roman" w:hAnsi="Times New Roman" w:cs="Times New Roman"/>
                <w:b/>
                <w:bCs w:val="0"/>
                <w:color w:val="000000" w:themeColor="text1"/>
                <w:sz w:val="24"/>
                <w:highlight w:val="none"/>
                <w:lang w:val="en-US" w:eastAsia="zh-CN"/>
                <w14:textFill>
                  <w14:solidFill>
                    <w14:schemeClr w14:val="tx1"/>
                  </w14:solidFill>
                </w14:textFill>
              </w:rPr>
              <w:t>、</w:t>
            </w:r>
            <w:r>
              <w:rPr>
                <w:rFonts w:hint="eastAsia" w:cs="Times New Roman"/>
                <w:b/>
                <w:bCs w:val="0"/>
                <w:color w:val="000000" w:themeColor="text1"/>
                <w:sz w:val="24"/>
                <w:highlight w:val="none"/>
                <w:lang w:val="en-US" w:eastAsia="zh-CN"/>
                <w14:textFill>
                  <w14:solidFill>
                    <w14:schemeClr w14:val="tx1"/>
                  </w14:solidFill>
                </w14:textFill>
              </w:rPr>
              <w:t>原有工程概况</w:t>
            </w:r>
          </w:p>
          <w:p w14:paraId="1727416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一期工程建设规模为15000m</w:t>
            </w:r>
            <w:r>
              <w:rPr>
                <w:rFonts w:hint="eastAsia" w:cs="Times New Roman"/>
                <w:bCs/>
                <w:color w:val="000000" w:themeColor="text1"/>
                <w:sz w:val="24"/>
                <w:highlight w:val="none"/>
                <w:vertAlign w:val="superscript"/>
                <w:lang w:val="en-US" w:eastAsia="zh-CN"/>
                <w14:textFill>
                  <w14:solidFill>
                    <w14:schemeClr w14:val="tx1"/>
                  </w14:solidFill>
                </w14:textFill>
              </w:rPr>
              <w:t>3</w:t>
            </w:r>
            <w:r>
              <w:rPr>
                <w:rFonts w:hint="eastAsia" w:cs="Times New Roman"/>
                <w:bCs/>
                <w:color w:val="000000" w:themeColor="text1"/>
                <w:sz w:val="24"/>
                <w:highlight w:val="none"/>
                <w:lang w:val="en-US" w:eastAsia="zh-CN"/>
                <w14:textFill>
                  <w14:solidFill>
                    <w14:schemeClr w14:val="tx1"/>
                  </w14:solidFill>
                </w14:textFill>
              </w:rPr>
              <w:t>/d，采用MBBR污水处理工艺，排放标准为《城镇污水处理厂污染物排放标准》（GB18918-2002）一级A标准。污水处理厂服务范围主要涵盖磴口县巴彦高勒镇城区及周边区域的居民生活污水及部分食品加工企业生产废水。</w:t>
            </w:r>
          </w:p>
          <w:p w14:paraId="3C89697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主体工程为</w:t>
            </w:r>
            <w:r>
              <w:rPr>
                <w:rFonts w:hint="eastAsia" w:cs="Times New Roman"/>
                <w:color w:val="000000" w:themeColor="text1"/>
                <w:highlight w:val="none"/>
                <w:lang w:val="en-US" w:eastAsia="zh-CN"/>
                <w14:textFill>
                  <w14:solidFill>
                    <w14:schemeClr w14:val="tx1"/>
                  </w14:solidFill>
                </w14:textFill>
              </w:rPr>
              <w:t>调节池</w:t>
            </w:r>
            <w:r>
              <w:rPr>
                <w:rFonts w:hint="default" w:ascii="Times New Roman" w:hAnsi="Times New Roman" w:cs="Times New Roman"/>
                <w:color w:val="000000" w:themeColor="text1"/>
                <w:highlight w:val="none"/>
                <w14:textFill>
                  <w14:solidFill>
                    <w14:schemeClr w14:val="tx1"/>
                  </w14:solidFill>
                </w14:textFill>
              </w:rPr>
              <w:t>、提升泵房、</w:t>
            </w:r>
            <w:r>
              <w:rPr>
                <w:rFonts w:hint="eastAsia" w:cs="Times New Roman"/>
                <w:color w:val="000000" w:themeColor="text1"/>
                <w:highlight w:val="none"/>
                <w:lang w:val="en-US" w:eastAsia="zh-CN"/>
                <w14:textFill>
                  <w14:solidFill>
                    <w14:schemeClr w14:val="tx1"/>
                  </w14:solidFill>
                </w14:textFill>
              </w:rPr>
              <w:t>细格栅、厌氧池、缺氧池、好氧池、鼓风机房、内回流池、污泥脱水间、</w:t>
            </w:r>
            <w:r>
              <w:rPr>
                <w:rFonts w:hint="default" w:ascii="Times New Roman" w:hAnsi="Times New Roman" w:cs="Times New Roman"/>
                <w:color w:val="000000" w:themeColor="text1"/>
                <w:highlight w:val="none"/>
                <w14:textFill>
                  <w14:solidFill>
                    <w14:schemeClr w14:val="tx1"/>
                  </w14:solidFill>
                </w14:textFill>
              </w:rPr>
              <w:t>进水在线监测间、出水在线监测间；辅助工程为综合楼、污水收集管网、值班室、配电室、中控室；环保工程为1个10m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的化粪池；公用工程包括供电设施、通信设施、供水设施、排水设施。</w:t>
            </w:r>
          </w:p>
          <w:p w14:paraId="5BA01905">
            <w:pPr>
              <w:pStyle w:val="20"/>
              <w:bidi w:val="0"/>
              <w:rPr>
                <w:rFonts w:hint="default"/>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表2-1  一</w:t>
            </w:r>
            <w:r>
              <w:rPr>
                <w:rFonts w:hint="default"/>
                <w:color w:val="000000" w:themeColor="text1"/>
                <w:highlight w:val="none"/>
                <w14:textFill>
                  <w14:solidFill>
                    <w14:schemeClr w14:val="tx1"/>
                  </w14:solidFill>
                </w14:textFill>
              </w:rPr>
              <w:t>期工程建设内容一览表</w:t>
            </w:r>
          </w:p>
          <w:tbl>
            <w:tblPr>
              <w:tblStyle w:val="12"/>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90"/>
              <w:gridCol w:w="648"/>
              <w:gridCol w:w="1014"/>
              <w:gridCol w:w="3989"/>
              <w:gridCol w:w="659"/>
            </w:tblGrid>
            <w:tr w14:paraId="486968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tcBorders>
                    <w:tl2br w:val="nil"/>
                    <w:tr2bl w:val="nil"/>
                  </w:tcBorders>
                  <w:noWrap w:val="0"/>
                  <w:vAlign w:val="center"/>
                </w:tcPr>
                <w:p w14:paraId="634892E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车间</w:t>
                  </w:r>
                </w:p>
              </w:tc>
              <w:tc>
                <w:tcPr>
                  <w:tcW w:w="1108" w:type="pct"/>
                  <w:gridSpan w:val="2"/>
                  <w:tcBorders>
                    <w:tl2br w:val="nil"/>
                    <w:tr2bl w:val="nil"/>
                  </w:tcBorders>
                  <w:noWrap w:val="0"/>
                  <w:vAlign w:val="center"/>
                </w:tcPr>
                <w:p w14:paraId="4D6C351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设备名称</w:t>
                  </w:r>
                </w:p>
              </w:tc>
              <w:tc>
                <w:tcPr>
                  <w:tcW w:w="2659" w:type="pct"/>
                  <w:tcBorders>
                    <w:tl2br w:val="nil"/>
                    <w:tr2bl w:val="nil"/>
                  </w:tcBorders>
                  <w:noWrap w:val="0"/>
                  <w:vAlign w:val="center"/>
                </w:tcPr>
                <w:p w14:paraId="70FAAEF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技术参数</w:t>
                  </w:r>
                </w:p>
              </w:tc>
              <w:tc>
                <w:tcPr>
                  <w:tcW w:w="438" w:type="pct"/>
                  <w:tcBorders>
                    <w:tl2br w:val="nil"/>
                    <w:tr2bl w:val="nil"/>
                  </w:tcBorders>
                  <w:noWrap w:val="0"/>
                  <w:vAlign w:val="center"/>
                </w:tcPr>
                <w:p w14:paraId="6D4B119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数量</w:t>
                  </w:r>
                </w:p>
              </w:tc>
            </w:tr>
            <w:tr w14:paraId="3A24EE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noWrap w:val="0"/>
                  <w:vAlign w:val="center"/>
                </w:tcPr>
                <w:p w14:paraId="0A8266C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高压室</w:t>
                  </w:r>
                </w:p>
              </w:tc>
              <w:tc>
                <w:tcPr>
                  <w:tcW w:w="1108" w:type="pct"/>
                  <w:gridSpan w:val="2"/>
                  <w:tcBorders>
                    <w:tl2br w:val="nil"/>
                    <w:tr2bl w:val="nil"/>
                  </w:tcBorders>
                  <w:noWrap w:val="0"/>
                  <w:vAlign w:val="center"/>
                </w:tcPr>
                <w:p w14:paraId="0C7C66D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干式变压器</w:t>
                  </w:r>
                </w:p>
              </w:tc>
              <w:tc>
                <w:tcPr>
                  <w:tcW w:w="2659" w:type="pct"/>
                  <w:tcBorders>
                    <w:tl2br w:val="nil"/>
                    <w:tr2bl w:val="nil"/>
                  </w:tcBorders>
                  <w:noWrap w:val="0"/>
                  <w:vAlign w:val="center"/>
                </w:tcPr>
                <w:p w14:paraId="29A7885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型号：SGB10-1250\10额定容量：1250KVA</w:t>
                  </w:r>
                </w:p>
                <w:p w14:paraId="4652388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额定电压：10000</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±2×2.5%</w:t>
                  </w:r>
                  <w:r>
                    <w:rPr>
                      <w:rFonts w:hint="default" w:ascii="Times New Roman" w:hAnsi="Times New Roman" w:eastAsia="宋体" w:cs="Times New Roman"/>
                      <w:color w:val="000000" w:themeColor="text1"/>
                      <w:sz w:val="21"/>
                      <w:szCs w:val="21"/>
                      <w:highlight w:val="none"/>
                      <w14:textFill>
                        <w14:solidFill>
                          <w14:schemeClr w14:val="tx1"/>
                        </w14:solidFill>
                      </w14:textFill>
                    </w:rPr>
                    <w:t>/400V</w:t>
                  </w:r>
                </w:p>
              </w:tc>
              <w:tc>
                <w:tcPr>
                  <w:tcW w:w="438" w:type="pct"/>
                  <w:tcBorders>
                    <w:tl2br w:val="nil"/>
                    <w:tr2bl w:val="nil"/>
                  </w:tcBorders>
                  <w:noWrap w:val="0"/>
                  <w:vAlign w:val="center"/>
                </w:tcPr>
                <w:p w14:paraId="2DF84C1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68A330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2B2A64A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3D31FE0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进线柜</w:t>
                  </w:r>
                </w:p>
              </w:tc>
              <w:tc>
                <w:tcPr>
                  <w:tcW w:w="2659" w:type="pct"/>
                  <w:tcBorders>
                    <w:tl2br w:val="nil"/>
                    <w:tr2bl w:val="nil"/>
                  </w:tcBorders>
                  <w:noWrap w:val="0"/>
                  <w:vAlign w:val="center"/>
                </w:tcPr>
                <w:p w14:paraId="2F350DF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型号：KYN28-12额定电流：630A</w:t>
                  </w:r>
                </w:p>
                <w:p w14:paraId="16AF4D3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额定电压/频率12KV/50HZ</w:t>
                  </w:r>
                </w:p>
              </w:tc>
              <w:tc>
                <w:tcPr>
                  <w:tcW w:w="438" w:type="pct"/>
                  <w:tcBorders>
                    <w:tl2br w:val="nil"/>
                    <w:tr2bl w:val="nil"/>
                  </w:tcBorders>
                  <w:noWrap w:val="0"/>
                  <w:vAlign w:val="center"/>
                </w:tcPr>
                <w:p w14:paraId="7AC9209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116CA1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4961A46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11BD00A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PT计量柜</w:t>
                  </w:r>
                </w:p>
              </w:tc>
              <w:tc>
                <w:tcPr>
                  <w:tcW w:w="2659" w:type="pct"/>
                  <w:tcBorders>
                    <w:tl2br w:val="nil"/>
                    <w:tr2bl w:val="nil"/>
                  </w:tcBorders>
                  <w:noWrap w:val="0"/>
                  <w:vAlign w:val="center"/>
                </w:tcPr>
                <w:p w14:paraId="3B6BF7A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型号：KYN28-12额定电流：630A</w:t>
                  </w:r>
                </w:p>
                <w:p w14:paraId="5F370D6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额定电压/频率12KV/50HZ</w:t>
                  </w:r>
                </w:p>
              </w:tc>
              <w:tc>
                <w:tcPr>
                  <w:tcW w:w="438" w:type="pct"/>
                  <w:tcBorders>
                    <w:tl2br w:val="nil"/>
                    <w:tr2bl w:val="nil"/>
                  </w:tcBorders>
                  <w:noWrap w:val="0"/>
                  <w:vAlign w:val="center"/>
                </w:tcPr>
                <w:p w14:paraId="2B13731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1BD61E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3AA22B1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171EC99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出线柜</w:t>
                  </w:r>
                </w:p>
              </w:tc>
              <w:tc>
                <w:tcPr>
                  <w:tcW w:w="2659" w:type="pct"/>
                  <w:tcBorders>
                    <w:tl2br w:val="nil"/>
                    <w:tr2bl w:val="nil"/>
                  </w:tcBorders>
                  <w:noWrap w:val="0"/>
                  <w:vAlign w:val="center"/>
                </w:tcPr>
                <w:p w14:paraId="33C6115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型号：KYN28-12额定电流：630A</w:t>
                  </w:r>
                </w:p>
                <w:p w14:paraId="437CC33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额定电压/频率12KV/50HZ</w:t>
                  </w:r>
                </w:p>
              </w:tc>
              <w:tc>
                <w:tcPr>
                  <w:tcW w:w="438" w:type="pct"/>
                  <w:tcBorders>
                    <w:tl2br w:val="nil"/>
                    <w:tr2bl w:val="nil"/>
                  </w:tcBorders>
                  <w:noWrap w:val="0"/>
                  <w:vAlign w:val="center"/>
                </w:tcPr>
                <w:p w14:paraId="3744852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444E12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noWrap w:val="0"/>
                  <w:vAlign w:val="center"/>
                </w:tcPr>
                <w:p w14:paraId="5F0AA48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低室压</w:t>
                  </w:r>
                </w:p>
              </w:tc>
              <w:tc>
                <w:tcPr>
                  <w:tcW w:w="1108" w:type="pct"/>
                  <w:gridSpan w:val="2"/>
                  <w:tcBorders>
                    <w:tl2br w:val="nil"/>
                    <w:tr2bl w:val="nil"/>
                  </w:tcBorders>
                  <w:noWrap w:val="0"/>
                  <w:vAlign w:val="center"/>
                </w:tcPr>
                <w:p w14:paraId="6C1A6C3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低压成套柜</w:t>
                  </w:r>
                </w:p>
              </w:tc>
              <w:tc>
                <w:tcPr>
                  <w:tcW w:w="2659" w:type="pct"/>
                  <w:tcBorders>
                    <w:tl2br w:val="nil"/>
                    <w:tr2bl w:val="nil"/>
                  </w:tcBorders>
                  <w:noWrap w:val="0"/>
                  <w:vAlign w:val="center"/>
                </w:tcPr>
                <w:p w14:paraId="6369014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型号：CFNS额定电压：380V</w:t>
                  </w:r>
                </w:p>
                <w:p w14:paraId="7AED32A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额定电流：1000A</w:t>
                  </w:r>
                </w:p>
              </w:tc>
              <w:tc>
                <w:tcPr>
                  <w:tcW w:w="438" w:type="pct"/>
                  <w:tcBorders>
                    <w:tl2br w:val="nil"/>
                    <w:tr2bl w:val="nil"/>
                  </w:tcBorders>
                  <w:noWrap w:val="0"/>
                  <w:vAlign w:val="center"/>
                </w:tcPr>
                <w:p w14:paraId="67C8640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17</w:t>
                  </w:r>
                </w:p>
              </w:tc>
            </w:tr>
            <w:tr w14:paraId="778990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54AA295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3878F37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动力配电箱</w:t>
                  </w:r>
                </w:p>
              </w:tc>
              <w:tc>
                <w:tcPr>
                  <w:tcW w:w="2659" w:type="pct"/>
                  <w:tcBorders>
                    <w:tl2br w:val="nil"/>
                    <w:tr2bl w:val="nil"/>
                  </w:tcBorders>
                  <w:noWrap w:val="0"/>
                  <w:vAlign w:val="center"/>
                </w:tcPr>
                <w:p w14:paraId="5E04799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型号：JXF 380V63A</w:t>
                  </w:r>
                </w:p>
              </w:tc>
              <w:tc>
                <w:tcPr>
                  <w:tcW w:w="438" w:type="pct"/>
                  <w:tcBorders>
                    <w:tl2br w:val="nil"/>
                    <w:tr2bl w:val="nil"/>
                  </w:tcBorders>
                  <w:noWrap w:val="0"/>
                  <w:vAlign w:val="center"/>
                </w:tcPr>
                <w:p w14:paraId="7B7B22D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7A3810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noWrap w:val="0"/>
                  <w:vAlign w:val="center"/>
                </w:tcPr>
                <w:p w14:paraId="663F71A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提升泵房</w:t>
                  </w:r>
                </w:p>
              </w:tc>
              <w:tc>
                <w:tcPr>
                  <w:tcW w:w="1108" w:type="pct"/>
                  <w:gridSpan w:val="2"/>
                  <w:tcBorders>
                    <w:tl2br w:val="nil"/>
                    <w:tr2bl w:val="nil"/>
                  </w:tcBorders>
                  <w:noWrap w:val="0"/>
                  <w:vAlign w:val="center"/>
                </w:tcPr>
                <w:p w14:paraId="0D6D944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动力配电箱</w:t>
                  </w:r>
                </w:p>
              </w:tc>
              <w:tc>
                <w:tcPr>
                  <w:tcW w:w="2659" w:type="pct"/>
                  <w:tcBorders>
                    <w:tl2br w:val="nil"/>
                    <w:tr2bl w:val="nil"/>
                  </w:tcBorders>
                  <w:noWrap w:val="0"/>
                  <w:vAlign w:val="center"/>
                </w:tcPr>
                <w:p w14:paraId="133C3C7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型号：JXF  380V63A</w:t>
                  </w:r>
                </w:p>
              </w:tc>
              <w:tc>
                <w:tcPr>
                  <w:tcW w:w="438" w:type="pct"/>
                  <w:tcBorders>
                    <w:tl2br w:val="nil"/>
                    <w:tr2bl w:val="nil"/>
                  </w:tcBorders>
                  <w:noWrap w:val="0"/>
                  <w:vAlign w:val="center"/>
                </w:tcPr>
                <w:p w14:paraId="6941181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71CE08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3B4BD38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638727A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照明箱</w:t>
                  </w:r>
                </w:p>
              </w:tc>
              <w:tc>
                <w:tcPr>
                  <w:tcW w:w="2659" w:type="pct"/>
                  <w:tcBorders>
                    <w:tl2br w:val="nil"/>
                    <w:tr2bl w:val="nil"/>
                  </w:tcBorders>
                  <w:noWrap w:val="0"/>
                  <w:vAlign w:val="center"/>
                </w:tcPr>
                <w:p w14:paraId="7C86D84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型号：JXF  380V69A</w:t>
                  </w:r>
                </w:p>
              </w:tc>
              <w:tc>
                <w:tcPr>
                  <w:tcW w:w="438" w:type="pct"/>
                  <w:tcBorders>
                    <w:tl2br w:val="nil"/>
                    <w:tr2bl w:val="nil"/>
                  </w:tcBorders>
                  <w:noWrap w:val="0"/>
                  <w:vAlign w:val="center"/>
                </w:tcPr>
                <w:p w14:paraId="41B5D9C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5AEE99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1359C11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5E4A790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检修箱</w:t>
                  </w:r>
                </w:p>
              </w:tc>
              <w:tc>
                <w:tcPr>
                  <w:tcW w:w="2659" w:type="pct"/>
                  <w:tcBorders>
                    <w:tl2br w:val="nil"/>
                    <w:tr2bl w:val="nil"/>
                  </w:tcBorders>
                  <w:noWrap w:val="0"/>
                  <w:vAlign w:val="center"/>
                </w:tcPr>
                <w:p w14:paraId="74464A0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型号：JXF  380V250A</w:t>
                  </w:r>
                </w:p>
              </w:tc>
              <w:tc>
                <w:tcPr>
                  <w:tcW w:w="438" w:type="pct"/>
                  <w:tcBorders>
                    <w:tl2br w:val="nil"/>
                    <w:tr2bl w:val="nil"/>
                  </w:tcBorders>
                  <w:noWrap w:val="0"/>
                  <w:vAlign w:val="center"/>
                </w:tcPr>
                <w:p w14:paraId="07204AB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53CDB5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6F4C47C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0498402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电动葫芦</w:t>
                  </w:r>
                </w:p>
              </w:tc>
              <w:tc>
                <w:tcPr>
                  <w:tcW w:w="2659" w:type="pct"/>
                  <w:tcBorders>
                    <w:tl2br w:val="nil"/>
                    <w:tr2bl w:val="nil"/>
                  </w:tcBorders>
                  <w:noWrap w:val="0"/>
                  <w:vAlign w:val="center"/>
                </w:tcPr>
                <w:p w14:paraId="65B58F2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2T 起升高度8M 单轨</w:t>
                  </w:r>
                </w:p>
              </w:tc>
              <w:tc>
                <w:tcPr>
                  <w:tcW w:w="438" w:type="pct"/>
                  <w:tcBorders>
                    <w:tl2br w:val="nil"/>
                    <w:tr2bl w:val="nil"/>
                  </w:tcBorders>
                  <w:noWrap w:val="0"/>
                  <w:vAlign w:val="center"/>
                </w:tcPr>
                <w:p w14:paraId="0CBF367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158671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770964C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64061D8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电动葫芦配电箱</w:t>
                  </w:r>
                </w:p>
              </w:tc>
              <w:tc>
                <w:tcPr>
                  <w:tcW w:w="2659" w:type="pct"/>
                  <w:tcBorders>
                    <w:tl2br w:val="nil"/>
                    <w:tr2bl w:val="nil"/>
                  </w:tcBorders>
                  <w:noWrap w:val="0"/>
                  <w:vAlign w:val="center"/>
                </w:tcPr>
                <w:p w14:paraId="1EF1B83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型号：JXF  380V63A</w:t>
                  </w:r>
                </w:p>
              </w:tc>
              <w:tc>
                <w:tcPr>
                  <w:tcW w:w="438" w:type="pct"/>
                  <w:tcBorders>
                    <w:tl2br w:val="nil"/>
                    <w:tr2bl w:val="nil"/>
                  </w:tcBorders>
                  <w:noWrap w:val="0"/>
                  <w:vAlign w:val="center"/>
                </w:tcPr>
                <w:p w14:paraId="5631326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475197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1BD0E5C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745F9E1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电磁流量计</w:t>
                  </w:r>
                </w:p>
              </w:tc>
              <w:tc>
                <w:tcPr>
                  <w:tcW w:w="2659" w:type="pct"/>
                  <w:tcBorders>
                    <w:tl2br w:val="nil"/>
                    <w:tr2bl w:val="nil"/>
                  </w:tcBorders>
                  <w:noWrap w:val="0"/>
                  <w:vAlign w:val="center"/>
                </w:tcPr>
                <w:p w14:paraId="21A3249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型号：CN311</w:t>
                  </w:r>
                </w:p>
              </w:tc>
              <w:tc>
                <w:tcPr>
                  <w:tcW w:w="438" w:type="pct"/>
                  <w:tcBorders>
                    <w:tl2br w:val="nil"/>
                    <w:tr2bl w:val="nil"/>
                  </w:tcBorders>
                  <w:noWrap w:val="0"/>
                  <w:vAlign w:val="center"/>
                </w:tcPr>
                <w:p w14:paraId="7A65682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3096C4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3959C7F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336ADAB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电动机</w:t>
                  </w:r>
                </w:p>
              </w:tc>
              <w:tc>
                <w:tcPr>
                  <w:tcW w:w="2659" w:type="pct"/>
                  <w:tcBorders>
                    <w:tl2br w:val="nil"/>
                    <w:tr2bl w:val="nil"/>
                  </w:tcBorders>
                  <w:noWrap w:val="0"/>
                  <w:vAlign w:val="center"/>
                </w:tcPr>
                <w:p w14:paraId="4C8A05C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型号：Y225M-6功率： 30KW</w:t>
                  </w:r>
                </w:p>
              </w:tc>
              <w:tc>
                <w:tcPr>
                  <w:tcW w:w="438" w:type="pct"/>
                  <w:tcBorders>
                    <w:tl2br w:val="nil"/>
                    <w:tr2bl w:val="nil"/>
                  </w:tcBorders>
                  <w:noWrap w:val="0"/>
                  <w:vAlign w:val="center"/>
                </w:tcPr>
                <w:p w14:paraId="0709D51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p>
              </w:tc>
            </w:tr>
            <w:tr w14:paraId="1E5969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36CDDA0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1CD5044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卧式离心泵</w:t>
                  </w:r>
                </w:p>
              </w:tc>
              <w:tc>
                <w:tcPr>
                  <w:tcW w:w="2659" w:type="pct"/>
                  <w:tcBorders>
                    <w:tl2br w:val="nil"/>
                    <w:tr2bl w:val="nil"/>
                  </w:tcBorders>
                  <w:noWrap w:val="0"/>
                  <w:vAlign w:val="center"/>
                </w:tcPr>
                <w:p w14:paraId="5FA6A56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型号：6PW流量：320 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/h</w:t>
                  </w:r>
                </w:p>
                <w:p w14:paraId="7C7B626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扬程：10m</w:t>
                  </w:r>
                </w:p>
              </w:tc>
              <w:tc>
                <w:tcPr>
                  <w:tcW w:w="438" w:type="pct"/>
                  <w:tcBorders>
                    <w:tl2br w:val="nil"/>
                    <w:tr2bl w:val="nil"/>
                  </w:tcBorders>
                  <w:noWrap w:val="0"/>
                  <w:vAlign w:val="center"/>
                </w:tcPr>
                <w:p w14:paraId="0D75986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p>
              </w:tc>
            </w:tr>
            <w:tr w14:paraId="28D5B5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13DB381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0C68499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温度变送器</w:t>
                  </w:r>
                </w:p>
              </w:tc>
              <w:tc>
                <w:tcPr>
                  <w:tcW w:w="2659" w:type="pct"/>
                  <w:tcBorders>
                    <w:tl2br w:val="nil"/>
                    <w:tr2bl w:val="nil"/>
                  </w:tcBorders>
                  <w:noWrap w:val="0"/>
                  <w:vAlign w:val="center"/>
                </w:tcPr>
                <w:p w14:paraId="284DF6C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型号：100T</w:t>
                  </w:r>
                </w:p>
              </w:tc>
              <w:tc>
                <w:tcPr>
                  <w:tcW w:w="438" w:type="pct"/>
                  <w:tcBorders>
                    <w:tl2br w:val="nil"/>
                    <w:tr2bl w:val="nil"/>
                  </w:tcBorders>
                  <w:noWrap w:val="0"/>
                  <w:vAlign w:val="center"/>
                </w:tcPr>
                <w:p w14:paraId="4AFE5A6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3B8CAA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0436597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4CC9973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超声波液位仪</w:t>
                  </w:r>
                </w:p>
              </w:tc>
              <w:tc>
                <w:tcPr>
                  <w:tcW w:w="2659" w:type="pct"/>
                  <w:tcBorders>
                    <w:tl2br w:val="nil"/>
                    <w:tr2bl w:val="nil"/>
                  </w:tcBorders>
                  <w:noWrap w:val="0"/>
                  <w:vAlign w:val="center"/>
                </w:tcPr>
                <w:p w14:paraId="62406FD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型号：CN211</w:t>
                  </w:r>
                </w:p>
              </w:tc>
              <w:tc>
                <w:tcPr>
                  <w:tcW w:w="438" w:type="pct"/>
                  <w:tcBorders>
                    <w:tl2br w:val="nil"/>
                    <w:tr2bl w:val="nil"/>
                  </w:tcBorders>
                  <w:noWrap w:val="0"/>
                  <w:vAlign w:val="center"/>
                </w:tcPr>
                <w:p w14:paraId="06F9ACD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6A2F62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noWrap w:val="0"/>
                  <w:vAlign w:val="center"/>
                </w:tcPr>
                <w:p w14:paraId="591759C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压榨间</w:t>
                  </w:r>
                </w:p>
              </w:tc>
              <w:tc>
                <w:tcPr>
                  <w:tcW w:w="1108" w:type="pct"/>
                  <w:gridSpan w:val="2"/>
                  <w:tcBorders>
                    <w:tl2br w:val="nil"/>
                    <w:tr2bl w:val="nil"/>
                  </w:tcBorders>
                  <w:noWrap w:val="0"/>
                  <w:vAlign w:val="center"/>
                </w:tcPr>
                <w:p w14:paraId="71641AB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照明箱</w:t>
                  </w:r>
                </w:p>
              </w:tc>
              <w:tc>
                <w:tcPr>
                  <w:tcW w:w="2659" w:type="pct"/>
                  <w:tcBorders>
                    <w:tl2br w:val="nil"/>
                    <w:tr2bl w:val="nil"/>
                  </w:tcBorders>
                  <w:noWrap w:val="0"/>
                  <w:vAlign w:val="center"/>
                </w:tcPr>
                <w:p w14:paraId="18568E7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型号：JXF 380V63A</w:t>
                  </w:r>
                </w:p>
              </w:tc>
              <w:tc>
                <w:tcPr>
                  <w:tcW w:w="438" w:type="pct"/>
                  <w:tcBorders>
                    <w:tl2br w:val="nil"/>
                    <w:tr2bl w:val="nil"/>
                  </w:tcBorders>
                  <w:noWrap w:val="0"/>
                  <w:vAlign w:val="center"/>
                </w:tcPr>
                <w:p w14:paraId="3E42D66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19EEEE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11D9188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18E2BF2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螺旋式压榨机</w:t>
                  </w:r>
                </w:p>
              </w:tc>
              <w:tc>
                <w:tcPr>
                  <w:tcW w:w="2659" w:type="pct"/>
                  <w:tcBorders>
                    <w:tl2br w:val="nil"/>
                    <w:tr2bl w:val="nil"/>
                  </w:tcBorders>
                  <w:noWrap w:val="0"/>
                  <w:vAlign w:val="center"/>
                </w:tcPr>
                <w:p w14:paraId="7D0E66C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型号：Y2100LZ-4 功率：3KW</w:t>
                  </w:r>
                </w:p>
                <w:p w14:paraId="19C983D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处理量：3 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/h</w:t>
                  </w:r>
                </w:p>
              </w:tc>
              <w:tc>
                <w:tcPr>
                  <w:tcW w:w="438" w:type="pct"/>
                  <w:tcBorders>
                    <w:tl2br w:val="nil"/>
                    <w:tr2bl w:val="nil"/>
                  </w:tcBorders>
                  <w:noWrap w:val="0"/>
                  <w:vAlign w:val="center"/>
                </w:tcPr>
                <w:p w14:paraId="01EE837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40C238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6AEBE80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30A4BC1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阀门电动装置</w:t>
                  </w:r>
                </w:p>
              </w:tc>
              <w:tc>
                <w:tcPr>
                  <w:tcW w:w="2659" w:type="pct"/>
                  <w:tcBorders>
                    <w:tl2br w:val="nil"/>
                    <w:tr2bl w:val="nil"/>
                  </w:tcBorders>
                  <w:noWrap w:val="0"/>
                  <w:vAlign w:val="center"/>
                </w:tcPr>
                <w:p w14:paraId="6293126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型号：Z207-18w 功率：0.37kw</w:t>
                  </w:r>
                </w:p>
                <w:p w14:paraId="3A24D85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启闭力 2T</w:t>
                  </w:r>
                </w:p>
              </w:tc>
              <w:tc>
                <w:tcPr>
                  <w:tcW w:w="438" w:type="pct"/>
                  <w:tcBorders>
                    <w:tl2br w:val="nil"/>
                    <w:tr2bl w:val="nil"/>
                  </w:tcBorders>
                  <w:noWrap w:val="0"/>
                  <w:vAlign w:val="center"/>
                </w:tcPr>
                <w:p w14:paraId="13CEA17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w:t>
                  </w:r>
                </w:p>
              </w:tc>
            </w:tr>
            <w:tr w14:paraId="5AA1EC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2F81DF2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1519A60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单梁悬挂桥式起重机</w:t>
                  </w:r>
                </w:p>
              </w:tc>
              <w:tc>
                <w:tcPr>
                  <w:tcW w:w="2659" w:type="pct"/>
                  <w:tcBorders>
                    <w:tl2br w:val="nil"/>
                    <w:tr2bl w:val="nil"/>
                  </w:tcBorders>
                  <w:noWrap w:val="0"/>
                  <w:vAlign w:val="center"/>
                </w:tcPr>
                <w:p w14:paraId="48E65E4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2T起升高度6M 双轨</w:t>
                  </w:r>
                </w:p>
              </w:tc>
              <w:tc>
                <w:tcPr>
                  <w:tcW w:w="438" w:type="pct"/>
                  <w:tcBorders>
                    <w:tl2br w:val="nil"/>
                    <w:tr2bl w:val="nil"/>
                  </w:tcBorders>
                  <w:noWrap w:val="0"/>
                  <w:vAlign w:val="center"/>
                </w:tcPr>
                <w:p w14:paraId="6F9EE76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276505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10078B3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58C34E2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循环式齿耙清污机</w:t>
                  </w:r>
                </w:p>
              </w:tc>
              <w:tc>
                <w:tcPr>
                  <w:tcW w:w="2659" w:type="pct"/>
                  <w:tcBorders>
                    <w:tl2br w:val="nil"/>
                    <w:tr2bl w:val="nil"/>
                  </w:tcBorders>
                  <w:noWrap w:val="0"/>
                  <w:vAlign w:val="center"/>
                </w:tcPr>
                <w:p w14:paraId="1664842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型号：XQ1.3x1.8 电机功率：1.1KW</w:t>
                  </w:r>
                </w:p>
              </w:tc>
              <w:tc>
                <w:tcPr>
                  <w:tcW w:w="438" w:type="pct"/>
                  <w:tcBorders>
                    <w:tl2br w:val="nil"/>
                    <w:tr2bl w:val="nil"/>
                  </w:tcBorders>
                  <w:noWrap w:val="0"/>
                  <w:vAlign w:val="center"/>
                </w:tcPr>
                <w:p w14:paraId="4CC3AAA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5EB1EB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50BBFB2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683C1A9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螺旋式给料机</w:t>
                  </w:r>
                </w:p>
              </w:tc>
              <w:tc>
                <w:tcPr>
                  <w:tcW w:w="2659" w:type="pct"/>
                  <w:tcBorders>
                    <w:tl2br w:val="nil"/>
                    <w:tr2bl w:val="nil"/>
                  </w:tcBorders>
                  <w:noWrap w:val="0"/>
                  <w:vAlign w:val="center"/>
                </w:tcPr>
                <w:p w14:paraId="6F36CA6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型号：BLEY2718-289-3</w:t>
                  </w:r>
                </w:p>
                <w:p w14:paraId="78C4235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电机功率：1.1KW</w:t>
                  </w:r>
                </w:p>
              </w:tc>
              <w:tc>
                <w:tcPr>
                  <w:tcW w:w="438" w:type="pct"/>
                  <w:tcBorders>
                    <w:tl2br w:val="nil"/>
                    <w:tr2bl w:val="nil"/>
                  </w:tcBorders>
                  <w:noWrap w:val="0"/>
                  <w:vAlign w:val="center"/>
                </w:tcPr>
                <w:p w14:paraId="038E92B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07A22F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53628A5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6D9FD9D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旋流沉砂器</w:t>
                  </w:r>
                </w:p>
              </w:tc>
              <w:tc>
                <w:tcPr>
                  <w:tcW w:w="2659" w:type="pct"/>
                  <w:tcBorders>
                    <w:tl2br w:val="nil"/>
                    <w:tr2bl w:val="nil"/>
                  </w:tcBorders>
                  <w:noWrap w:val="0"/>
                  <w:vAlign w:val="center"/>
                </w:tcPr>
                <w:p w14:paraId="0554B3B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型号：XLC-720 电机功率：1.1KW</w:t>
                  </w:r>
                </w:p>
              </w:tc>
              <w:tc>
                <w:tcPr>
                  <w:tcW w:w="438" w:type="pct"/>
                  <w:tcBorders>
                    <w:tl2br w:val="nil"/>
                    <w:tr2bl w:val="nil"/>
                  </w:tcBorders>
                  <w:noWrap w:val="0"/>
                  <w:vAlign w:val="center"/>
                </w:tcPr>
                <w:p w14:paraId="19CD9C8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26ACD6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20BDF01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5885D77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旋流沉砂器电机</w:t>
                  </w:r>
                </w:p>
              </w:tc>
              <w:tc>
                <w:tcPr>
                  <w:tcW w:w="2659" w:type="pct"/>
                  <w:tcBorders>
                    <w:tl2br w:val="nil"/>
                    <w:tr2bl w:val="nil"/>
                  </w:tcBorders>
                  <w:noWrap w:val="0"/>
                  <w:vAlign w:val="center"/>
                </w:tcPr>
                <w:p w14:paraId="6F7A5C2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型号：YZ-90S-4 功率：1.1KW</w:t>
                  </w:r>
                </w:p>
              </w:tc>
              <w:tc>
                <w:tcPr>
                  <w:tcW w:w="438" w:type="pct"/>
                  <w:tcBorders>
                    <w:tl2br w:val="nil"/>
                    <w:tr2bl w:val="nil"/>
                  </w:tcBorders>
                  <w:noWrap w:val="0"/>
                  <w:vAlign w:val="center"/>
                </w:tcPr>
                <w:p w14:paraId="7485DED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7F1FFD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noWrap w:val="0"/>
                  <w:vAlign w:val="center"/>
                </w:tcPr>
                <w:p w14:paraId="4C7C0C7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砂水分离间</w:t>
                  </w:r>
                </w:p>
              </w:tc>
              <w:tc>
                <w:tcPr>
                  <w:tcW w:w="1108" w:type="pct"/>
                  <w:gridSpan w:val="2"/>
                  <w:tcBorders>
                    <w:tl2br w:val="nil"/>
                    <w:tr2bl w:val="nil"/>
                  </w:tcBorders>
                  <w:noWrap w:val="0"/>
                  <w:vAlign w:val="center"/>
                </w:tcPr>
                <w:p w14:paraId="1D47481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控制箱</w:t>
                  </w:r>
                </w:p>
              </w:tc>
              <w:tc>
                <w:tcPr>
                  <w:tcW w:w="2659" w:type="pct"/>
                  <w:tcBorders>
                    <w:tl2br w:val="nil"/>
                    <w:tr2bl w:val="nil"/>
                  </w:tcBorders>
                  <w:noWrap w:val="0"/>
                  <w:vAlign w:val="center"/>
                </w:tcPr>
                <w:p w14:paraId="2673810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型号：JXF  220V</w:t>
                  </w:r>
                </w:p>
              </w:tc>
              <w:tc>
                <w:tcPr>
                  <w:tcW w:w="438" w:type="pct"/>
                  <w:tcBorders>
                    <w:tl2br w:val="nil"/>
                    <w:tr2bl w:val="nil"/>
                  </w:tcBorders>
                  <w:noWrap w:val="0"/>
                  <w:vAlign w:val="center"/>
                </w:tcPr>
                <w:p w14:paraId="3FD1E08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2809D8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1D5B905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6BF53EC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世通三叶风机</w:t>
                  </w:r>
                </w:p>
              </w:tc>
              <w:tc>
                <w:tcPr>
                  <w:tcW w:w="2659" w:type="pct"/>
                  <w:tcBorders>
                    <w:tl2br w:val="nil"/>
                    <w:tr2bl w:val="nil"/>
                  </w:tcBorders>
                  <w:noWrap w:val="0"/>
                  <w:vAlign w:val="center"/>
                </w:tcPr>
                <w:p w14:paraId="40EC3A6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型号：ZSSR-80</w:t>
                  </w:r>
                </w:p>
                <w:p w14:paraId="424D555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流量：3.66 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/min升压：49kpa</w:t>
                  </w:r>
                </w:p>
              </w:tc>
              <w:tc>
                <w:tcPr>
                  <w:tcW w:w="438" w:type="pct"/>
                  <w:tcBorders>
                    <w:tl2br w:val="nil"/>
                    <w:tr2bl w:val="nil"/>
                  </w:tcBorders>
                  <w:noWrap w:val="0"/>
                  <w:vAlign w:val="center"/>
                </w:tcPr>
                <w:p w14:paraId="6B1EF58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2EA15E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45C0728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1AA1246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电动机</w:t>
                  </w:r>
                </w:p>
              </w:tc>
              <w:tc>
                <w:tcPr>
                  <w:tcW w:w="2659" w:type="pct"/>
                  <w:tcBorders>
                    <w:tl2br w:val="nil"/>
                    <w:tr2bl w:val="nil"/>
                  </w:tcBorders>
                  <w:noWrap w:val="0"/>
                  <w:vAlign w:val="center"/>
                </w:tcPr>
                <w:p w14:paraId="2C9383E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型号：YZ-BZS-4 功率：5.5KW</w:t>
                  </w:r>
                </w:p>
              </w:tc>
              <w:tc>
                <w:tcPr>
                  <w:tcW w:w="438" w:type="pct"/>
                  <w:tcBorders>
                    <w:tl2br w:val="nil"/>
                    <w:tr2bl w:val="nil"/>
                  </w:tcBorders>
                  <w:noWrap w:val="0"/>
                  <w:vAlign w:val="center"/>
                </w:tcPr>
                <w:p w14:paraId="1421D56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150DFE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626BF08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0509204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螺旋式砂水分离器</w:t>
                  </w:r>
                </w:p>
              </w:tc>
              <w:tc>
                <w:tcPr>
                  <w:tcW w:w="2659" w:type="pct"/>
                  <w:tcBorders>
                    <w:tl2br w:val="nil"/>
                    <w:tr2bl w:val="nil"/>
                  </w:tcBorders>
                  <w:noWrap w:val="0"/>
                  <w:vAlign w:val="center"/>
                </w:tcPr>
                <w:p w14:paraId="2A1CAEF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型号：SF260 处理量：5-12L/S</w:t>
                  </w:r>
                </w:p>
              </w:tc>
              <w:tc>
                <w:tcPr>
                  <w:tcW w:w="438" w:type="pct"/>
                  <w:tcBorders>
                    <w:tl2br w:val="nil"/>
                    <w:tr2bl w:val="nil"/>
                  </w:tcBorders>
                  <w:noWrap w:val="0"/>
                  <w:vAlign w:val="center"/>
                </w:tcPr>
                <w:p w14:paraId="6A68CBB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1AFAEC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137BA17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6714C12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砂水分离器电机</w:t>
                  </w:r>
                </w:p>
              </w:tc>
              <w:tc>
                <w:tcPr>
                  <w:tcW w:w="2659" w:type="pct"/>
                  <w:tcBorders>
                    <w:tl2br w:val="nil"/>
                    <w:tr2bl w:val="nil"/>
                  </w:tcBorders>
                  <w:noWrap w:val="0"/>
                  <w:vAlign w:val="center"/>
                </w:tcPr>
                <w:p w14:paraId="6667DAE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型号：YZ-712-4 功率：0.37KW</w:t>
                  </w:r>
                </w:p>
              </w:tc>
              <w:tc>
                <w:tcPr>
                  <w:tcW w:w="438" w:type="pct"/>
                  <w:tcBorders>
                    <w:tl2br w:val="nil"/>
                    <w:tr2bl w:val="nil"/>
                  </w:tcBorders>
                  <w:noWrap w:val="0"/>
                  <w:vAlign w:val="center"/>
                </w:tcPr>
                <w:p w14:paraId="2815150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4D769F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noWrap w:val="0"/>
                  <w:vAlign w:val="center"/>
                </w:tcPr>
                <w:p w14:paraId="5E3E068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厌氧池</w:t>
                  </w:r>
                </w:p>
                <w:p w14:paraId="41753C2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缺氧池</w:t>
                  </w:r>
                </w:p>
                <w:p w14:paraId="44BFFFB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选择池</w:t>
                  </w:r>
                </w:p>
              </w:tc>
              <w:tc>
                <w:tcPr>
                  <w:tcW w:w="1108" w:type="pct"/>
                  <w:gridSpan w:val="2"/>
                  <w:tcBorders>
                    <w:tl2br w:val="nil"/>
                    <w:tr2bl w:val="nil"/>
                  </w:tcBorders>
                  <w:noWrap w:val="0"/>
                  <w:vAlign w:val="center"/>
                </w:tcPr>
                <w:p w14:paraId="346401A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就地控制箱</w:t>
                  </w:r>
                </w:p>
              </w:tc>
              <w:tc>
                <w:tcPr>
                  <w:tcW w:w="2659" w:type="pct"/>
                  <w:tcBorders>
                    <w:tl2br w:val="nil"/>
                    <w:tr2bl w:val="nil"/>
                  </w:tcBorders>
                  <w:noWrap w:val="0"/>
                  <w:vAlign w:val="center"/>
                </w:tcPr>
                <w:p w14:paraId="21F297A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型号：QC40-311</w:t>
                  </w:r>
                </w:p>
                <w:p w14:paraId="67602B9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电压：380V 电流：6.5A</w:t>
                  </w:r>
                </w:p>
              </w:tc>
              <w:tc>
                <w:tcPr>
                  <w:tcW w:w="438" w:type="pct"/>
                  <w:tcBorders>
                    <w:tl2br w:val="nil"/>
                    <w:tr2bl w:val="nil"/>
                  </w:tcBorders>
                  <w:noWrap w:val="0"/>
                  <w:vAlign w:val="center"/>
                </w:tcPr>
                <w:p w14:paraId="49C5F03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7</w:t>
                  </w:r>
                </w:p>
              </w:tc>
            </w:tr>
            <w:tr w14:paraId="561278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777384E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339F11C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厌氧池潜水搅拌机</w:t>
                  </w:r>
                </w:p>
              </w:tc>
              <w:tc>
                <w:tcPr>
                  <w:tcW w:w="2659" w:type="pct"/>
                  <w:tcBorders>
                    <w:tl2br w:val="nil"/>
                    <w:tr2bl w:val="nil"/>
                  </w:tcBorders>
                  <w:noWrap w:val="0"/>
                  <w:vAlign w:val="center"/>
                </w:tcPr>
                <w:p w14:paraId="05AC865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型号：QJB3/4-1100/2-115/P</w:t>
                  </w:r>
                </w:p>
              </w:tc>
              <w:tc>
                <w:tcPr>
                  <w:tcW w:w="438" w:type="pct"/>
                  <w:tcBorders>
                    <w:tl2br w:val="nil"/>
                    <w:tr2bl w:val="nil"/>
                  </w:tcBorders>
                  <w:noWrap w:val="0"/>
                  <w:vAlign w:val="center"/>
                </w:tcPr>
                <w:p w14:paraId="383B8D0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7BEF1A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203BA66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0B5E74B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缺氧池潜水搅拌机</w:t>
                  </w:r>
                </w:p>
              </w:tc>
              <w:tc>
                <w:tcPr>
                  <w:tcW w:w="2659" w:type="pct"/>
                  <w:tcBorders>
                    <w:tl2br w:val="nil"/>
                    <w:tr2bl w:val="nil"/>
                  </w:tcBorders>
                  <w:noWrap w:val="0"/>
                  <w:vAlign w:val="center"/>
                </w:tcPr>
                <w:p w14:paraId="2D4D83D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型号：QJB3/4-1800/2-56/P</w:t>
                  </w:r>
                </w:p>
              </w:tc>
              <w:tc>
                <w:tcPr>
                  <w:tcW w:w="438" w:type="pct"/>
                  <w:tcBorders>
                    <w:tl2br w:val="nil"/>
                    <w:tr2bl w:val="nil"/>
                  </w:tcBorders>
                  <w:noWrap w:val="0"/>
                  <w:vAlign w:val="center"/>
                </w:tcPr>
                <w:p w14:paraId="57B5000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w:t>
                  </w:r>
                </w:p>
              </w:tc>
            </w:tr>
            <w:tr w14:paraId="51E4C1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6281880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323A4F2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选择池潜水搅拌机</w:t>
                  </w:r>
                </w:p>
              </w:tc>
              <w:tc>
                <w:tcPr>
                  <w:tcW w:w="2659" w:type="pct"/>
                  <w:tcBorders>
                    <w:tl2br w:val="nil"/>
                    <w:tr2bl w:val="nil"/>
                  </w:tcBorders>
                  <w:noWrap w:val="0"/>
                  <w:vAlign w:val="center"/>
                </w:tcPr>
                <w:p w14:paraId="604E8DE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型号：QJB2.2/8-320/3-740/S</w:t>
                  </w:r>
                </w:p>
              </w:tc>
              <w:tc>
                <w:tcPr>
                  <w:tcW w:w="438" w:type="pct"/>
                  <w:tcBorders>
                    <w:tl2br w:val="nil"/>
                    <w:tr2bl w:val="nil"/>
                  </w:tcBorders>
                  <w:noWrap w:val="0"/>
                  <w:vAlign w:val="center"/>
                </w:tcPr>
                <w:p w14:paraId="67F0108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5CC914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noWrap w:val="0"/>
                  <w:vAlign w:val="center"/>
                </w:tcPr>
                <w:p w14:paraId="2F6FA7E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污泥回流池</w:t>
                  </w:r>
                </w:p>
              </w:tc>
              <w:tc>
                <w:tcPr>
                  <w:tcW w:w="1108" w:type="pct"/>
                  <w:gridSpan w:val="2"/>
                  <w:tcBorders>
                    <w:tl2br w:val="nil"/>
                    <w:tr2bl w:val="nil"/>
                  </w:tcBorders>
                  <w:noWrap w:val="0"/>
                  <w:vAlign w:val="center"/>
                </w:tcPr>
                <w:p w14:paraId="736C64E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自耦降压就地控制柜</w:t>
                  </w:r>
                </w:p>
              </w:tc>
              <w:tc>
                <w:tcPr>
                  <w:tcW w:w="2659" w:type="pct"/>
                  <w:tcBorders>
                    <w:tl2br w:val="nil"/>
                    <w:tr2bl w:val="nil"/>
                  </w:tcBorders>
                  <w:noWrap w:val="0"/>
                  <w:vAlign w:val="center"/>
                </w:tcPr>
                <w:p w14:paraId="54A48D0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型号：JJ10 电压：380V</w:t>
                  </w:r>
                </w:p>
                <w:p w14:paraId="7181789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额定电动电压：304V/247V</w:t>
                  </w:r>
                </w:p>
                <w:p w14:paraId="7B0B175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额定工作电流：72A</w:t>
                  </w:r>
                </w:p>
                <w:p w14:paraId="3F5B865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频率：50HZ 控制功率：37KW</w:t>
                  </w:r>
                </w:p>
              </w:tc>
              <w:tc>
                <w:tcPr>
                  <w:tcW w:w="438" w:type="pct"/>
                  <w:tcBorders>
                    <w:tl2br w:val="nil"/>
                    <w:tr2bl w:val="nil"/>
                  </w:tcBorders>
                  <w:noWrap w:val="0"/>
                  <w:vAlign w:val="center"/>
                </w:tcPr>
                <w:p w14:paraId="7393A88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43A8C9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34F3991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78FF4FA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污泥回流泵</w:t>
                  </w:r>
                </w:p>
              </w:tc>
              <w:tc>
                <w:tcPr>
                  <w:tcW w:w="2659" w:type="pct"/>
                  <w:tcBorders>
                    <w:tl2br w:val="nil"/>
                    <w:tr2bl w:val="nil"/>
                  </w:tcBorders>
                  <w:noWrap w:val="0"/>
                  <w:vAlign w:val="center"/>
                </w:tcPr>
                <w:p w14:paraId="2912CE3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型号：WQ450-15-37 功率：37KW</w:t>
                  </w:r>
                </w:p>
                <w:p w14:paraId="12D4CBD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流量：450 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/h扬程15m</w:t>
                  </w:r>
                </w:p>
              </w:tc>
              <w:tc>
                <w:tcPr>
                  <w:tcW w:w="438" w:type="pct"/>
                  <w:tcBorders>
                    <w:tl2br w:val="nil"/>
                    <w:tr2bl w:val="nil"/>
                  </w:tcBorders>
                  <w:noWrap w:val="0"/>
                  <w:vAlign w:val="center"/>
                </w:tcPr>
                <w:p w14:paraId="6A3263F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p>
              </w:tc>
            </w:tr>
            <w:tr w14:paraId="7689E4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noWrap w:val="0"/>
                  <w:vAlign w:val="center"/>
                </w:tcPr>
                <w:p w14:paraId="2F2BE6A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内回流池</w:t>
                  </w:r>
                </w:p>
              </w:tc>
              <w:tc>
                <w:tcPr>
                  <w:tcW w:w="1108" w:type="pct"/>
                  <w:gridSpan w:val="2"/>
                  <w:tcBorders>
                    <w:tl2br w:val="nil"/>
                    <w:tr2bl w:val="nil"/>
                  </w:tcBorders>
                  <w:noWrap w:val="0"/>
                  <w:vAlign w:val="center"/>
                </w:tcPr>
                <w:p w14:paraId="6DD1DB2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自耦降压就地控制柜</w:t>
                  </w:r>
                </w:p>
              </w:tc>
              <w:tc>
                <w:tcPr>
                  <w:tcW w:w="2659" w:type="pct"/>
                  <w:tcBorders>
                    <w:tl2br w:val="nil"/>
                    <w:tr2bl w:val="nil"/>
                  </w:tcBorders>
                  <w:noWrap w:val="0"/>
                  <w:vAlign w:val="center"/>
                </w:tcPr>
                <w:p w14:paraId="031F160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型号：JJ10电压：380V</w:t>
                  </w:r>
                </w:p>
                <w:p w14:paraId="766491F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额定电动电压：304V/247V</w:t>
                  </w:r>
                </w:p>
                <w:p w14:paraId="26162BB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额定工作电流：44A</w:t>
                  </w:r>
                </w:p>
                <w:p w14:paraId="6C7F59B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频率：50HZ 控制功率：22KW</w:t>
                  </w:r>
                </w:p>
              </w:tc>
              <w:tc>
                <w:tcPr>
                  <w:tcW w:w="438" w:type="pct"/>
                  <w:tcBorders>
                    <w:tl2br w:val="nil"/>
                    <w:tr2bl w:val="nil"/>
                  </w:tcBorders>
                  <w:noWrap w:val="0"/>
                  <w:vAlign w:val="center"/>
                </w:tcPr>
                <w:p w14:paraId="7B7ABA4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589294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5D10308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4D3AD56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内回流泵</w:t>
                  </w:r>
                </w:p>
              </w:tc>
              <w:tc>
                <w:tcPr>
                  <w:tcW w:w="2659" w:type="pct"/>
                  <w:tcBorders>
                    <w:tl2br w:val="nil"/>
                    <w:tr2bl w:val="nil"/>
                  </w:tcBorders>
                  <w:noWrap w:val="0"/>
                  <w:vAlign w:val="center"/>
                </w:tcPr>
                <w:p w14:paraId="78F0715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型号：350ZQB -122功率：22KW</w:t>
                  </w:r>
                </w:p>
                <w:p w14:paraId="5776AFF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流量：1300m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/h扬程3.5m</w:t>
                  </w:r>
                </w:p>
              </w:tc>
              <w:tc>
                <w:tcPr>
                  <w:tcW w:w="438" w:type="pct"/>
                  <w:tcBorders>
                    <w:tl2br w:val="nil"/>
                    <w:tr2bl w:val="nil"/>
                  </w:tcBorders>
                  <w:noWrap w:val="0"/>
                  <w:vAlign w:val="center"/>
                </w:tcPr>
                <w:p w14:paraId="62E7419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20987F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02B67DD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099042A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絮凝搅拌机</w:t>
                  </w:r>
                </w:p>
              </w:tc>
              <w:tc>
                <w:tcPr>
                  <w:tcW w:w="2659" w:type="pct"/>
                  <w:tcBorders>
                    <w:tl2br w:val="nil"/>
                    <w:tr2bl w:val="nil"/>
                  </w:tcBorders>
                  <w:noWrap w:val="0"/>
                  <w:vAlign w:val="center"/>
                </w:tcPr>
                <w:p w14:paraId="72F832B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型号：Y90S-4</w:t>
                  </w:r>
                </w:p>
                <w:p w14:paraId="028D4A1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功率：1.1KW 额定电流：2.8A</w:t>
                  </w:r>
                </w:p>
              </w:tc>
              <w:tc>
                <w:tcPr>
                  <w:tcW w:w="438" w:type="pct"/>
                  <w:tcBorders>
                    <w:tl2br w:val="nil"/>
                    <w:tr2bl w:val="nil"/>
                  </w:tcBorders>
                  <w:noWrap w:val="0"/>
                  <w:vAlign w:val="center"/>
                </w:tcPr>
                <w:p w14:paraId="715685D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4EDA92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noWrap w:val="0"/>
                  <w:vAlign w:val="center"/>
                </w:tcPr>
                <w:p w14:paraId="294D4EE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二沉池</w:t>
                  </w:r>
                </w:p>
              </w:tc>
              <w:tc>
                <w:tcPr>
                  <w:tcW w:w="1108" w:type="pct"/>
                  <w:gridSpan w:val="2"/>
                  <w:tcBorders>
                    <w:tl2br w:val="nil"/>
                    <w:tr2bl w:val="nil"/>
                  </w:tcBorders>
                  <w:noWrap w:val="0"/>
                  <w:vAlign w:val="center"/>
                </w:tcPr>
                <w:p w14:paraId="51E3817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控制箱</w:t>
                  </w:r>
                </w:p>
              </w:tc>
              <w:tc>
                <w:tcPr>
                  <w:tcW w:w="2659" w:type="pct"/>
                  <w:tcBorders>
                    <w:tl2br w:val="nil"/>
                    <w:tr2bl w:val="nil"/>
                  </w:tcBorders>
                  <w:noWrap w:val="0"/>
                  <w:vAlign w:val="center"/>
                </w:tcPr>
                <w:p w14:paraId="75D9C7F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型号：JXF 220V</w:t>
                  </w:r>
                </w:p>
              </w:tc>
              <w:tc>
                <w:tcPr>
                  <w:tcW w:w="438" w:type="pct"/>
                  <w:tcBorders>
                    <w:tl2br w:val="nil"/>
                    <w:tr2bl w:val="nil"/>
                  </w:tcBorders>
                  <w:noWrap w:val="0"/>
                  <w:vAlign w:val="center"/>
                </w:tcPr>
                <w:p w14:paraId="09B434E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30D02C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7994903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4B9D168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刮泥机</w:t>
                  </w:r>
                </w:p>
              </w:tc>
              <w:tc>
                <w:tcPr>
                  <w:tcW w:w="2659" w:type="pct"/>
                  <w:tcBorders>
                    <w:tl2br w:val="nil"/>
                    <w:tr2bl w:val="nil"/>
                  </w:tcBorders>
                  <w:noWrap w:val="0"/>
                  <w:vAlign w:val="center"/>
                </w:tcPr>
                <w:p w14:paraId="3748BCD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型号：Y90S-4</w:t>
                  </w:r>
                </w:p>
                <w:p w14:paraId="6ED9C53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功率：1.1KW 额定电流：2.7A</w:t>
                  </w:r>
                </w:p>
              </w:tc>
              <w:tc>
                <w:tcPr>
                  <w:tcW w:w="438" w:type="pct"/>
                  <w:tcBorders>
                    <w:tl2br w:val="nil"/>
                    <w:tr2bl w:val="nil"/>
                  </w:tcBorders>
                  <w:noWrap w:val="0"/>
                  <w:vAlign w:val="center"/>
                </w:tcPr>
                <w:p w14:paraId="1DB1614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620764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06E677B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285482F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摆针式减速机</w:t>
                  </w:r>
                </w:p>
              </w:tc>
              <w:tc>
                <w:tcPr>
                  <w:tcW w:w="2659" w:type="pct"/>
                  <w:tcBorders>
                    <w:tl2br w:val="nil"/>
                    <w:tr2bl w:val="nil"/>
                  </w:tcBorders>
                  <w:noWrap w:val="0"/>
                  <w:vAlign w:val="center"/>
                </w:tcPr>
                <w:p w14:paraId="74B50CA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型号：XWED-53 传动比：289</w:t>
                  </w:r>
                </w:p>
              </w:tc>
              <w:tc>
                <w:tcPr>
                  <w:tcW w:w="438" w:type="pct"/>
                  <w:tcBorders>
                    <w:tl2br w:val="nil"/>
                    <w:tr2bl w:val="nil"/>
                  </w:tcBorders>
                  <w:noWrap w:val="0"/>
                  <w:vAlign w:val="center"/>
                </w:tcPr>
                <w:p w14:paraId="56F505C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022A4F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noWrap w:val="0"/>
                  <w:vAlign w:val="center"/>
                </w:tcPr>
                <w:p w14:paraId="220DB8D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风机房</w:t>
                  </w:r>
                </w:p>
              </w:tc>
              <w:tc>
                <w:tcPr>
                  <w:tcW w:w="1108" w:type="pct"/>
                  <w:gridSpan w:val="2"/>
                  <w:tcBorders>
                    <w:tl2br w:val="nil"/>
                    <w:tr2bl w:val="nil"/>
                  </w:tcBorders>
                  <w:noWrap w:val="0"/>
                  <w:vAlign w:val="center"/>
                </w:tcPr>
                <w:p w14:paraId="0DCB4E2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反洗风机</w:t>
                  </w:r>
                </w:p>
              </w:tc>
              <w:tc>
                <w:tcPr>
                  <w:tcW w:w="2659" w:type="pct"/>
                  <w:tcBorders>
                    <w:tl2br w:val="nil"/>
                    <w:tr2bl w:val="nil"/>
                  </w:tcBorders>
                  <w:noWrap w:val="0"/>
                  <w:vAlign w:val="center"/>
                </w:tcPr>
                <w:p w14:paraId="3689A65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型号：TSR125</w:t>
                  </w:r>
                </w:p>
              </w:tc>
              <w:tc>
                <w:tcPr>
                  <w:tcW w:w="438" w:type="pct"/>
                  <w:tcBorders>
                    <w:tl2br w:val="nil"/>
                    <w:tr2bl w:val="nil"/>
                  </w:tcBorders>
                  <w:noWrap w:val="0"/>
                  <w:vAlign w:val="center"/>
                </w:tcPr>
                <w:p w14:paraId="0AA5373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5DB5B4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69F32F0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5C887AF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罗茨风机</w:t>
                  </w:r>
                </w:p>
              </w:tc>
              <w:tc>
                <w:tcPr>
                  <w:tcW w:w="2659" w:type="pct"/>
                  <w:tcBorders>
                    <w:tl2br w:val="nil"/>
                    <w:tr2bl w:val="nil"/>
                  </w:tcBorders>
                  <w:noWrap w:val="0"/>
                  <w:vAlign w:val="center"/>
                </w:tcPr>
                <w:p w14:paraId="2F9C506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型号：TSR 200</w:t>
                  </w:r>
                </w:p>
                <w:p w14:paraId="5162C76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流量：50 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/min升压：58kpa</w:t>
                  </w:r>
                </w:p>
              </w:tc>
              <w:tc>
                <w:tcPr>
                  <w:tcW w:w="438" w:type="pct"/>
                  <w:tcBorders>
                    <w:tl2br w:val="nil"/>
                    <w:tr2bl w:val="nil"/>
                  </w:tcBorders>
                  <w:noWrap w:val="0"/>
                  <w:vAlign w:val="center"/>
                </w:tcPr>
                <w:p w14:paraId="6ECD2C4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p>
              </w:tc>
            </w:tr>
            <w:tr w14:paraId="0AAB6E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3ED2BA4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2FA65FC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反洗风机电机</w:t>
                  </w:r>
                </w:p>
              </w:tc>
              <w:tc>
                <w:tcPr>
                  <w:tcW w:w="2659" w:type="pct"/>
                  <w:tcBorders>
                    <w:tl2br w:val="nil"/>
                    <w:tr2bl w:val="nil"/>
                  </w:tcBorders>
                  <w:noWrap w:val="0"/>
                  <w:vAlign w:val="center"/>
                </w:tcPr>
                <w:p w14:paraId="6180808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型号：YZ-160L-4</w:t>
                  </w:r>
                </w:p>
                <w:p w14:paraId="30FB783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功率：15KW 额定电流：30A</w:t>
                  </w:r>
                </w:p>
              </w:tc>
              <w:tc>
                <w:tcPr>
                  <w:tcW w:w="438" w:type="pct"/>
                  <w:tcBorders>
                    <w:tl2br w:val="nil"/>
                    <w:tr2bl w:val="nil"/>
                  </w:tcBorders>
                  <w:noWrap w:val="0"/>
                  <w:vAlign w:val="center"/>
                </w:tcPr>
                <w:p w14:paraId="7DFDE20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34E39B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7EC957F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1D44A16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罗茨风机电机</w:t>
                  </w:r>
                </w:p>
              </w:tc>
              <w:tc>
                <w:tcPr>
                  <w:tcW w:w="2659" w:type="pct"/>
                  <w:tcBorders>
                    <w:tl2br w:val="nil"/>
                    <w:tr2bl w:val="nil"/>
                  </w:tcBorders>
                  <w:noWrap w:val="0"/>
                  <w:vAlign w:val="center"/>
                </w:tcPr>
                <w:p w14:paraId="346C985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型号：YZ-280S-4</w:t>
                  </w:r>
                </w:p>
                <w:p w14:paraId="055708A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功率：75KW 额定电流：139.9A</w:t>
                  </w:r>
                </w:p>
              </w:tc>
              <w:tc>
                <w:tcPr>
                  <w:tcW w:w="438" w:type="pct"/>
                  <w:tcBorders>
                    <w:tl2br w:val="nil"/>
                    <w:tr2bl w:val="nil"/>
                  </w:tcBorders>
                  <w:noWrap w:val="0"/>
                  <w:vAlign w:val="center"/>
                </w:tcPr>
                <w:p w14:paraId="377B3EC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p>
              </w:tc>
            </w:tr>
            <w:tr w14:paraId="36BB24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6B72606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77009D9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变频柜</w:t>
                  </w:r>
                </w:p>
              </w:tc>
              <w:tc>
                <w:tcPr>
                  <w:tcW w:w="2659" w:type="pct"/>
                  <w:tcBorders>
                    <w:tl2br w:val="nil"/>
                    <w:tr2bl w:val="nil"/>
                  </w:tcBorders>
                  <w:noWrap w:val="0"/>
                  <w:vAlign w:val="center"/>
                </w:tcPr>
                <w:p w14:paraId="3044668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型号：XL-21</w:t>
                  </w:r>
                </w:p>
              </w:tc>
              <w:tc>
                <w:tcPr>
                  <w:tcW w:w="438" w:type="pct"/>
                  <w:tcBorders>
                    <w:tl2br w:val="nil"/>
                    <w:tr2bl w:val="nil"/>
                  </w:tcBorders>
                  <w:noWrap w:val="0"/>
                  <w:vAlign w:val="center"/>
                </w:tcPr>
                <w:p w14:paraId="42676A0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39B483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1F7A315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74D5B1E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控制箱</w:t>
                  </w:r>
                </w:p>
              </w:tc>
              <w:tc>
                <w:tcPr>
                  <w:tcW w:w="2659" w:type="pct"/>
                  <w:tcBorders>
                    <w:tl2br w:val="nil"/>
                    <w:tr2bl w:val="nil"/>
                  </w:tcBorders>
                  <w:noWrap w:val="0"/>
                  <w:vAlign w:val="center"/>
                </w:tcPr>
                <w:p w14:paraId="1495E5C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型号：JXF 220V</w:t>
                  </w:r>
                </w:p>
              </w:tc>
              <w:tc>
                <w:tcPr>
                  <w:tcW w:w="438" w:type="pct"/>
                  <w:tcBorders>
                    <w:tl2br w:val="nil"/>
                    <w:tr2bl w:val="nil"/>
                  </w:tcBorders>
                  <w:noWrap w:val="0"/>
                  <w:vAlign w:val="center"/>
                </w:tcPr>
                <w:p w14:paraId="67680A3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6FC2B5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14AB7C0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1BFFF45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电动葫芦</w:t>
                  </w:r>
                </w:p>
              </w:tc>
              <w:tc>
                <w:tcPr>
                  <w:tcW w:w="2659" w:type="pct"/>
                  <w:tcBorders>
                    <w:tl2br w:val="nil"/>
                    <w:tr2bl w:val="nil"/>
                  </w:tcBorders>
                  <w:noWrap w:val="0"/>
                  <w:vAlign w:val="center"/>
                </w:tcPr>
                <w:p w14:paraId="1B2368D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2T起升高度6M 单轨</w:t>
                  </w:r>
                </w:p>
              </w:tc>
              <w:tc>
                <w:tcPr>
                  <w:tcW w:w="438" w:type="pct"/>
                  <w:tcBorders>
                    <w:tl2br w:val="nil"/>
                    <w:tr2bl w:val="nil"/>
                  </w:tcBorders>
                  <w:noWrap w:val="0"/>
                  <w:vAlign w:val="center"/>
                </w:tcPr>
                <w:p w14:paraId="4FBF13A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1179BA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noWrap w:val="0"/>
                  <w:vAlign w:val="center"/>
                </w:tcPr>
                <w:p w14:paraId="2346E73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在线监测</w:t>
                  </w:r>
                </w:p>
              </w:tc>
              <w:tc>
                <w:tcPr>
                  <w:tcW w:w="1108" w:type="pct"/>
                  <w:gridSpan w:val="2"/>
                  <w:tcBorders>
                    <w:tl2br w:val="nil"/>
                    <w:tr2bl w:val="nil"/>
                  </w:tcBorders>
                  <w:noWrap w:val="0"/>
                  <w:vAlign w:val="center"/>
                </w:tcPr>
                <w:p w14:paraId="0F5AEB1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配电箱</w:t>
                  </w:r>
                </w:p>
              </w:tc>
              <w:tc>
                <w:tcPr>
                  <w:tcW w:w="2659" w:type="pct"/>
                  <w:tcBorders>
                    <w:tl2br w:val="nil"/>
                    <w:tr2bl w:val="nil"/>
                  </w:tcBorders>
                  <w:noWrap w:val="0"/>
                  <w:vAlign w:val="center"/>
                </w:tcPr>
                <w:p w14:paraId="1D5A2C6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型号：DLPZ 380V 63A</w:t>
                  </w:r>
                </w:p>
              </w:tc>
              <w:tc>
                <w:tcPr>
                  <w:tcW w:w="438" w:type="pct"/>
                  <w:tcBorders>
                    <w:tl2br w:val="nil"/>
                    <w:tr2bl w:val="nil"/>
                  </w:tcBorders>
                  <w:noWrap w:val="0"/>
                  <w:vAlign w:val="center"/>
                </w:tcPr>
                <w:p w14:paraId="798DD1C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0A7662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4EAA4B2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465A657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PH计</w:t>
                  </w:r>
                </w:p>
              </w:tc>
              <w:tc>
                <w:tcPr>
                  <w:tcW w:w="2659" w:type="pct"/>
                  <w:tcBorders>
                    <w:tl2br w:val="nil"/>
                    <w:tr2bl w:val="nil"/>
                  </w:tcBorders>
                  <w:noWrap w:val="0"/>
                  <w:vAlign w:val="center"/>
                </w:tcPr>
                <w:p w14:paraId="086F860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型号：GPPOZ</w:t>
                  </w:r>
                </w:p>
              </w:tc>
              <w:tc>
                <w:tcPr>
                  <w:tcW w:w="438" w:type="pct"/>
                  <w:tcBorders>
                    <w:tl2br w:val="nil"/>
                    <w:tr2bl w:val="nil"/>
                  </w:tcBorders>
                  <w:noWrap w:val="0"/>
                  <w:vAlign w:val="center"/>
                </w:tcPr>
                <w:p w14:paraId="64A3118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1EAEF7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4E8F975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7E07ACC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水质COD在线监测仪</w:t>
                  </w:r>
                </w:p>
              </w:tc>
              <w:tc>
                <w:tcPr>
                  <w:tcW w:w="2659" w:type="pct"/>
                  <w:tcBorders>
                    <w:tl2br w:val="nil"/>
                    <w:tr2bl w:val="nil"/>
                  </w:tcBorders>
                  <w:noWrap w:val="0"/>
                  <w:vAlign w:val="center"/>
                </w:tcPr>
                <w:p w14:paraId="5D085CB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型号：KS2202 100W</w:t>
                  </w:r>
                </w:p>
                <w:p w14:paraId="589EF50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量程0-1000ML工作电压220V</w:t>
                  </w:r>
                </w:p>
              </w:tc>
              <w:tc>
                <w:tcPr>
                  <w:tcW w:w="438" w:type="pct"/>
                  <w:tcBorders>
                    <w:tl2br w:val="nil"/>
                    <w:tr2bl w:val="nil"/>
                  </w:tcBorders>
                  <w:noWrap w:val="0"/>
                  <w:vAlign w:val="center"/>
                </w:tcPr>
                <w:p w14:paraId="15B0F47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7A763C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47579FC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28A5FB6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通信柜</w:t>
                  </w:r>
                </w:p>
              </w:tc>
              <w:tc>
                <w:tcPr>
                  <w:tcW w:w="2659" w:type="pct"/>
                  <w:tcBorders>
                    <w:tl2br w:val="nil"/>
                    <w:tr2bl w:val="nil"/>
                  </w:tcBorders>
                  <w:noWrap w:val="0"/>
                  <w:vAlign w:val="center"/>
                </w:tcPr>
                <w:p w14:paraId="239710B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8" w:type="pct"/>
                  <w:tcBorders>
                    <w:tl2br w:val="nil"/>
                    <w:tr2bl w:val="nil"/>
                  </w:tcBorders>
                  <w:noWrap w:val="0"/>
                  <w:vAlign w:val="center"/>
                </w:tcPr>
                <w:p w14:paraId="7A9397C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4C5F2F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7382153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19F4576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光缆终端盒</w:t>
                  </w:r>
                </w:p>
              </w:tc>
              <w:tc>
                <w:tcPr>
                  <w:tcW w:w="2659" w:type="pct"/>
                  <w:tcBorders>
                    <w:tl2br w:val="nil"/>
                    <w:tr2bl w:val="nil"/>
                  </w:tcBorders>
                  <w:noWrap w:val="0"/>
                  <w:vAlign w:val="center"/>
                </w:tcPr>
                <w:p w14:paraId="611C031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型号：GP-08 容量13芯</w:t>
                  </w:r>
                </w:p>
              </w:tc>
              <w:tc>
                <w:tcPr>
                  <w:tcW w:w="438" w:type="pct"/>
                  <w:tcBorders>
                    <w:tl2br w:val="nil"/>
                    <w:tr2bl w:val="nil"/>
                  </w:tcBorders>
                  <w:noWrap w:val="0"/>
                  <w:vAlign w:val="center"/>
                </w:tcPr>
                <w:p w14:paraId="4783B7F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5C09BC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5A8D6A0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5571E0B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直流信号输入隔离器</w:t>
                  </w:r>
                </w:p>
              </w:tc>
              <w:tc>
                <w:tcPr>
                  <w:tcW w:w="2659" w:type="pct"/>
                  <w:tcBorders>
                    <w:tl2br w:val="nil"/>
                    <w:tr2bl w:val="nil"/>
                  </w:tcBorders>
                  <w:noWrap w:val="0"/>
                  <w:vAlign w:val="center"/>
                </w:tcPr>
                <w:p w14:paraId="0228E37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型号：RZG-3100S</w:t>
                  </w:r>
                </w:p>
                <w:p w14:paraId="3E9CB56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输入：4-20mA功耗：&lt;1.5W</w:t>
                  </w:r>
                </w:p>
              </w:tc>
              <w:tc>
                <w:tcPr>
                  <w:tcW w:w="438" w:type="pct"/>
                  <w:tcBorders>
                    <w:tl2br w:val="nil"/>
                    <w:tr2bl w:val="nil"/>
                  </w:tcBorders>
                  <w:noWrap w:val="0"/>
                  <w:vAlign w:val="center"/>
                </w:tcPr>
                <w:p w14:paraId="44B15BA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p>
              </w:tc>
            </w:tr>
            <w:tr w14:paraId="187A0E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1148CFB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4895B46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24V电源</w:t>
                  </w:r>
                </w:p>
              </w:tc>
              <w:tc>
                <w:tcPr>
                  <w:tcW w:w="2659" w:type="pct"/>
                  <w:tcBorders>
                    <w:tl2br w:val="nil"/>
                    <w:tr2bl w:val="nil"/>
                  </w:tcBorders>
                  <w:noWrap w:val="0"/>
                  <w:vAlign w:val="center"/>
                </w:tcPr>
                <w:p w14:paraId="5D5880E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8" w:type="pct"/>
                  <w:tcBorders>
                    <w:tl2br w:val="nil"/>
                    <w:tr2bl w:val="nil"/>
                  </w:tcBorders>
                  <w:noWrap w:val="0"/>
                  <w:vAlign w:val="center"/>
                </w:tcPr>
                <w:p w14:paraId="635097D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p>
              </w:tc>
            </w:tr>
            <w:tr w14:paraId="2447A9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53ADEAC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5E7FF32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信号转换器</w:t>
                  </w:r>
                </w:p>
              </w:tc>
              <w:tc>
                <w:tcPr>
                  <w:tcW w:w="2659" w:type="pct"/>
                  <w:tcBorders>
                    <w:tl2br w:val="nil"/>
                    <w:tr2bl w:val="nil"/>
                  </w:tcBorders>
                  <w:noWrap w:val="0"/>
                  <w:vAlign w:val="center"/>
                </w:tcPr>
                <w:p w14:paraId="0250688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8" w:type="pct"/>
                  <w:tcBorders>
                    <w:tl2br w:val="nil"/>
                    <w:tr2bl w:val="nil"/>
                  </w:tcBorders>
                  <w:noWrap w:val="0"/>
                  <w:vAlign w:val="center"/>
                </w:tcPr>
                <w:p w14:paraId="173EE17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604CA7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5C36FCA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10BA945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环境监测数据采集仪</w:t>
                  </w:r>
                </w:p>
              </w:tc>
              <w:tc>
                <w:tcPr>
                  <w:tcW w:w="2659" w:type="pct"/>
                  <w:tcBorders>
                    <w:tl2br w:val="nil"/>
                    <w:tr2bl w:val="nil"/>
                  </w:tcBorders>
                  <w:noWrap w:val="0"/>
                  <w:vAlign w:val="center"/>
                </w:tcPr>
                <w:p w14:paraId="5AB6E18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型号：KSJK-802</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A</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w:t>
                  </w:r>
                </w:p>
              </w:tc>
              <w:tc>
                <w:tcPr>
                  <w:tcW w:w="438" w:type="pct"/>
                  <w:tcBorders>
                    <w:tl2br w:val="nil"/>
                    <w:tr2bl w:val="nil"/>
                  </w:tcBorders>
                  <w:noWrap w:val="0"/>
                  <w:vAlign w:val="center"/>
                </w:tcPr>
                <w:p w14:paraId="1693988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7B6B2E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4A15C9C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27212BB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温湿表</w:t>
                  </w:r>
                </w:p>
              </w:tc>
              <w:tc>
                <w:tcPr>
                  <w:tcW w:w="2659" w:type="pct"/>
                  <w:tcBorders>
                    <w:tl2br w:val="nil"/>
                    <w:tr2bl w:val="nil"/>
                  </w:tcBorders>
                  <w:noWrap w:val="0"/>
                  <w:vAlign w:val="center"/>
                </w:tcPr>
                <w:p w14:paraId="10CE2AD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8" w:type="pct"/>
                  <w:tcBorders>
                    <w:tl2br w:val="nil"/>
                    <w:tr2bl w:val="nil"/>
                  </w:tcBorders>
                  <w:noWrap w:val="0"/>
                  <w:vAlign w:val="center"/>
                </w:tcPr>
                <w:p w14:paraId="5309E08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6408B6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04089BE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0016E00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分体挂壁式空调机</w:t>
                  </w:r>
                </w:p>
              </w:tc>
              <w:tc>
                <w:tcPr>
                  <w:tcW w:w="2659" w:type="pct"/>
                  <w:tcBorders>
                    <w:tl2br w:val="nil"/>
                    <w:tr2bl w:val="nil"/>
                  </w:tcBorders>
                  <w:noWrap w:val="0"/>
                  <w:vAlign w:val="center"/>
                </w:tcPr>
                <w:p w14:paraId="5250EF3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型号：KFR-23GW</w:t>
                  </w:r>
                </w:p>
              </w:tc>
              <w:tc>
                <w:tcPr>
                  <w:tcW w:w="438" w:type="pct"/>
                  <w:tcBorders>
                    <w:tl2br w:val="nil"/>
                    <w:tr2bl w:val="nil"/>
                  </w:tcBorders>
                  <w:noWrap w:val="0"/>
                  <w:vAlign w:val="center"/>
                </w:tcPr>
                <w:p w14:paraId="1EE8738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3940B8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447E0F7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4E69FA7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视频通讯柜</w:t>
                  </w:r>
                </w:p>
              </w:tc>
              <w:tc>
                <w:tcPr>
                  <w:tcW w:w="2659" w:type="pct"/>
                  <w:tcBorders>
                    <w:tl2br w:val="nil"/>
                    <w:tr2bl w:val="nil"/>
                  </w:tcBorders>
                  <w:noWrap w:val="0"/>
                  <w:vAlign w:val="center"/>
                </w:tcPr>
                <w:p w14:paraId="5EEEE43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8" w:type="pct"/>
                  <w:tcBorders>
                    <w:tl2br w:val="nil"/>
                    <w:tr2bl w:val="nil"/>
                  </w:tcBorders>
                  <w:noWrap w:val="0"/>
                  <w:vAlign w:val="center"/>
                </w:tcPr>
                <w:p w14:paraId="29959AC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28B2F9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2BDB305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3A4EF45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信号柜</w:t>
                  </w:r>
                </w:p>
              </w:tc>
              <w:tc>
                <w:tcPr>
                  <w:tcW w:w="2659" w:type="pct"/>
                  <w:tcBorders>
                    <w:tl2br w:val="nil"/>
                    <w:tr2bl w:val="nil"/>
                  </w:tcBorders>
                  <w:noWrap w:val="0"/>
                  <w:vAlign w:val="center"/>
                </w:tcPr>
                <w:p w14:paraId="47E0035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8" w:type="pct"/>
                  <w:tcBorders>
                    <w:tl2br w:val="nil"/>
                    <w:tr2bl w:val="nil"/>
                  </w:tcBorders>
                  <w:noWrap w:val="0"/>
                  <w:vAlign w:val="center"/>
                </w:tcPr>
                <w:p w14:paraId="2500E20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4B6466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068A8CB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68D1545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视频云台</w:t>
                  </w:r>
                </w:p>
              </w:tc>
              <w:tc>
                <w:tcPr>
                  <w:tcW w:w="2659" w:type="pct"/>
                  <w:tcBorders>
                    <w:tl2br w:val="nil"/>
                    <w:tr2bl w:val="nil"/>
                  </w:tcBorders>
                  <w:noWrap w:val="0"/>
                  <w:vAlign w:val="center"/>
                </w:tcPr>
                <w:p w14:paraId="0063F97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8" w:type="pct"/>
                  <w:tcBorders>
                    <w:tl2br w:val="nil"/>
                    <w:tr2bl w:val="nil"/>
                  </w:tcBorders>
                  <w:noWrap w:val="0"/>
                  <w:vAlign w:val="center"/>
                </w:tcPr>
                <w:p w14:paraId="18EAFB8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5A1378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480FC7B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4408FF3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超声波明渠流量计</w:t>
                  </w:r>
                </w:p>
              </w:tc>
              <w:tc>
                <w:tcPr>
                  <w:tcW w:w="2659" w:type="pct"/>
                  <w:tcBorders>
                    <w:tl2br w:val="nil"/>
                    <w:tr2bl w:val="nil"/>
                  </w:tcBorders>
                  <w:noWrap w:val="0"/>
                  <w:vAlign w:val="center"/>
                </w:tcPr>
                <w:p w14:paraId="2E36EAF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型号：WL-1A 量程2M</w:t>
                  </w:r>
                </w:p>
              </w:tc>
              <w:tc>
                <w:tcPr>
                  <w:tcW w:w="438" w:type="pct"/>
                  <w:tcBorders>
                    <w:tl2br w:val="nil"/>
                    <w:tr2bl w:val="nil"/>
                  </w:tcBorders>
                  <w:noWrap w:val="0"/>
                  <w:vAlign w:val="center"/>
                </w:tcPr>
                <w:p w14:paraId="2ADDF7E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1A8701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3FF65A9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2E902F4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超声波流量计探头</w:t>
                  </w:r>
                </w:p>
              </w:tc>
              <w:tc>
                <w:tcPr>
                  <w:tcW w:w="2659" w:type="pct"/>
                  <w:tcBorders>
                    <w:tl2br w:val="nil"/>
                    <w:tr2bl w:val="nil"/>
                  </w:tcBorders>
                  <w:noWrap w:val="0"/>
                  <w:vAlign w:val="center"/>
                </w:tcPr>
                <w:p w14:paraId="3A37262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8" w:type="pct"/>
                  <w:tcBorders>
                    <w:tl2br w:val="nil"/>
                    <w:tr2bl w:val="nil"/>
                  </w:tcBorders>
                  <w:noWrap w:val="0"/>
                  <w:vAlign w:val="center"/>
                </w:tcPr>
                <w:p w14:paraId="01B91A3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0E210B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noWrap w:val="0"/>
                  <w:vAlign w:val="center"/>
                </w:tcPr>
                <w:p w14:paraId="7221E93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脱泥间</w:t>
                  </w:r>
                </w:p>
              </w:tc>
              <w:tc>
                <w:tcPr>
                  <w:tcW w:w="1108" w:type="pct"/>
                  <w:gridSpan w:val="2"/>
                  <w:tcBorders>
                    <w:tl2br w:val="nil"/>
                    <w:tr2bl w:val="nil"/>
                  </w:tcBorders>
                  <w:noWrap w:val="0"/>
                  <w:vAlign w:val="center"/>
                </w:tcPr>
                <w:p w14:paraId="06D98B6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带式压滤机</w:t>
                  </w:r>
                </w:p>
              </w:tc>
              <w:tc>
                <w:tcPr>
                  <w:tcW w:w="2659" w:type="pct"/>
                  <w:tcBorders>
                    <w:tl2br w:val="nil"/>
                    <w:tr2bl w:val="nil"/>
                  </w:tcBorders>
                  <w:noWrap w:val="0"/>
                  <w:vAlign w:val="center"/>
                </w:tcPr>
                <w:p w14:paraId="582D22A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型号：DNY—1000</w:t>
                  </w:r>
                </w:p>
                <w:p w14:paraId="7B57130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功率：0.75KW</w:t>
                  </w:r>
                </w:p>
              </w:tc>
              <w:tc>
                <w:tcPr>
                  <w:tcW w:w="438" w:type="pct"/>
                  <w:tcBorders>
                    <w:tl2br w:val="nil"/>
                    <w:tr2bl w:val="nil"/>
                  </w:tcBorders>
                  <w:noWrap w:val="0"/>
                  <w:vAlign w:val="center"/>
                </w:tcPr>
                <w:p w14:paraId="198602B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518B1B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14796B0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1410FF7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离心水泵</w:t>
                  </w:r>
                </w:p>
              </w:tc>
              <w:tc>
                <w:tcPr>
                  <w:tcW w:w="2659" w:type="pct"/>
                  <w:tcBorders>
                    <w:tl2br w:val="nil"/>
                    <w:tr2bl w:val="nil"/>
                  </w:tcBorders>
                  <w:noWrap w:val="0"/>
                  <w:vAlign w:val="center"/>
                </w:tcPr>
                <w:p w14:paraId="3A829F1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型号：KYWR50—200</w:t>
                  </w:r>
                </w:p>
              </w:tc>
              <w:tc>
                <w:tcPr>
                  <w:tcW w:w="438" w:type="pct"/>
                  <w:tcBorders>
                    <w:tl2br w:val="nil"/>
                    <w:tr2bl w:val="nil"/>
                  </w:tcBorders>
                  <w:noWrap w:val="0"/>
                  <w:vAlign w:val="center"/>
                </w:tcPr>
                <w:p w14:paraId="344BB10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463C0E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5428A3D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1335EFE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水泵电机</w:t>
                  </w:r>
                </w:p>
              </w:tc>
              <w:tc>
                <w:tcPr>
                  <w:tcW w:w="2659" w:type="pct"/>
                  <w:tcBorders>
                    <w:tl2br w:val="nil"/>
                    <w:tr2bl w:val="nil"/>
                  </w:tcBorders>
                  <w:noWrap w:val="0"/>
                  <w:vAlign w:val="center"/>
                </w:tcPr>
                <w:p w14:paraId="7DAF20E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型号：Y132S1—2 功率：5.5KW</w:t>
                  </w:r>
                </w:p>
              </w:tc>
              <w:tc>
                <w:tcPr>
                  <w:tcW w:w="438" w:type="pct"/>
                  <w:tcBorders>
                    <w:tl2br w:val="nil"/>
                    <w:tr2bl w:val="nil"/>
                  </w:tcBorders>
                  <w:noWrap w:val="0"/>
                  <w:vAlign w:val="center"/>
                </w:tcPr>
                <w:p w14:paraId="026AA2D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09C663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0182A2F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1F9720E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单相自吸水泵</w:t>
                  </w:r>
                </w:p>
              </w:tc>
              <w:tc>
                <w:tcPr>
                  <w:tcW w:w="2659" w:type="pct"/>
                  <w:tcBorders>
                    <w:tl2br w:val="nil"/>
                    <w:tr2bl w:val="nil"/>
                  </w:tcBorders>
                  <w:noWrap w:val="0"/>
                  <w:vAlign w:val="center"/>
                </w:tcPr>
                <w:p w14:paraId="4BA38E2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型号：WZB—1.8 功率：1.8KW/220V</w:t>
                  </w:r>
                </w:p>
              </w:tc>
              <w:tc>
                <w:tcPr>
                  <w:tcW w:w="438" w:type="pct"/>
                  <w:tcBorders>
                    <w:tl2br w:val="nil"/>
                    <w:tr2bl w:val="nil"/>
                  </w:tcBorders>
                  <w:noWrap w:val="0"/>
                  <w:vAlign w:val="center"/>
                </w:tcPr>
                <w:p w14:paraId="319C315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17083F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0F38A5A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5CFE70D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加药螺杆泵</w:t>
                  </w:r>
                </w:p>
              </w:tc>
              <w:tc>
                <w:tcPr>
                  <w:tcW w:w="2659" w:type="pct"/>
                  <w:tcBorders>
                    <w:tl2br w:val="nil"/>
                    <w:tr2bl w:val="nil"/>
                  </w:tcBorders>
                  <w:noWrap w:val="0"/>
                  <w:vAlign w:val="center"/>
                </w:tcPr>
                <w:p w14:paraId="225D62E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型号：G25—1</w:t>
                  </w:r>
                </w:p>
              </w:tc>
              <w:tc>
                <w:tcPr>
                  <w:tcW w:w="438" w:type="pct"/>
                  <w:tcBorders>
                    <w:tl2br w:val="nil"/>
                    <w:tr2bl w:val="nil"/>
                  </w:tcBorders>
                  <w:noWrap w:val="0"/>
                  <w:vAlign w:val="center"/>
                </w:tcPr>
                <w:p w14:paraId="6C3841F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75863A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19EEF12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44802DC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加药螺杆泵电机</w:t>
                  </w:r>
                </w:p>
              </w:tc>
              <w:tc>
                <w:tcPr>
                  <w:tcW w:w="2659" w:type="pct"/>
                  <w:tcBorders>
                    <w:tl2br w:val="nil"/>
                    <w:tr2bl w:val="nil"/>
                  </w:tcBorders>
                  <w:noWrap w:val="0"/>
                  <w:vAlign w:val="center"/>
                </w:tcPr>
                <w:p w14:paraId="335C98D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型号：Y100L—6 功率：1.5KW</w:t>
                  </w:r>
                </w:p>
              </w:tc>
              <w:tc>
                <w:tcPr>
                  <w:tcW w:w="438" w:type="pct"/>
                  <w:tcBorders>
                    <w:tl2br w:val="nil"/>
                    <w:tr2bl w:val="nil"/>
                  </w:tcBorders>
                  <w:noWrap w:val="0"/>
                  <w:vAlign w:val="center"/>
                </w:tcPr>
                <w:p w14:paraId="600CA81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0CD485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35AEE6D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3F650E8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渣浆泵</w:t>
                  </w:r>
                </w:p>
              </w:tc>
              <w:tc>
                <w:tcPr>
                  <w:tcW w:w="2659" w:type="pct"/>
                  <w:tcBorders>
                    <w:tl2br w:val="nil"/>
                    <w:tr2bl w:val="nil"/>
                  </w:tcBorders>
                  <w:noWrap w:val="0"/>
                  <w:vAlign w:val="center"/>
                </w:tcPr>
                <w:p w14:paraId="0454458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型号：3/2C—AH40功率：4KW</w:t>
                  </w:r>
                </w:p>
                <w:p w14:paraId="396474F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流量：15 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/h 扬程：15m</w:t>
                  </w:r>
                </w:p>
              </w:tc>
              <w:tc>
                <w:tcPr>
                  <w:tcW w:w="438" w:type="pct"/>
                  <w:tcBorders>
                    <w:tl2br w:val="nil"/>
                    <w:tr2bl w:val="nil"/>
                  </w:tcBorders>
                  <w:noWrap w:val="0"/>
                  <w:vAlign w:val="center"/>
                </w:tcPr>
                <w:p w14:paraId="52238DD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4D6329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235F2C5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22F5DA3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渣浆泵电机</w:t>
                  </w:r>
                </w:p>
              </w:tc>
              <w:tc>
                <w:tcPr>
                  <w:tcW w:w="2659" w:type="pct"/>
                  <w:tcBorders>
                    <w:tl2br w:val="nil"/>
                    <w:tr2bl w:val="nil"/>
                  </w:tcBorders>
                  <w:noWrap w:val="0"/>
                  <w:vAlign w:val="center"/>
                </w:tcPr>
                <w:p w14:paraId="05D89E1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型号：Y112H—4 功率：4KW</w:t>
                  </w:r>
                </w:p>
              </w:tc>
              <w:tc>
                <w:tcPr>
                  <w:tcW w:w="438" w:type="pct"/>
                  <w:tcBorders>
                    <w:tl2br w:val="nil"/>
                    <w:tr2bl w:val="nil"/>
                  </w:tcBorders>
                  <w:noWrap w:val="0"/>
                  <w:vAlign w:val="center"/>
                </w:tcPr>
                <w:p w14:paraId="230AE96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41CF7A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0C580A4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18371A3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搅拌机</w:t>
                  </w:r>
                </w:p>
              </w:tc>
              <w:tc>
                <w:tcPr>
                  <w:tcW w:w="2659" w:type="pct"/>
                  <w:tcBorders>
                    <w:tl2br w:val="nil"/>
                    <w:tr2bl w:val="nil"/>
                  </w:tcBorders>
                  <w:noWrap w:val="0"/>
                  <w:vAlign w:val="center"/>
                </w:tcPr>
                <w:p w14:paraId="272C5A2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型号：YS7144 功率0.75KW</w:t>
                  </w:r>
                </w:p>
              </w:tc>
              <w:tc>
                <w:tcPr>
                  <w:tcW w:w="438" w:type="pct"/>
                  <w:tcBorders>
                    <w:tl2br w:val="nil"/>
                    <w:tr2bl w:val="nil"/>
                  </w:tcBorders>
                  <w:noWrap w:val="0"/>
                  <w:vAlign w:val="center"/>
                </w:tcPr>
                <w:p w14:paraId="67AEC30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4333F3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2D97CCE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1188A53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空压机</w:t>
                  </w:r>
                </w:p>
              </w:tc>
              <w:tc>
                <w:tcPr>
                  <w:tcW w:w="2659" w:type="pct"/>
                  <w:tcBorders>
                    <w:tl2br w:val="nil"/>
                    <w:tr2bl w:val="nil"/>
                  </w:tcBorders>
                  <w:noWrap w:val="0"/>
                  <w:vAlign w:val="center"/>
                </w:tcPr>
                <w:p w14:paraId="001941E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型号：Y90L—2功率2.2KW</w:t>
                  </w:r>
                </w:p>
              </w:tc>
              <w:tc>
                <w:tcPr>
                  <w:tcW w:w="438" w:type="pct"/>
                  <w:tcBorders>
                    <w:tl2br w:val="nil"/>
                    <w:tr2bl w:val="nil"/>
                  </w:tcBorders>
                  <w:noWrap w:val="0"/>
                  <w:vAlign w:val="center"/>
                </w:tcPr>
                <w:p w14:paraId="10C2616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221C67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1FD8F4E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2448265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检修电源箱</w:t>
                  </w:r>
                </w:p>
              </w:tc>
              <w:tc>
                <w:tcPr>
                  <w:tcW w:w="2659" w:type="pct"/>
                  <w:tcBorders>
                    <w:tl2br w:val="nil"/>
                    <w:tr2bl w:val="nil"/>
                  </w:tcBorders>
                  <w:noWrap w:val="0"/>
                  <w:vAlign w:val="center"/>
                </w:tcPr>
                <w:p w14:paraId="1415BFE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型号：JXF 380V 250A</w:t>
                  </w:r>
                </w:p>
              </w:tc>
              <w:tc>
                <w:tcPr>
                  <w:tcW w:w="438" w:type="pct"/>
                  <w:tcBorders>
                    <w:tl2br w:val="nil"/>
                    <w:tr2bl w:val="nil"/>
                  </w:tcBorders>
                  <w:noWrap w:val="0"/>
                  <w:vAlign w:val="center"/>
                </w:tcPr>
                <w:p w14:paraId="74756CD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58A7AA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51D0D66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54ADC31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控制箱</w:t>
                  </w:r>
                </w:p>
              </w:tc>
              <w:tc>
                <w:tcPr>
                  <w:tcW w:w="2659" w:type="pct"/>
                  <w:tcBorders>
                    <w:tl2br w:val="nil"/>
                    <w:tr2bl w:val="nil"/>
                  </w:tcBorders>
                  <w:noWrap w:val="0"/>
                  <w:vAlign w:val="center"/>
                </w:tcPr>
                <w:p w14:paraId="523848C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型号：JXF 220V</w:t>
                  </w:r>
                </w:p>
              </w:tc>
              <w:tc>
                <w:tcPr>
                  <w:tcW w:w="438" w:type="pct"/>
                  <w:tcBorders>
                    <w:tl2br w:val="nil"/>
                    <w:tr2bl w:val="nil"/>
                  </w:tcBorders>
                  <w:noWrap w:val="0"/>
                  <w:vAlign w:val="center"/>
                </w:tcPr>
                <w:p w14:paraId="75553A2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7A73CD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3D64278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352E389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照明配电箱</w:t>
                  </w:r>
                </w:p>
              </w:tc>
              <w:tc>
                <w:tcPr>
                  <w:tcW w:w="2659" w:type="pct"/>
                  <w:tcBorders>
                    <w:tl2br w:val="nil"/>
                    <w:tr2bl w:val="nil"/>
                  </w:tcBorders>
                  <w:noWrap w:val="0"/>
                  <w:vAlign w:val="center"/>
                </w:tcPr>
                <w:p w14:paraId="5A2C534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 JXF 380V 69A</w:t>
                  </w:r>
                </w:p>
              </w:tc>
              <w:tc>
                <w:tcPr>
                  <w:tcW w:w="438" w:type="pct"/>
                  <w:tcBorders>
                    <w:tl2br w:val="nil"/>
                    <w:tr2bl w:val="nil"/>
                  </w:tcBorders>
                  <w:noWrap w:val="0"/>
                  <w:vAlign w:val="center"/>
                </w:tcPr>
                <w:p w14:paraId="13F0632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45A89D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7AB2683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3D64F2C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动力柜</w:t>
                  </w:r>
                </w:p>
              </w:tc>
              <w:tc>
                <w:tcPr>
                  <w:tcW w:w="2659" w:type="pct"/>
                  <w:tcBorders>
                    <w:tl2br w:val="nil"/>
                    <w:tr2bl w:val="nil"/>
                  </w:tcBorders>
                  <w:noWrap w:val="0"/>
                  <w:vAlign w:val="center"/>
                </w:tcPr>
                <w:p w14:paraId="178F9D9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 XLZ21380V 250A</w:t>
                  </w:r>
                </w:p>
              </w:tc>
              <w:tc>
                <w:tcPr>
                  <w:tcW w:w="438" w:type="pct"/>
                  <w:tcBorders>
                    <w:tl2br w:val="nil"/>
                    <w:tr2bl w:val="nil"/>
                  </w:tcBorders>
                  <w:noWrap w:val="0"/>
                  <w:vAlign w:val="center"/>
                </w:tcPr>
                <w:p w14:paraId="05BE438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7B3FC3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1E22551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0A2E56B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启动柜</w:t>
                  </w:r>
                </w:p>
              </w:tc>
              <w:tc>
                <w:tcPr>
                  <w:tcW w:w="2659" w:type="pct"/>
                  <w:tcBorders>
                    <w:tl2br w:val="nil"/>
                    <w:tr2bl w:val="nil"/>
                  </w:tcBorders>
                  <w:noWrap w:val="0"/>
                  <w:vAlign w:val="center"/>
                </w:tcPr>
                <w:p w14:paraId="2CCA1D8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8" w:type="pct"/>
                  <w:tcBorders>
                    <w:tl2br w:val="nil"/>
                    <w:tr2bl w:val="nil"/>
                  </w:tcBorders>
                  <w:noWrap w:val="0"/>
                  <w:vAlign w:val="center"/>
                </w:tcPr>
                <w:p w14:paraId="78C4CD3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29504E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11ACE17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15E45ED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自用深水泵</w:t>
                  </w:r>
                </w:p>
              </w:tc>
              <w:tc>
                <w:tcPr>
                  <w:tcW w:w="2659" w:type="pct"/>
                  <w:tcBorders>
                    <w:tl2br w:val="nil"/>
                    <w:tr2bl w:val="nil"/>
                  </w:tcBorders>
                  <w:shd w:val="clear" w:color="auto" w:fill="auto"/>
                  <w:noWrap w:val="0"/>
                  <w:vAlign w:val="center"/>
                </w:tcPr>
                <w:p w14:paraId="2920E0E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功率：5.5KW</w:t>
                  </w:r>
                </w:p>
              </w:tc>
              <w:tc>
                <w:tcPr>
                  <w:tcW w:w="438" w:type="pct"/>
                  <w:tcBorders>
                    <w:tl2br w:val="nil"/>
                    <w:tr2bl w:val="nil"/>
                  </w:tcBorders>
                  <w:shd w:val="clear" w:color="auto" w:fill="auto"/>
                  <w:noWrap w:val="0"/>
                  <w:vAlign w:val="center"/>
                </w:tcPr>
                <w:p w14:paraId="5132E02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346956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6488B33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531390B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皮带输送机</w:t>
                  </w:r>
                </w:p>
              </w:tc>
              <w:tc>
                <w:tcPr>
                  <w:tcW w:w="2659" w:type="pct"/>
                  <w:tcBorders>
                    <w:tl2br w:val="nil"/>
                    <w:tr2bl w:val="nil"/>
                  </w:tcBorders>
                  <w:shd w:val="clear" w:color="auto" w:fill="auto"/>
                  <w:noWrap w:val="0"/>
                  <w:vAlign w:val="center"/>
                </w:tcPr>
                <w:p w14:paraId="1414160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DT75B650×14m功率5.5KW</w:t>
                  </w:r>
                </w:p>
              </w:tc>
              <w:tc>
                <w:tcPr>
                  <w:tcW w:w="438" w:type="pct"/>
                  <w:tcBorders>
                    <w:tl2br w:val="nil"/>
                    <w:tr2bl w:val="nil"/>
                  </w:tcBorders>
                  <w:shd w:val="clear" w:color="auto" w:fill="auto"/>
                  <w:noWrap w:val="0"/>
                  <w:vAlign w:val="center"/>
                </w:tcPr>
                <w:p w14:paraId="596BC8B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1D1EE0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shd w:val="clear" w:color="auto" w:fill="auto"/>
                  <w:noWrap w:val="0"/>
                  <w:vAlign w:val="center"/>
                </w:tcPr>
                <w:p w14:paraId="059D477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废液池</w:t>
                  </w:r>
                </w:p>
              </w:tc>
              <w:tc>
                <w:tcPr>
                  <w:tcW w:w="1108" w:type="pct"/>
                  <w:gridSpan w:val="2"/>
                  <w:tcBorders>
                    <w:tl2br w:val="nil"/>
                    <w:tr2bl w:val="nil"/>
                  </w:tcBorders>
                  <w:shd w:val="clear" w:color="auto" w:fill="auto"/>
                  <w:noWrap w:val="0"/>
                  <w:vAlign w:val="center"/>
                </w:tcPr>
                <w:p w14:paraId="4129B92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自吸泵</w:t>
                  </w:r>
                </w:p>
              </w:tc>
              <w:tc>
                <w:tcPr>
                  <w:tcW w:w="2659" w:type="pct"/>
                  <w:tcBorders>
                    <w:tl2br w:val="nil"/>
                    <w:tr2bl w:val="nil"/>
                  </w:tcBorders>
                  <w:shd w:val="clear" w:color="auto" w:fill="auto"/>
                  <w:noWrap w:val="0"/>
                  <w:vAlign w:val="center"/>
                </w:tcPr>
                <w:p w14:paraId="15E3F7A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型号：50ZX18-20功率：3KW</w:t>
                  </w:r>
                </w:p>
                <w:p w14:paraId="43CB35F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流量：20 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/h 扬程：15m吸程7m</w:t>
                  </w:r>
                </w:p>
              </w:tc>
              <w:tc>
                <w:tcPr>
                  <w:tcW w:w="438" w:type="pct"/>
                  <w:tcBorders>
                    <w:tl2br w:val="nil"/>
                    <w:tr2bl w:val="nil"/>
                  </w:tcBorders>
                  <w:shd w:val="clear" w:color="auto" w:fill="auto"/>
                  <w:noWrap w:val="0"/>
                  <w:vAlign w:val="center"/>
                </w:tcPr>
                <w:p w14:paraId="15F1871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109BE3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62BB0D0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394DDEA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潜污泵（新增）</w:t>
                  </w:r>
                </w:p>
              </w:tc>
              <w:tc>
                <w:tcPr>
                  <w:tcW w:w="2659" w:type="pct"/>
                  <w:tcBorders>
                    <w:tl2br w:val="nil"/>
                    <w:tr2bl w:val="nil"/>
                  </w:tcBorders>
                  <w:shd w:val="clear" w:color="auto" w:fill="auto"/>
                  <w:noWrap w:val="0"/>
                  <w:vAlign w:val="center"/>
                </w:tcPr>
                <w:p w14:paraId="371C3AB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8" w:type="pct"/>
                  <w:tcBorders>
                    <w:tl2br w:val="nil"/>
                    <w:tr2bl w:val="nil"/>
                  </w:tcBorders>
                  <w:shd w:val="clear" w:color="auto" w:fill="auto"/>
                  <w:noWrap w:val="0"/>
                  <w:vAlign w:val="center"/>
                </w:tcPr>
                <w:p w14:paraId="22BE095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34A320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3E8520F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0CE1CCF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控制箱</w:t>
                  </w:r>
                </w:p>
              </w:tc>
              <w:tc>
                <w:tcPr>
                  <w:tcW w:w="2659" w:type="pct"/>
                  <w:tcBorders>
                    <w:tl2br w:val="nil"/>
                    <w:tr2bl w:val="nil"/>
                  </w:tcBorders>
                  <w:shd w:val="clear" w:color="auto" w:fill="auto"/>
                  <w:noWrap w:val="0"/>
                  <w:vAlign w:val="center"/>
                </w:tcPr>
                <w:p w14:paraId="035B3D6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型号：JXF 220V</w:t>
                  </w:r>
                </w:p>
              </w:tc>
              <w:tc>
                <w:tcPr>
                  <w:tcW w:w="438" w:type="pct"/>
                  <w:tcBorders>
                    <w:tl2br w:val="nil"/>
                    <w:tr2bl w:val="nil"/>
                  </w:tcBorders>
                  <w:shd w:val="clear" w:color="auto" w:fill="auto"/>
                  <w:noWrap w:val="0"/>
                  <w:vAlign w:val="center"/>
                </w:tcPr>
                <w:p w14:paraId="4A06621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4B158A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7828C47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60D90FA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超声波液位仪</w:t>
                  </w:r>
                </w:p>
              </w:tc>
              <w:tc>
                <w:tcPr>
                  <w:tcW w:w="2659" w:type="pct"/>
                  <w:tcBorders>
                    <w:tl2br w:val="nil"/>
                    <w:tr2bl w:val="nil"/>
                  </w:tcBorders>
                  <w:shd w:val="clear" w:color="auto" w:fill="auto"/>
                  <w:noWrap w:val="0"/>
                  <w:vAlign w:val="center"/>
                </w:tcPr>
                <w:p w14:paraId="5332A83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型号：CN211</w:t>
                  </w:r>
                </w:p>
              </w:tc>
              <w:tc>
                <w:tcPr>
                  <w:tcW w:w="438" w:type="pct"/>
                  <w:tcBorders>
                    <w:tl2br w:val="nil"/>
                    <w:tr2bl w:val="nil"/>
                  </w:tcBorders>
                  <w:shd w:val="clear" w:color="auto" w:fill="auto"/>
                  <w:noWrap w:val="0"/>
                  <w:vAlign w:val="center"/>
                </w:tcPr>
                <w:p w14:paraId="367A1CA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0E072A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shd w:val="clear" w:color="auto" w:fill="auto"/>
                  <w:noWrap w:val="0"/>
                  <w:vAlign w:val="center"/>
                </w:tcPr>
                <w:p w14:paraId="4EC2BF7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中间水泵房</w:t>
                  </w:r>
                </w:p>
              </w:tc>
              <w:tc>
                <w:tcPr>
                  <w:tcW w:w="1108" w:type="pct"/>
                  <w:gridSpan w:val="2"/>
                  <w:tcBorders>
                    <w:tl2br w:val="nil"/>
                    <w:tr2bl w:val="nil"/>
                  </w:tcBorders>
                  <w:shd w:val="clear" w:color="auto" w:fill="auto"/>
                  <w:noWrap w:val="0"/>
                  <w:vAlign w:val="center"/>
                </w:tcPr>
                <w:p w14:paraId="35588E5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卧式管道泵</w:t>
                  </w:r>
                </w:p>
              </w:tc>
              <w:tc>
                <w:tcPr>
                  <w:tcW w:w="2659" w:type="pct"/>
                  <w:tcBorders>
                    <w:tl2br w:val="nil"/>
                    <w:tr2bl w:val="nil"/>
                  </w:tcBorders>
                  <w:shd w:val="clear" w:color="auto" w:fill="auto"/>
                  <w:noWrap w:val="0"/>
                  <w:vAlign w:val="center"/>
                </w:tcPr>
                <w:p w14:paraId="2A778A6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型号：100-ISW160-15流量：100m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/h</w:t>
                  </w:r>
                </w:p>
                <w:p w14:paraId="2464B0A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扬程：20m功率15KW/380V</w:t>
                  </w:r>
                </w:p>
              </w:tc>
              <w:tc>
                <w:tcPr>
                  <w:tcW w:w="438" w:type="pct"/>
                  <w:tcBorders>
                    <w:tl2br w:val="nil"/>
                    <w:tr2bl w:val="nil"/>
                  </w:tcBorders>
                  <w:shd w:val="clear" w:color="auto" w:fill="auto"/>
                  <w:noWrap w:val="0"/>
                  <w:vAlign w:val="center"/>
                </w:tcPr>
                <w:p w14:paraId="3A209DA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04CED5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760BFF7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4026936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变频器</w:t>
                  </w:r>
                </w:p>
              </w:tc>
              <w:tc>
                <w:tcPr>
                  <w:tcW w:w="2659" w:type="pct"/>
                  <w:tcBorders>
                    <w:tl2br w:val="nil"/>
                    <w:tr2bl w:val="nil"/>
                  </w:tcBorders>
                  <w:shd w:val="clear" w:color="auto" w:fill="auto"/>
                  <w:noWrap w:val="0"/>
                  <w:vAlign w:val="center"/>
                </w:tcPr>
                <w:p w14:paraId="5859DB0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型号：EH600A V2.8</w:t>
                  </w:r>
                </w:p>
                <w:p w14:paraId="5723A56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15KW/380V</w:t>
                  </w:r>
                </w:p>
              </w:tc>
              <w:tc>
                <w:tcPr>
                  <w:tcW w:w="438" w:type="pct"/>
                  <w:tcBorders>
                    <w:tl2br w:val="nil"/>
                    <w:tr2bl w:val="nil"/>
                  </w:tcBorders>
                  <w:shd w:val="clear" w:color="auto" w:fill="auto"/>
                  <w:noWrap w:val="0"/>
                  <w:vAlign w:val="center"/>
                </w:tcPr>
                <w:p w14:paraId="054D5C1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1A4F1F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1771AC0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52FD63E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离心式渣浆泵</w:t>
                  </w:r>
                </w:p>
              </w:tc>
              <w:tc>
                <w:tcPr>
                  <w:tcW w:w="2659" w:type="pct"/>
                  <w:tcBorders>
                    <w:tl2br w:val="nil"/>
                    <w:tr2bl w:val="nil"/>
                  </w:tcBorders>
                  <w:shd w:val="clear" w:color="auto" w:fill="auto"/>
                  <w:noWrap w:val="0"/>
                  <w:vAlign w:val="center"/>
                </w:tcPr>
                <w:p w14:paraId="3E63BD8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型号：Z/1.5B-AH流量：15m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/h</w:t>
                  </w:r>
                </w:p>
                <w:p w14:paraId="67EB346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扬程：20m功率：7.5KW/380V</w:t>
                  </w:r>
                </w:p>
              </w:tc>
              <w:tc>
                <w:tcPr>
                  <w:tcW w:w="438" w:type="pct"/>
                  <w:tcBorders>
                    <w:tl2br w:val="nil"/>
                    <w:tr2bl w:val="nil"/>
                  </w:tcBorders>
                  <w:shd w:val="clear" w:color="auto" w:fill="auto"/>
                  <w:noWrap w:val="0"/>
                  <w:vAlign w:val="center"/>
                </w:tcPr>
                <w:p w14:paraId="1EAE470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1E98F5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683F733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7888961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卧式离心泵</w:t>
                  </w:r>
                </w:p>
              </w:tc>
              <w:tc>
                <w:tcPr>
                  <w:tcW w:w="2659" w:type="pct"/>
                  <w:tcBorders>
                    <w:tl2br w:val="nil"/>
                    <w:tr2bl w:val="nil"/>
                  </w:tcBorders>
                  <w:shd w:val="clear" w:color="auto" w:fill="auto"/>
                  <w:noWrap w:val="0"/>
                  <w:vAlign w:val="center"/>
                </w:tcPr>
                <w:p w14:paraId="06EE295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型号：6PW流量：220 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/h</w:t>
                  </w:r>
                </w:p>
                <w:p w14:paraId="407B6D0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扬程：15m功率：30KW</w:t>
                  </w:r>
                </w:p>
              </w:tc>
              <w:tc>
                <w:tcPr>
                  <w:tcW w:w="438" w:type="pct"/>
                  <w:tcBorders>
                    <w:tl2br w:val="nil"/>
                    <w:tr2bl w:val="nil"/>
                  </w:tcBorders>
                  <w:shd w:val="clear" w:color="auto" w:fill="auto"/>
                  <w:noWrap w:val="0"/>
                  <w:vAlign w:val="center"/>
                </w:tcPr>
                <w:p w14:paraId="3EF0106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p>
              </w:tc>
            </w:tr>
            <w:tr w14:paraId="7082AC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421999A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79E48A5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照明配电箱</w:t>
                  </w:r>
                </w:p>
              </w:tc>
              <w:tc>
                <w:tcPr>
                  <w:tcW w:w="2659" w:type="pct"/>
                  <w:tcBorders>
                    <w:tl2br w:val="nil"/>
                    <w:tr2bl w:val="nil"/>
                  </w:tcBorders>
                  <w:shd w:val="clear" w:color="auto" w:fill="auto"/>
                  <w:noWrap w:val="0"/>
                  <w:vAlign w:val="center"/>
                </w:tcPr>
                <w:p w14:paraId="51A991C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 JXF 380V 69A</w:t>
                  </w:r>
                </w:p>
              </w:tc>
              <w:tc>
                <w:tcPr>
                  <w:tcW w:w="438" w:type="pct"/>
                  <w:tcBorders>
                    <w:tl2br w:val="nil"/>
                    <w:tr2bl w:val="nil"/>
                  </w:tcBorders>
                  <w:shd w:val="clear" w:color="auto" w:fill="auto"/>
                  <w:noWrap w:val="0"/>
                  <w:vAlign w:val="center"/>
                </w:tcPr>
                <w:p w14:paraId="00317B1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29A815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4948A32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549C72F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控制箱</w:t>
                  </w:r>
                </w:p>
              </w:tc>
              <w:tc>
                <w:tcPr>
                  <w:tcW w:w="2659" w:type="pct"/>
                  <w:tcBorders>
                    <w:tl2br w:val="nil"/>
                    <w:tr2bl w:val="nil"/>
                  </w:tcBorders>
                  <w:shd w:val="clear" w:color="auto" w:fill="auto"/>
                  <w:noWrap w:val="0"/>
                  <w:vAlign w:val="center"/>
                </w:tcPr>
                <w:p w14:paraId="23F4A9B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型号：JXF 220V</w:t>
                  </w:r>
                </w:p>
              </w:tc>
              <w:tc>
                <w:tcPr>
                  <w:tcW w:w="438" w:type="pct"/>
                  <w:tcBorders>
                    <w:tl2br w:val="nil"/>
                    <w:tr2bl w:val="nil"/>
                  </w:tcBorders>
                  <w:shd w:val="clear" w:color="auto" w:fill="auto"/>
                  <w:noWrap w:val="0"/>
                  <w:vAlign w:val="center"/>
                </w:tcPr>
                <w:p w14:paraId="44ED331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p>
              </w:tc>
            </w:tr>
            <w:tr w14:paraId="76096D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180DBB2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13B0B93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电动葫芦</w:t>
                  </w:r>
                </w:p>
              </w:tc>
              <w:tc>
                <w:tcPr>
                  <w:tcW w:w="2659" w:type="pct"/>
                  <w:tcBorders>
                    <w:tl2br w:val="nil"/>
                    <w:tr2bl w:val="nil"/>
                  </w:tcBorders>
                  <w:shd w:val="clear" w:color="auto" w:fill="auto"/>
                  <w:noWrap w:val="0"/>
                  <w:vAlign w:val="center"/>
                </w:tcPr>
                <w:p w14:paraId="0F10B71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1T起升高度8M 单轨</w:t>
                  </w:r>
                </w:p>
              </w:tc>
              <w:tc>
                <w:tcPr>
                  <w:tcW w:w="438" w:type="pct"/>
                  <w:tcBorders>
                    <w:tl2br w:val="nil"/>
                    <w:tr2bl w:val="nil"/>
                  </w:tcBorders>
                  <w:shd w:val="clear" w:color="auto" w:fill="auto"/>
                  <w:noWrap w:val="0"/>
                  <w:vAlign w:val="center"/>
                </w:tcPr>
                <w:p w14:paraId="3386327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3DFE88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2AAFF29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1E5AE32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超声波液位仪</w:t>
                  </w:r>
                </w:p>
              </w:tc>
              <w:tc>
                <w:tcPr>
                  <w:tcW w:w="2659" w:type="pct"/>
                  <w:tcBorders>
                    <w:tl2br w:val="nil"/>
                    <w:tr2bl w:val="nil"/>
                  </w:tcBorders>
                  <w:shd w:val="clear" w:color="auto" w:fill="auto"/>
                  <w:noWrap w:val="0"/>
                  <w:vAlign w:val="center"/>
                </w:tcPr>
                <w:p w14:paraId="6F18D68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型号：CN211</w:t>
                  </w:r>
                </w:p>
              </w:tc>
              <w:tc>
                <w:tcPr>
                  <w:tcW w:w="438" w:type="pct"/>
                  <w:tcBorders>
                    <w:tl2br w:val="nil"/>
                    <w:tr2bl w:val="nil"/>
                  </w:tcBorders>
                  <w:shd w:val="clear" w:color="auto" w:fill="auto"/>
                  <w:noWrap w:val="0"/>
                  <w:vAlign w:val="center"/>
                </w:tcPr>
                <w:p w14:paraId="2776374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1FF7AE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6BE2F26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58AFCD0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立式排污泵</w:t>
                  </w:r>
                </w:p>
              </w:tc>
              <w:tc>
                <w:tcPr>
                  <w:tcW w:w="2659" w:type="pct"/>
                  <w:tcBorders>
                    <w:tl2br w:val="nil"/>
                    <w:tr2bl w:val="nil"/>
                  </w:tcBorders>
                  <w:shd w:val="clear" w:color="auto" w:fill="auto"/>
                  <w:noWrap w:val="0"/>
                  <w:vAlign w:val="center"/>
                </w:tcPr>
                <w:p w14:paraId="1D31642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型号：WL100-250/15/4 功率15KW</w:t>
                  </w:r>
                </w:p>
                <w:p w14:paraId="04A6709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扬程;20m 流量：100 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/h</w:t>
                  </w:r>
                </w:p>
              </w:tc>
              <w:tc>
                <w:tcPr>
                  <w:tcW w:w="438" w:type="pct"/>
                  <w:tcBorders>
                    <w:tl2br w:val="nil"/>
                    <w:tr2bl w:val="nil"/>
                  </w:tcBorders>
                  <w:shd w:val="clear" w:color="auto" w:fill="auto"/>
                  <w:noWrap w:val="0"/>
                  <w:vAlign w:val="center"/>
                </w:tcPr>
                <w:p w14:paraId="18ADCD3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30718D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shd w:val="clear" w:color="auto" w:fill="auto"/>
                  <w:noWrap w:val="0"/>
                  <w:vAlign w:val="center"/>
                </w:tcPr>
                <w:p w14:paraId="0913C7E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澄清池</w:t>
                  </w:r>
                </w:p>
              </w:tc>
              <w:tc>
                <w:tcPr>
                  <w:tcW w:w="1108" w:type="pct"/>
                  <w:gridSpan w:val="2"/>
                  <w:tcBorders>
                    <w:tl2br w:val="nil"/>
                    <w:tr2bl w:val="nil"/>
                  </w:tcBorders>
                  <w:shd w:val="clear" w:color="auto" w:fill="auto"/>
                  <w:noWrap w:val="0"/>
                  <w:vAlign w:val="center"/>
                </w:tcPr>
                <w:p w14:paraId="5628CC8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中心传动刮泥机</w:t>
                  </w:r>
                </w:p>
              </w:tc>
              <w:tc>
                <w:tcPr>
                  <w:tcW w:w="2659" w:type="pct"/>
                  <w:tcBorders>
                    <w:tl2br w:val="nil"/>
                    <w:tr2bl w:val="nil"/>
                  </w:tcBorders>
                  <w:shd w:val="clear" w:color="auto" w:fill="auto"/>
                  <w:noWrap w:val="0"/>
                  <w:vAlign w:val="center"/>
                </w:tcPr>
                <w:p w14:paraId="40CFCD3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型号：XQZ-12.4功率1.5KW</w:t>
                  </w:r>
                </w:p>
              </w:tc>
              <w:tc>
                <w:tcPr>
                  <w:tcW w:w="438" w:type="pct"/>
                  <w:tcBorders>
                    <w:tl2br w:val="nil"/>
                    <w:tr2bl w:val="nil"/>
                  </w:tcBorders>
                  <w:shd w:val="clear" w:color="auto" w:fill="auto"/>
                  <w:noWrap w:val="0"/>
                  <w:vAlign w:val="center"/>
                </w:tcPr>
                <w:p w14:paraId="0FB0AD1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464546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5A83427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2" w:type="pct"/>
                  <w:vMerge w:val="restart"/>
                  <w:tcBorders>
                    <w:tl2br w:val="nil"/>
                    <w:tr2bl w:val="nil"/>
                  </w:tcBorders>
                  <w:shd w:val="clear" w:color="auto" w:fill="auto"/>
                  <w:noWrap w:val="0"/>
                  <w:vAlign w:val="center"/>
                </w:tcPr>
                <w:p w14:paraId="017F950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阀门电动装置</w:t>
                  </w:r>
                </w:p>
              </w:tc>
              <w:tc>
                <w:tcPr>
                  <w:tcW w:w="676" w:type="pct"/>
                  <w:tcBorders>
                    <w:tl2br w:val="nil"/>
                    <w:tr2bl w:val="nil"/>
                  </w:tcBorders>
                  <w:shd w:val="clear" w:color="auto" w:fill="auto"/>
                  <w:noWrap w:val="0"/>
                  <w:vAlign w:val="center"/>
                </w:tcPr>
                <w:p w14:paraId="370F21F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蝶阀</w:t>
                  </w:r>
                </w:p>
              </w:tc>
              <w:tc>
                <w:tcPr>
                  <w:tcW w:w="2659" w:type="pct"/>
                  <w:tcBorders>
                    <w:tl2br w:val="nil"/>
                    <w:tr2bl w:val="nil"/>
                  </w:tcBorders>
                  <w:shd w:val="clear" w:color="auto" w:fill="auto"/>
                  <w:noWrap w:val="0"/>
                  <w:vAlign w:val="center"/>
                </w:tcPr>
                <w:p w14:paraId="52F269A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D341x5-10116ZB 1.6Mpa</w:t>
                  </w:r>
                </w:p>
              </w:tc>
              <w:tc>
                <w:tcPr>
                  <w:tcW w:w="438" w:type="pct"/>
                  <w:tcBorders>
                    <w:tl2br w:val="nil"/>
                    <w:tr2bl w:val="nil"/>
                  </w:tcBorders>
                  <w:shd w:val="clear" w:color="auto" w:fill="auto"/>
                  <w:noWrap w:val="0"/>
                  <w:vAlign w:val="center"/>
                </w:tcPr>
                <w:p w14:paraId="4263415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185404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0EB0EE7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2" w:type="pct"/>
                  <w:vMerge w:val="continue"/>
                  <w:tcBorders>
                    <w:tl2br w:val="nil"/>
                    <w:tr2bl w:val="nil"/>
                  </w:tcBorders>
                  <w:shd w:val="clear" w:color="auto" w:fill="auto"/>
                  <w:noWrap w:val="0"/>
                  <w:vAlign w:val="center"/>
                </w:tcPr>
                <w:p w14:paraId="5D299B5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76" w:type="pct"/>
                  <w:tcBorders>
                    <w:tl2br w:val="nil"/>
                    <w:tr2bl w:val="nil"/>
                  </w:tcBorders>
                  <w:shd w:val="clear" w:color="auto" w:fill="auto"/>
                  <w:noWrap w:val="0"/>
                  <w:vAlign w:val="center"/>
                </w:tcPr>
                <w:p w14:paraId="603CE13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电动装置</w:t>
                  </w:r>
                </w:p>
              </w:tc>
              <w:tc>
                <w:tcPr>
                  <w:tcW w:w="2659" w:type="pct"/>
                  <w:tcBorders>
                    <w:tl2br w:val="nil"/>
                    <w:tr2bl w:val="nil"/>
                  </w:tcBorders>
                  <w:shd w:val="clear" w:color="auto" w:fill="auto"/>
                  <w:noWrap w:val="0"/>
                  <w:vAlign w:val="center"/>
                </w:tcPr>
                <w:p w14:paraId="092F9D6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LQ40-1 400N.m 1r/min</w:t>
                  </w:r>
                </w:p>
              </w:tc>
              <w:tc>
                <w:tcPr>
                  <w:tcW w:w="438" w:type="pct"/>
                  <w:tcBorders>
                    <w:tl2br w:val="nil"/>
                    <w:tr2bl w:val="nil"/>
                  </w:tcBorders>
                  <w:shd w:val="clear" w:color="auto" w:fill="auto"/>
                  <w:noWrap w:val="0"/>
                  <w:vAlign w:val="center"/>
                </w:tcPr>
                <w:p w14:paraId="2DFDDAB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3991C6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79F2ED2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540C8B9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控制箱</w:t>
                  </w:r>
                </w:p>
              </w:tc>
              <w:tc>
                <w:tcPr>
                  <w:tcW w:w="2659" w:type="pct"/>
                  <w:tcBorders>
                    <w:tl2br w:val="nil"/>
                    <w:tr2bl w:val="nil"/>
                  </w:tcBorders>
                  <w:shd w:val="clear" w:color="auto" w:fill="auto"/>
                  <w:noWrap w:val="0"/>
                  <w:vAlign w:val="center"/>
                </w:tcPr>
                <w:p w14:paraId="3852A76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型号：JXF 220V</w:t>
                  </w:r>
                </w:p>
              </w:tc>
              <w:tc>
                <w:tcPr>
                  <w:tcW w:w="438" w:type="pct"/>
                  <w:tcBorders>
                    <w:tl2br w:val="nil"/>
                    <w:tr2bl w:val="nil"/>
                  </w:tcBorders>
                  <w:shd w:val="clear" w:color="auto" w:fill="auto"/>
                  <w:noWrap w:val="0"/>
                  <w:vAlign w:val="center"/>
                </w:tcPr>
                <w:p w14:paraId="2B7336A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120463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shd w:val="clear" w:color="auto" w:fill="auto"/>
                  <w:noWrap w:val="0"/>
                  <w:vAlign w:val="center"/>
                </w:tcPr>
                <w:p w14:paraId="177E1C5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过滤间</w:t>
                  </w:r>
                </w:p>
              </w:tc>
              <w:tc>
                <w:tcPr>
                  <w:tcW w:w="1108" w:type="pct"/>
                  <w:gridSpan w:val="2"/>
                  <w:tcBorders>
                    <w:tl2br w:val="nil"/>
                    <w:tr2bl w:val="nil"/>
                  </w:tcBorders>
                  <w:shd w:val="clear" w:color="auto" w:fill="auto"/>
                  <w:noWrap w:val="0"/>
                  <w:vAlign w:val="center"/>
                </w:tcPr>
                <w:p w14:paraId="1963C69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无阀过滤器</w:t>
                  </w:r>
                </w:p>
              </w:tc>
              <w:tc>
                <w:tcPr>
                  <w:tcW w:w="2659" w:type="pct"/>
                  <w:tcBorders>
                    <w:tl2br w:val="nil"/>
                    <w:tr2bl w:val="nil"/>
                  </w:tcBorders>
                  <w:shd w:val="clear" w:color="auto" w:fill="auto"/>
                  <w:noWrap w:val="0"/>
                  <w:vAlign w:val="center"/>
                </w:tcPr>
                <w:p w14:paraId="5C04368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型号：WF-80 220 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/h</w:t>
                  </w:r>
                </w:p>
                <w:p w14:paraId="0A71085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功率≤0.15Mpa</w:t>
                  </w:r>
                </w:p>
              </w:tc>
              <w:tc>
                <w:tcPr>
                  <w:tcW w:w="438" w:type="pct"/>
                  <w:tcBorders>
                    <w:tl2br w:val="nil"/>
                    <w:tr2bl w:val="nil"/>
                  </w:tcBorders>
                  <w:shd w:val="clear" w:color="auto" w:fill="auto"/>
                  <w:noWrap w:val="0"/>
                  <w:vAlign w:val="center"/>
                </w:tcPr>
                <w:p w14:paraId="5ED9C6E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6F868B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44125C2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1539F55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隔膜式计量泵</w:t>
                  </w:r>
                </w:p>
              </w:tc>
              <w:tc>
                <w:tcPr>
                  <w:tcW w:w="2659" w:type="pct"/>
                  <w:tcBorders>
                    <w:tl2br w:val="nil"/>
                    <w:tr2bl w:val="nil"/>
                  </w:tcBorders>
                  <w:shd w:val="clear" w:color="auto" w:fill="auto"/>
                  <w:noWrap w:val="0"/>
                  <w:vAlign w:val="center"/>
                </w:tcPr>
                <w:p w14:paraId="39E2DEE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型号：JBB120/0.4压力：0.4Mpa</w:t>
                  </w:r>
                </w:p>
                <w:p w14:paraId="4901B53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流量120L/h</w:t>
                  </w:r>
                </w:p>
              </w:tc>
              <w:tc>
                <w:tcPr>
                  <w:tcW w:w="438" w:type="pct"/>
                  <w:tcBorders>
                    <w:tl2br w:val="nil"/>
                    <w:tr2bl w:val="nil"/>
                  </w:tcBorders>
                  <w:shd w:val="clear" w:color="auto" w:fill="auto"/>
                  <w:noWrap w:val="0"/>
                  <w:vAlign w:val="center"/>
                </w:tcPr>
                <w:p w14:paraId="488F060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3A1DD2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25D6EB9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2C77935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摆线针轮减速机</w:t>
                  </w:r>
                </w:p>
              </w:tc>
              <w:tc>
                <w:tcPr>
                  <w:tcW w:w="2659" w:type="pct"/>
                  <w:tcBorders>
                    <w:tl2br w:val="nil"/>
                    <w:tr2bl w:val="nil"/>
                  </w:tcBorders>
                  <w:shd w:val="clear" w:color="auto" w:fill="auto"/>
                  <w:noWrap w:val="0"/>
                  <w:vAlign w:val="center"/>
                </w:tcPr>
                <w:p w14:paraId="1405EBF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型号：DLD09-11-0.75</w:t>
                  </w:r>
                </w:p>
                <w:p w14:paraId="7F5348B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功率：075KW/380V</w:t>
                  </w:r>
                </w:p>
              </w:tc>
              <w:tc>
                <w:tcPr>
                  <w:tcW w:w="438" w:type="pct"/>
                  <w:tcBorders>
                    <w:tl2br w:val="nil"/>
                    <w:tr2bl w:val="nil"/>
                  </w:tcBorders>
                  <w:shd w:val="clear" w:color="auto" w:fill="auto"/>
                  <w:noWrap w:val="0"/>
                  <w:vAlign w:val="center"/>
                </w:tcPr>
                <w:p w14:paraId="4200065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3081A7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462412D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7B5E5CE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无级变速机</w:t>
                  </w:r>
                </w:p>
              </w:tc>
              <w:tc>
                <w:tcPr>
                  <w:tcW w:w="2659" w:type="pct"/>
                  <w:tcBorders>
                    <w:tl2br w:val="nil"/>
                    <w:tr2bl w:val="nil"/>
                  </w:tcBorders>
                  <w:shd w:val="clear" w:color="auto" w:fill="auto"/>
                  <w:noWrap w:val="0"/>
                  <w:vAlign w:val="center"/>
                </w:tcPr>
                <w:p w14:paraId="5494631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型号：UDL0.37-NMRV050/40FHI</w:t>
                  </w:r>
                </w:p>
                <w:p w14:paraId="0D5156C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功率：0.37KW</w:t>
                  </w:r>
                </w:p>
              </w:tc>
              <w:tc>
                <w:tcPr>
                  <w:tcW w:w="438" w:type="pct"/>
                  <w:tcBorders>
                    <w:tl2br w:val="nil"/>
                    <w:tr2bl w:val="nil"/>
                  </w:tcBorders>
                  <w:shd w:val="clear" w:color="auto" w:fill="auto"/>
                  <w:noWrap w:val="0"/>
                  <w:vAlign w:val="center"/>
                </w:tcPr>
                <w:p w14:paraId="5F8A902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126340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773F677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4DE232B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自吸泵</w:t>
                  </w:r>
                </w:p>
              </w:tc>
              <w:tc>
                <w:tcPr>
                  <w:tcW w:w="2659" w:type="pct"/>
                  <w:tcBorders>
                    <w:tl2br w:val="nil"/>
                    <w:tr2bl w:val="nil"/>
                  </w:tcBorders>
                  <w:shd w:val="clear" w:color="auto" w:fill="auto"/>
                  <w:noWrap w:val="0"/>
                  <w:vAlign w:val="center"/>
                </w:tcPr>
                <w:p w14:paraId="18BE901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型号：DBZ功率：1.8KW/220V扬程：50m吸程：10-15m流量：10m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/h</w:t>
                  </w:r>
                </w:p>
              </w:tc>
              <w:tc>
                <w:tcPr>
                  <w:tcW w:w="438" w:type="pct"/>
                  <w:tcBorders>
                    <w:tl2br w:val="nil"/>
                    <w:tr2bl w:val="nil"/>
                  </w:tcBorders>
                  <w:shd w:val="clear" w:color="auto" w:fill="auto"/>
                  <w:noWrap w:val="0"/>
                  <w:vAlign w:val="center"/>
                </w:tcPr>
                <w:p w14:paraId="5AF8147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046D4B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shd w:val="clear" w:color="auto" w:fill="auto"/>
                  <w:noWrap w:val="0"/>
                  <w:vAlign w:val="center"/>
                </w:tcPr>
                <w:p w14:paraId="598A85D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深度泵房</w:t>
                  </w:r>
                </w:p>
              </w:tc>
              <w:tc>
                <w:tcPr>
                  <w:tcW w:w="1108" w:type="pct"/>
                  <w:gridSpan w:val="2"/>
                  <w:tcBorders>
                    <w:tl2br w:val="nil"/>
                    <w:tr2bl w:val="nil"/>
                  </w:tcBorders>
                  <w:shd w:val="clear" w:color="auto" w:fill="auto"/>
                  <w:noWrap w:val="0"/>
                  <w:vAlign w:val="center"/>
                </w:tcPr>
                <w:p w14:paraId="5FFB151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离心式渣浆泵</w:t>
                  </w:r>
                </w:p>
              </w:tc>
              <w:tc>
                <w:tcPr>
                  <w:tcW w:w="2659" w:type="pct"/>
                  <w:tcBorders>
                    <w:tl2br w:val="nil"/>
                    <w:tr2bl w:val="nil"/>
                  </w:tcBorders>
                  <w:shd w:val="clear" w:color="auto" w:fill="auto"/>
                  <w:noWrap w:val="0"/>
                  <w:vAlign w:val="center"/>
                </w:tcPr>
                <w:p w14:paraId="575A350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型号：413.C-AH流量：80m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/h</w:t>
                  </w:r>
                </w:p>
                <w:p w14:paraId="71C03B2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扬程：17m功率：11KW/380V</w:t>
                  </w:r>
                </w:p>
              </w:tc>
              <w:tc>
                <w:tcPr>
                  <w:tcW w:w="438" w:type="pct"/>
                  <w:tcBorders>
                    <w:tl2br w:val="nil"/>
                    <w:tr2bl w:val="nil"/>
                  </w:tcBorders>
                  <w:shd w:val="clear" w:color="auto" w:fill="auto"/>
                  <w:noWrap w:val="0"/>
                  <w:vAlign w:val="center"/>
                </w:tcPr>
                <w:p w14:paraId="138F9DD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3433FB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6974F62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2D90F4D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污水泵</w:t>
                  </w:r>
                </w:p>
              </w:tc>
              <w:tc>
                <w:tcPr>
                  <w:tcW w:w="2659" w:type="pct"/>
                  <w:tcBorders>
                    <w:tl2br w:val="nil"/>
                    <w:tr2bl w:val="nil"/>
                  </w:tcBorders>
                  <w:shd w:val="clear" w:color="auto" w:fill="auto"/>
                  <w:noWrap w:val="0"/>
                  <w:vAlign w:val="center"/>
                </w:tcPr>
                <w:p w14:paraId="5BAD497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型号：2.5PW流量：43 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/h</w:t>
                  </w:r>
                </w:p>
                <w:p w14:paraId="70C84D4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扬程：34m功率：15KW</w:t>
                  </w:r>
                </w:p>
              </w:tc>
              <w:tc>
                <w:tcPr>
                  <w:tcW w:w="438" w:type="pct"/>
                  <w:tcBorders>
                    <w:tl2br w:val="nil"/>
                    <w:tr2bl w:val="nil"/>
                  </w:tcBorders>
                  <w:shd w:val="clear" w:color="auto" w:fill="auto"/>
                  <w:noWrap w:val="0"/>
                  <w:vAlign w:val="center"/>
                </w:tcPr>
                <w:p w14:paraId="6F1BAFA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1F6880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3D40A2A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145BE09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卧式离心泵</w:t>
                  </w:r>
                </w:p>
              </w:tc>
              <w:tc>
                <w:tcPr>
                  <w:tcW w:w="2659" w:type="pct"/>
                  <w:tcBorders>
                    <w:tl2br w:val="nil"/>
                    <w:tr2bl w:val="nil"/>
                  </w:tcBorders>
                  <w:shd w:val="clear" w:color="auto" w:fill="auto"/>
                  <w:noWrap w:val="0"/>
                  <w:vAlign w:val="center"/>
                </w:tcPr>
                <w:p w14:paraId="59DFB28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型号：IS250-200-315流量：550 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/h</w:t>
                  </w:r>
                </w:p>
                <w:p w14:paraId="2EF71FC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扬程：25m功率：75KW</w:t>
                  </w:r>
                </w:p>
              </w:tc>
              <w:tc>
                <w:tcPr>
                  <w:tcW w:w="438" w:type="pct"/>
                  <w:tcBorders>
                    <w:tl2br w:val="nil"/>
                    <w:tr2bl w:val="nil"/>
                  </w:tcBorders>
                  <w:shd w:val="clear" w:color="auto" w:fill="auto"/>
                  <w:noWrap w:val="0"/>
                  <w:vAlign w:val="center"/>
                </w:tcPr>
                <w:p w14:paraId="096C80A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386476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1C5CCF0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6737A34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卧式离心泵</w:t>
                  </w:r>
                </w:p>
              </w:tc>
              <w:tc>
                <w:tcPr>
                  <w:tcW w:w="2659" w:type="pct"/>
                  <w:tcBorders>
                    <w:tl2br w:val="nil"/>
                    <w:tr2bl w:val="nil"/>
                  </w:tcBorders>
                  <w:shd w:val="clear" w:color="auto" w:fill="auto"/>
                  <w:noWrap w:val="0"/>
                  <w:vAlign w:val="center"/>
                </w:tcPr>
                <w:p w14:paraId="3C30D0A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型号：IS150-150-400A流量：220 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/h</w:t>
                  </w:r>
                </w:p>
                <w:p w14:paraId="325AB31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扬程：40m功率：37KW</w:t>
                  </w:r>
                </w:p>
              </w:tc>
              <w:tc>
                <w:tcPr>
                  <w:tcW w:w="438" w:type="pct"/>
                  <w:tcBorders>
                    <w:tl2br w:val="nil"/>
                    <w:tr2bl w:val="nil"/>
                  </w:tcBorders>
                  <w:shd w:val="clear" w:color="auto" w:fill="auto"/>
                  <w:noWrap w:val="0"/>
                  <w:vAlign w:val="center"/>
                </w:tcPr>
                <w:p w14:paraId="577F082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p>
              </w:tc>
            </w:tr>
            <w:tr w14:paraId="0E2748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183475B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64C7F62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变频器</w:t>
                  </w:r>
                </w:p>
              </w:tc>
              <w:tc>
                <w:tcPr>
                  <w:tcW w:w="2659" w:type="pct"/>
                  <w:tcBorders>
                    <w:tl2br w:val="nil"/>
                    <w:tr2bl w:val="nil"/>
                  </w:tcBorders>
                  <w:shd w:val="clear" w:color="auto" w:fill="auto"/>
                  <w:noWrap w:val="0"/>
                  <w:vAlign w:val="center"/>
                </w:tcPr>
                <w:p w14:paraId="1C2C115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型号：EH600A V-2.7</w:t>
                  </w:r>
                </w:p>
                <w:p w14:paraId="23FD194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37KW/380V</w:t>
                  </w:r>
                </w:p>
              </w:tc>
              <w:tc>
                <w:tcPr>
                  <w:tcW w:w="438" w:type="pct"/>
                  <w:tcBorders>
                    <w:tl2br w:val="nil"/>
                    <w:tr2bl w:val="nil"/>
                  </w:tcBorders>
                  <w:shd w:val="clear" w:color="auto" w:fill="auto"/>
                  <w:noWrap w:val="0"/>
                  <w:vAlign w:val="center"/>
                </w:tcPr>
                <w:p w14:paraId="2F6BA63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008B2A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6A063B7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3E898DB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动力配电箱</w:t>
                  </w:r>
                </w:p>
              </w:tc>
              <w:tc>
                <w:tcPr>
                  <w:tcW w:w="2659" w:type="pct"/>
                  <w:tcBorders>
                    <w:tl2br w:val="nil"/>
                    <w:tr2bl w:val="nil"/>
                  </w:tcBorders>
                  <w:shd w:val="clear" w:color="auto" w:fill="auto"/>
                  <w:noWrap w:val="0"/>
                  <w:vAlign w:val="center"/>
                </w:tcPr>
                <w:p w14:paraId="648CF8F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 JXF 380V 63A</w:t>
                  </w:r>
                </w:p>
              </w:tc>
              <w:tc>
                <w:tcPr>
                  <w:tcW w:w="438" w:type="pct"/>
                  <w:tcBorders>
                    <w:tl2br w:val="nil"/>
                    <w:tr2bl w:val="nil"/>
                  </w:tcBorders>
                  <w:shd w:val="clear" w:color="auto" w:fill="auto"/>
                  <w:noWrap w:val="0"/>
                  <w:vAlign w:val="center"/>
                </w:tcPr>
                <w:p w14:paraId="5356AA8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6EF8D7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5D73AB8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108EBDC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控制箱</w:t>
                  </w:r>
                </w:p>
              </w:tc>
              <w:tc>
                <w:tcPr>
                  <w:tcW w:w="2659" w:type="pct"/>
                  <w:tcBorders>
                    <w:tl2br w:val="nil"/>
                    <w:tr2bl w:val="nil"/>
                  </w:tcBorders>
                  <w:shd w:val="clear" w:color="auto" w:fill="auto"/>
                  <w:noWrap w:val="0"/>
                  <w:vAlign w:val="center"/>
                </w:tcPr>
                <w:p w14:paraId="3EFD2E6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型号：JXF 220V</w:t>
                  </w:r>
                </w:p>
              </w:tc>
              <w:tc>
                <w:tcPr>
                  <w:tcW w:w="438" w:type="pct"/>
                  <w:tcBorders>
                    <w:tl2br w:val="nil"/>
                    <w:tr2bl w:val="nil"/>
                  </w:tcBorders>
                  <w:shd w:val="clear" w:color="auto" w:fill="auto"/>
                  <w:noWrap w:val="0"/>
                  <w:vAlign w:val="center"/>
                </w:tcPr>
                <w:p w14:paraId="2DC3078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w:t>
                  </w:r>
                </w:p>
              </w:tc>
            </w:tr>
            <w:tr w14:paraId="1D3EBF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0AA6A12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4EFDA17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检修电源箱</w:t>
                  </w:r>
                </w:p>
              </w:tc>
              <w:tc>
                <w:tcPr>
                  <w:tcW w:w="2659" w:type="pct"/>
                  <w:tcBorders>
                    <w:tl2br w:val="nil"/>
                    <w:tr2bl w:val="nil"/>
                  </w:tcBorders>
                  <w:shd w:val="clear" w:color="auto" w:fill="auto"/>
                  <w:noWrap w:val="0"/>
                  <w:vAlign w:val="center"/>
                </w:tcPr>
                <w:p w14:paraId="10CD3CE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型号：JXF 380V 250A</w:t>
                  </w:r>
                </w:p>
              </w:tc>
              <w:tc>
                <w:tcPr>
                  <w:tcW w:w="438" w:type="pct"/>
                  <w:tcBorders>
                    <w:tl2br w:val="nil"/>
                    <w:tr2bl w:val="nil"/>
                  </w:tcBorders>
                  <w:shd w:val="clear" w:color="auto" w:fill="auto"/>
                  <w:noWrap w:val="0"/>
                  <w:vAlign w:val="center"/>
                </w:tcPr>
                <w:p w14:paraId="163A613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79E568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723DE07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4AE4F1A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电动葫芦</w:t>
                  </w:r>
                </w:p>
              </w:tc>
              <w:tc>
                <w:tcPr>
                  <w:tcW w:w="2659" w:type="pct"/>
                  <w:tcBorders>
                    <w:tl2br w:val="nil"/>
                    <w:tr2bl w:val="nil"/>
                  </w:tcBorders>
                  <w:shd w:val="clear" w:color="auto" w:fill="auto"/>
                  <w:noWrap w:val="0"/>
                  <w:vAlign w:val="center"/>
                </w:tcPr>
                <w:p w14:paraId="41DC9D8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2T起升高度8M 单轨</w:t>
                  </w:r>
                </w:p>
              </w:tc>
              <w:tc>
                <w:tcPr>
                  <w:tcW w:w="438" w:type="pct"/>
                  <w:tcBorders>
                    <w:tl2br w:val="nil"/>
                    <w:tr2bl w:val="nil"/>
                  </w:tcBorders>
                  <w:shd w:val="clear" w:color="auto" w:fill="auto"/>
                  <w:noWrap w:val="0"/>
                  <w:vAlign w:val="center"/>
                </w:tcPr>
                <w:p w14:paraId="6A79B01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612069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09F7FB6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5A850A0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超声波液位仪</w:t>
                  </w:r>
                </w:p>
              </w:tc>
              <w:tc>
                <w:tcPr>
                  <w:tcW w:w="2659" w:type="pct"/>
                  <w:tcBorders>
                    <w:tl2br w:val="nil"/>
                    <w:tr2bl w:val="nil"/>
                  </w:tcBorders>
                  <w:shd w:val="clear" w:color="auto" w:fill="auto"/>
                  <w:noWrap w:val="0"/>
                  <w:vAlign w:val="center"/>
                </w:tcPr>
                <w:p w14:paraId="0D921E9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型号：CN211</w:t>
                  </w:r>
                </w:p>
              </w:tc>
              <w:tc>
                <w:tcPr>
                  <w:tcW w:w="438" w:type="pct"/>
                  <w:tcBorders>
                    <w:tl2br w:val="nil"/>
                    <w:tr2bl w:val="nil"/>
                  </w:tcBorders>
                  <w:shd w:val="clear" w:color="auto" w:fill="auto"/>
                  <w:noWrap w:val="0"/>
                  <w:vAlign w:val="center"/>
                </w:tcPr>
                <w:p w14:paraId="144D03E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2B9FAA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7506024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4230D3A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电磁流量计</w:t>
                  </w:r>
                </w:p>
              </w:tc>
              <w:tc>
                <w:tcPr>
                  <w:tcW w:w="2659" w:type="pct"/>
                  <w:tcBorders>
                    <w:tl2br w:val="nil"/>
                    <w:tr2bl w:val="nil"/>
                  </w:tcBorders>
                  <w:shd w:val="clear" w:color="auto" w:fill="auto"/>
                  <w:noWrap w:val="0"/>
                  <w:vAlign w:val="center"/>
                </w:tcPr>
                <w:p w14:paraId="6CE150B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型号：CN311</w:t>
                  </w:r>
                </w:p>
              </w:tc>
              <w:tc>
                <w:tcPr>
                  <w:tcW w:w="438" w:type="pct"/>
                  <w:tcBorders>
                    <w:tl2br w:val="nil"/>
                    <w:tr2bl w:val="nil"/>
                  </w:tcBorders>
                  <w:shd w:val="clear" w:color="auto" w:fill="auto"/>
                  <w:noWrap w:val="0"/>
                  <w:vAlign w:val="center"/>
                </w:tcPr>
                <w:p w14:paraId="636AC5E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67E79F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shd w:val="clear" w:color="auto" w:fill="auto"/>
                  <w:noWrap w:val="0"/>
                  <w:vAlign w:val="center"/>
                </w:tcPr>
                <w:p w14:paraId="5F9BF7F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厂区自用</w:t>
                  </w:r>
                </w:p>
              </w:tc>
              <w:tc>
                <w:tcPr>
                  <w:tcW w:w="1108" w:type="pct"/>
                  <w:gridSpan w:val="2"/>
                  <w:tcBorders>
                    <w:tl2br w:val="nil"/>
                    <w:tr2bl w:val="nil"/>
                  </w:tcBorders>
                  <w:shd w:val="clear" w:color="auto" w:fill="auto"/>
                  <w:noWrap w:val="0"/>
                  <w:vAlign w:val="center"/>
                </w:tcPr>
                <w:p w14:paraId="62BE611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自吸无堵塞排污泵</w:t>
                  </w:r>
                </w:p>
              </w:tc>
              <w:tc>
                <w:tcPr>
                  <w:tcW w:w="2659" w:type="pct"/>
                  <w:tcBorders>
                    <w:tl2br w:val="nil"/>
                    <w:tr2bl w:val="nil"/>
                  </w:tcBorders>
                  <w:shd w:val="clear" w:color="auto" w:fill="auto"/>
                  <w:noWrap w:val="0"/>
                  <w:vAlign w:val="center"/>
                </w:tcPr>
                <w:p w14:paraId="65A854E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型号：80-ZW40-16 功率：4KW/380V吸程：5m流量：40 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/h 扬程：16m</w:t>
                  </w:r>
                </w:p>
              </w:tc>
              <w:tc>
                <w:tcPr>
                  <w:tcW w:w="438" w:type="pct"/>
                  <w:tcBorders>
                    <w:tl2br w:val="nil"/>
                    <w:tr2bl w:val="nil"/>
                  </w:tcBorders>
                  <w:shd w:val="clear" w:color="auto" w:fill="auto"/>
                  <w:noWrap w:val="0"/>
                  <w:vAlign w:val="center"/>
                </w:tcPr>
                <w:p w14:paraId="15B4186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r>
            <w:tr w14:paraId="07EEDD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532B5D2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50B15DA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潜水无堵塞排污泵</w:t>
                  </w:r>
                </w:p>
              </w:tc>
              <w:tc>
                <w:tcPr>
                  <w:tcW w:w="2659" w:type="pct"/>
                  <w:tcBorders>
                    <w:tl2br w:val="nil"/>
                    <w:tr2bl w:val="nil"/>
                  </w:tcBorders>
                  <w:shd w:val="clear" w:color="auto" w:fill="auto"/>
                  <w:noWrap w:val="0"/>
                  <w:vAlign w:val="center"/>
                </w:tcPr>
                <w:p w14:paraId="645651F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型号：WQ80-10 功率：4KW/380V流量：80 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/h 扬程：10m</w:t>
                  </w:r>
                </w:p>
              </w:tc>
              <w:tc>
                <w:tcPr>
                  <w:tcW w:w="438" w:type="pct"/>
                  <w:tcBorders>
                    <w:tl2br w:val="nil"/>
                    <w:tr2bl w:val="nil"/>
                  </w:tcBorders>
                  <w:shd w:val="clear" w:color="auto" w:fill="auto"/>
                  <w:noWrap w:val="0"/>
                  <w:vAlign w:val="center"/>
                </w:tcPr>
                <w:p w14:paraId="068FD59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6C49E6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7B9253D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02F7E56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涡街流量传感器</w:t>
                  </w:r>
                </w:p>
              </w:tc>
              <w:tc>
                <w:tcPr>
                  <w:tcW w:w="2659" w:type="pct"/>
                  <w:tcBorders>
                    <w:tl2br w:val="nil"/>
                    <w:tr2bl w:val="nil"/>
                  </w:tcBorders>
                  <w:shd w:val="clear" w:color="auto" w:fill="auto"/>
                  <w:noWrap w:val="0"/>
                  <w:vAlign w:val="center"/>
                </w:tcPr>
                <w:p w14:paraId="38A7687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型号：CN321-B125B2A1A</w:t>
                  </w:r>
                </w:p>
                <w:p w14:paraId="1052CD7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满度流量600 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 xml:space="preserve"> 压力1.6Mpa</w:t>
                  </w:r>
                </w:p>
              </w:tc>
              <w:tc>
                <w:tcPr>
                  <w:tcW w:w="438" w:type="pct"/>
                  <w:tcBorders>
                    <w:tl2br w:val="nil"/>
                    <w:tr2bl w:val="nil"/>
                  </w:tcBorders>
                  <w:shd w:val="clear" w:color="auto" w:fill="auto"/>
                  <w:noWrap w:val="0"/>
                  <w:vAlign w:val="center"/>
                </w:tcPr>
                <w:p w14:paraId="5813D08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4DC5E5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000" w:type="pct"/>
                  <w:gridSpan w:val="5"/>
                  <w:tcBorders>
                    <w:tl2br w:val="nil"/>
                    <w:tr2bl w:val="nil"/>
                  </w:tcBorders>
                  <w:noWrap w:val="0"/>
                  <w:vAlign w:val="center"/>
                </w:tcPr>
                <w:p w14:paraId="54A9977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厂区设备附件型号</w:t>
                  </w:r>
                </w:p>
              </w:tc>
            </w:tr>
            <w:tr w14:paraId="0CA131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noWrap w:val="0"/>
                  <w:vAlign w:val="center"/>
                </w:tcPr>
                <w:p w14:paraId="531CF88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罗茨风机</w:t>
                  </w:r>
                </w:p>
              </w:tc>
              <w:tc>
                <w:tcPr>
                  <w:tcW w:w="1108" w:type="pct"/>
                  <w:gridSpan w:val="2"/>
                  <w:tcBorders>
                    <w:tl2br w:val="nil"/>
                    <w:tr2bl w:val="nil"/>
                  </w:tcBorders>
                  <w:noWrap w:val="0"/>
                  <w:vAlign w:val="center"/>
                </w:tcPr>
                <w:p w14:paraId="67273CE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电机轴承</w:t>
                  </w:r>
                </w:p>
              </w:tc>
              <w:tc>
                <w:tcPr>
                  <w:tcW w:w="2659" w:type="pct"/>
                  <w:tcBorders>
                    <w:tl2br w:val="nil"/>
                    <w:tr2bl w:val="nil"/>
                  </w:tcBorders>
                  <w:noWrap w:val="0"/>
                  <w:vAlign w:val="center"/>
                </w:tcPr>
                <w:p w14:paraId="79EE856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前：6317 后：6314</w:t>
                  </w:r>
                </w:p>
              </w:tc>
              <w:tc>
                <w:tcPr>
                  <w:tcW w:w="438" w:type="pct"/>
                  <w:tcBorders>
                    <w:tl2br w:val="nil"/>
                    <w:tr2bl w:val="nil"/>
                  </w:tcBorders>
                  <w:noWrap w:val="0"/>
                  <w:vAlign w:val="center"/>
                </w:tcPr>
                <w:p w14:paraId="5AB35EC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32788F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0461DE1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22E5389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皮带型号</w:t>
                  </w:r>
                </w:p>
              </w:tc>
              <w:tc>
                <w:tcPr>
                  <w:tcW w:w="2659" w:type="pct"/>
                  <w:tcBorders>
                    <w:tl2br w:val="nil"/>
                    <w:tr2bl w:val="nil"/>
                  </w:tcBorders>
                  <w:noWrap w:val="0"/>
                  <w:vAlign w:val="center"/>
                </w:tcPr>
                <w:p w14:paraId="56727E6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5V850（英制）换算公制2159</w:t>
                  </w:r>
                </w:p>
              </w:tc>
              <w:tc>
                <w:tcPr>
                  <w:tcW w:w="438" w:type="pct"/>
                  <w:tcBorders>
                    <w:tl2br w:val="nil"/>
                    <w:tr2bl w:val="nil"/>
                  </w:tcBorders>
                  <w:noWrap w:val="0"/>
                  <w:vAlign w:val="center"/>
                </w:tcPr>
                <w:p w14:paraId="3CA6F79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E9C1D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noWrap w:val="0"/>
                  <w:vAlign w:val="center"/>
                </w:tcPr>
                <w:p w14:paraId="27A0F21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noWrap w:val="0"/>
                  <w:vAlign w:val="center"/>
                </w:tcPr>
                <w:p w14:paraId="0D5B609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油封型号</w:t>
                  </w:r>
                </w:p>
              </w:tc>
              <w:tc>
                <w:tcPr>
                  <w:tcW w:w="2659" w:type="pct"/>
                  <w:tcBorders>
                    <w:tl2br w:val="nil"/>
                    <w:tr2bl w:val="nil"/>
                  </w:tcBorders>
                  <w:noWrap w:val="0"/>
                  <w:vAlign w:val="center"/>
                </w:tcPr>
                <w:p w14:paraId="181DA10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100x140x12</w:t>
                  </w:r>
                </w:p>
              </w:tc>
              <w:tc>
                <w:tcPr>
                  <w:tcW w:w="438" w:type="pct"/>
                  <w:tcBorders>
                    <w:tl2br w:val="nil"/>
                    <w:tr2bl w:val="nil"/>
                  </w:tcBorders>
                  <w:noWrap w:val="0"/>
                  <w:vAlign w:val="center"/>
                </w:tcPr>
                <w:p w14:paraId="59AD8C0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ABDC2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6EA7DF8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7588419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油箱轴承</w:t>
                  </w:r>
                </w:p>
              </w:tc>
              <w:tc>
                <w:tcPr>
                  <w:tcW w:w="2659" w:type="pct"/>
                  <w:tcBorders>
                    <w:tl2br w:val="nil"/>
                    <w:tr2bl w:val="nil"/>
                  </w:tcBorders>
                  <w:shd w:val="clear" w:color="auto" w:fill="auto"/>
                  <w:noWrap w:val="0"/>
                  <w:vAlign w:val="center"/>
                </w:tcPr>
                <w:p w14:paraId="2846ACE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前：6315x3 后：6316x1</w:t>
                  </w:r>
                </w:p>
              </w:tc>
              <w:tc>
                <w:tcPr>
                  <w:tcW w:w="438" w:type="pct"/>
                  <w:tcBorders>
                    <w:tl2br w:val="nil"/>
                    <w:tr2bl w:val="nil"/>
                  </w:tcBorders>
                  <w:shd w:val="clear" w:color="auto" w:fill="auto"/>
                  <w:noWrap w:val="0"/>
                  <w:vAlign w:val="center"/>
                </w:tcPr>
                <w:p w14:paraId="2480DDF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2A333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6B0FDD6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61618BA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驱端密封</w:t>
                  </w:r>
                </w:p>
              </w:tc>
              <w:tc>
                <w:tcPr>
                  <w:tcW w:w="2659" w:type="pct"/>
                  <w:tcBorders>
                    <w:tl2br w:val="nil"/>
                    <w:tr2bl w:val="nil"/>
                  </w:tcBorders>
                  <w:shd w:val="clear" w:color="auto" w:fill="auto"/>
                  <w:noWrap w:val="0"/>
                  <w:vAlign w:val="center"/>
                </w:tcPr>
                <w:p w14:paraId="2E9F93E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122×95×12材质丁晴胶</w:t>
                  </w:r>
                </w:p>
              </w:tc>
              <w:tc>
                <w:tcPr>
                  <w:tcW w:w="438" w:type="pct"/>
                  <w:tcBorders>
                    <w:tl2br w:val="nil"/>
                    <w:tr2bl w:val="nil"/>
                  </w:tcBorders>
                  <w:shd w:val="clear" w:color="auto" w:fill="auto"/>
                  <w:noWrap w:val="0"/>
                  <w:vAlign w:val="center"/>
                </w:tcPr>
                <w:p w14:paraId="6452A00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BD64B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2D80E70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679F412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齿端密封</w:t>
                  </w:r>
                </w:p>
              </w:tc>
              <w:tc>
                <w:tcPr>
                  <w:tcW w:w="2659" w:type="pct"/>
                  <w:tcBorders>
                    <w:tl2br w:val="nil"/>
                    <w:tr2bl w:val="nil"/>
                  </w:tcBorders>
                  <w:shd w:val="clear" w:color="auto" w:fill="auto"/>
                  <w:noWrap w:val="0"/>
                  <w:vAlign w:val="center"/>
                </w:tcPr>
                <w:p w14:paraId="45DCC0E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材质丁晴胶</w:t>
                  </w:r>
                </w:p>
              </w:tc>
              <w:tc>
                <w:tcPr>
                  <w:tcW w:w="438" w:type="pct"/>
                  <w:tcBorders>
                    <w:tl2br w:val="nil"/>
                    <w:tr2bl w:val="nil"/>
                  </w:tcBorders>
                  <w:shd w:val="clear" w:color="auto" w:fill="auto"/>
                  <w:noWrap w:val="0"/>
                  <w:vAlign w:val="center"/>
                </w:tcPr>
                <w:p w14:paraId="3EC7B0B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7F5CB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7C8CDF5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7EF8641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齿油</w:t>
                  </w:r>
                </w:p>
              </w:tc>
              <w:tc>
                <w:tcPr>
                  <w:tcW w:w="2659" w:type="pct"/>
                  <w:tcBorders>
                    <w:tl2br w:val="nil"/>
                    <w:tr2bl w:val="nil"/>
                  </w:tcBorders>
                  <w:shd w:val="clear" w:color="auto" w:fill="auto"/>
                  <w:noWrap w:val="0"/>
                  <w:vAlign w:val="center"/>
                </w:tcPr>
                <w:p w14:paraId="6BC79DB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L-CKC220或L-CKC320</w:t>
                  </w:r>
                </w:p>
              </w:tc>
              <w:tc>
                <w:tcPr>
                  <w:tcW w:w="438" w:type="pct"/>
                  <w:tcBorders>
                    <w:tl2br w:val="nil"/>
                    <w:tr2bl w:val="nil"/>
                  </w:tcBorders>
                  <w:shd w:val="clear" w:color="auto" w:fill="auto"/>
                  <w:noWrap w:val="0"/>
                  <w:vAlign w:val="center"/>
                </w:tcPr>
                <w:p w14:paraId="4429FA0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A5BD1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tcBorders>
                    <w:tl2br w:val="nil"/>
                    <w:tr2bl w:val="nil"/>
                  </w:tcBorders>
                  <w:shd w:val="clear" w:color="auto" w:fill="auto"/>
                  <w:noWrap w:val="0"/>
                  <w:vAlign w:val="center"/>
                </w:tcPr>
                <w:p w14:paraId="2B21C01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内回流泵</w:t>
                  </w:r>
                </w:p>
              </w:tc>
              <w:tc>
                <w:tcPr>
                  <w:tcW w:w="1108" w:type="pct"/>
                  <w:gridSpan w:val="2"/>
                  <w:tcBorders>
                    <w:tl2br w:val="nil"/>
                    <w:tr2bl w:val="nil"/>
                  </w:tcBorders>
                  <w:shd w:val="clear" w:color="auto" w:fill="auto"/>
                  <w:noWrap w:val="0"/>
                  <w:vAlign w:val="center"/>
                </w:tcPr>
                <w:p w14:paraId="6078DE9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电机轴承</w:t>
                  </w:r>
                </w:p>
              </w:tc>
              <w:tc>
                <w:tcPr>
                  <w:tcW w:w="2659" w:type="pct"/>
                  <w:tcBorders>
                    <w:tl2br w:val="nil"/>
                    <w:tr2bl w:val="nil"/>
                  </w:tcBorders>
                  <w:shd w:val="clear" w:color="auto" w:fill="auto"/>
                  <w:noWrap w:val="0"/>
                  <w:vAlign w:val="center"/>
                </w:tcPr>
                <w:p w14:paraId="69C20E9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E310</w:t>
                  </w:r>
                </w:p>
              </w:tc>
              <w:tc>
                <w:tcPr>
                  <w:tcW w:w="438" w:type="pct"/>
                  <w:tcBorders>
                    <w:tl2br w:val="nil"/>
                    <w:tr2bl w:val="nil"/>
                  </w:tcBorders>
                  <w:shd w:val="clear" w:color="auto" w:fill="auto"/>
                  <w:noWrap w:val="0"/>
                  <w:vAlign w:val="center"/>
                </w:tcPr>
                <w:p w14:paraId="1050849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3E2F99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shd w:val="clear" w:color="auto" w:fill="auto"/>
                  <w:noWrap w:val="0"/>
                  <w:vAlign w:val="center"/>
                </w:tcPr>
                <w:p w14:paraId="45D0006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搅拌机</w:t>
                  </w:r>
                </w:p>
              </w:tc>
              <w:tc>
                <w:tcPr>
                  <w:tcW w:w="1108" w:type="pct"/>
                  <w:gridSpan w:val="2"/>
                  <w:tcBorders>
                    <w:tl2br w:val="nil"/>
                    <w:tr2bl w:val="nil"/>
                  </w:tcBorders>
                  <w:shd w:val="clear" w:color="auto" w:fill="auto"/>
                  <w:noWrap w:val="0"/>
                  <w:vAlign w:val="center"/>
                </w:tcPr>
                <w:p w14:paraId="225A5E1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电机轴承</w:t>
                  </w:r>
                </w:p>
              </w:tc>
              <w:tc>
                <w:tcPr>
                  <w:tcW w:w="2659" w:type="pct"/>
                  <w:tcBorders>
                    <w:tl2br w:val="nil"/>
                    <w:tr2bl w:val="nil"/>
                  </w:tcBorders>
                  <w:shd w:val="clear" w:color="auto" w:fill="auto"/>
                  <w:noWrap w:val="0"/>
                  <w:vAlign w:val="center"/>
                </w:tcPr>
                <w:p w14:paraId="2340460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6205</w:t>
                  </w:r>
                </w:p>
              </w:tc>
              <w:tc>
                <w:tcPr>
                  <w:tcW w:w="438" w:type="pct"/>
                  <w:tcBorders>
                    <w:tl2br w:val="nil"/>
                    <w:tr2bl w:val="nil"/>
                  </w:tcBorders>
                  <w:shd w:val="clear" w:color="auto" w:fill="auto"/>
                  <w:noWrap w:val="0"/>
                  <w:vAlign w:val="center"/>
                </w:tcPr>
                <w:p w14:paraId="7999FB3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15A66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58C011D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4E40984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摆针减速机轴承</w:t>
                  </w:r>
                </w:p>
              </w:tc>
              <w:tc>
                <w:tcPr>
                  <w:tcW w:w="2659" w:type="pct"/>
                  <w:tcBorders>
                    <w:tl2br w:val="nil"/>
                    <w:tr2bl w:val="nil"/>
                  </w:tcBorders>
                  <w:shd w:val="clear" w:color="auto" w:fill="auto"/>
                  <w:noWrap w:val="0"/>
                  <w:vAlign w:val="center"/>
                </w:tcPr>
                <w:p w14:paraId="279E8D4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350752904</w:t>
                  </w:r>
                </w:p>
              </w:tc>
              <w:tc>
                <w:tcPr>
                  <w:tcW w:w="438" w:type="pct"/>
                  <w:tcBorders>
                    <w:tl2br w:val="nil"/>
                    <w:tr2bl w:val="nil"/>
                  </w:tcBorders>
                  <w:shd w:val="clear" w:color="auto" w:fill="auto"/>
                  <w:noWrap w:val="0"/>
                  <w:vAlign w:val="center"/>
                </w:tcPr>
                <w:p w14:paraId="69CC8AC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2691E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shd w:val="clear" w:color="auto" w:fill="auto"/>
                  <w:noWrap w:val="0"/>
                  <w:vAlign w:val="center"/>
                </w:tcPr>
                <w:p w14:paraId="1CB952F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二沉池</w:t>
                  </w:r>
                </w:p>
              </w:tc>
              <w:tc>
                <w:tcPr>
                  <w:tcW w:w="1108" w:type="pct"/>
                  <w:gridSpan w:val="2"/>
                  <w:tcBorders>
                    <w:tl2br w:val="nil"/>
                    <w:tr2bl w:val="nil"/>
                  </w:tcBorders>
                  <w:shd w:val="clear" w:color="auto" w:fill="auto"/>
                  <w:noWrap w:val="0"/>
                  <w:vAlign w:val="center"/>
                </w:tcPr>
                <w:p w14:paraId="6E19A69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电机轴承</w:t>
                  </w:r>
                </w:p>
              </w:tc>
              <w:tc>
                <w:tcPr>
                  <w:tcW w:w="2659" w:type="pct"/>
                  <w:tcBorders>
                    <w:tl2br w:val="nil"/>
                    <w:tr2bl w:val="nil"/>
                  </w:tcBorders>
                  <w:shd w:val="clear" w:color="auto" w:fill="auto"/>
                  <w:noWrap w:val="0"/>
                  <w:vAlign w:val="center"/>
                </w:tcPr>
                <w:p w14:paraId="4F28253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6205</w:t>
                  </w:r>
                </w:p>
              </w:tc>
              <w:tc>
                <w:tcPr>
                  <w:tcW w:w="438" w:type="pct"/>
                  <w:tcBorders>
                    <w:tl2br w:val="nil"/>
                    <w:tr2bl w:val="nil"/>
                  </w:tcBorders>
                  <w:shd w:val="clear" w:color="auto" w:fill="auto"/>
                  <w:noWrap w:val="0"/>
                  <w:vAlign w:val="center"/>
                </w:tcPr>
                <w:p w14:paraId="043C15E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38BCFB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22E9730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5A59099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油封型号</w:t>
                  </w:r>
                </w:p>
              </w:tc>
              <w:tc>
                <w:tcPr>
                  <w:tcW w:w="2659" w:type="pct"/>
                  <w:tcBorders>
                    <w:tl2br w:val="nil"/>
                    <w:tr2bl w:val="nil"/>
                  </w:tcBorders>
                  <w:shd w:val="clear" w:color="auto" w:fill="auto"/>
                  <w:noWrap w:val="0"/>
                  <w:vAlign w:val="center"/>
                </w:tcPr>
                <w:p w14:paraId="6E71014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25x42x8</w:t>
                  </w:r>
                </w:p>
              </w:tc>
              <w:tc>
                <w:tcPr>
                  <w:tcW w:w="438" w:type="pct"/>
                  <w:tcBorders>
                    <w:tl2br w:val="nil"/>
                    <w:tr2bl w:val="nil"/>
                  </w:tcBorders>
                  <w:shd w:val="clear" w:color="auto" w:fill="auto"/>
                  <w:noWrap w:val="0"/>
                  <w:vAlign w:val="center"/>
                </w:tcPr>
                <w:p w14:paraId="5050B26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B7246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74E4511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678E9B0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摆针减速机轴承</w:t>
                  </w:r>
                </w:p>
              </w:tc>
              <w:tc>
                <w:tcPr>
                  <w:tcW w:w="2659" w:type="pct"/>
                  <w:tcBorders>
                    <w:tl2br w:val="nil"/>
                    <w:tr2bl w:val="nil"/>
                  </w:tcBorders>
                  <w:shd w:val="clear" w:color="auto" w:fill="auto"/>
                  <w:noWrap w:val="0"/>
                  <w:vAlign w:val="center"/>
                </w:tcPr>
                <w:p w14:paraId="46B5F9D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200752904</w:t>
                  </w:r>
                </w:p>
              </w:tc>
              <w:tc>
                <w:tcPr>
                  <w:tcW w:w="438" w:type="pct"/>
                  <w:tcBorders>
                    <w:tl2br w:val="nil"/>
                    <w:tr2bl w:val="nil"/>
                  </w:tcBorders>
                  <w:shd w:val="clear" w:color="auto" w:fill="auto"/>
                  <w:noWrap w:val="0"/>
                  <w:vAlign w:val="center"/>
                </w:tcPr>
                <w:p w14:paraId="1930F7C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788C1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tcBorders>
                    <w:tl2br w:val="nil"/>
                    <w:tr2bl w:val="nil"/>
                  </w:tcBorders>
                  <w:shd w:val="clear" w:color="auto" w:fill="auto"/>
                  <w:noWrap w:val="0"/>
                  <w:vAlign w:val="center"/>
                </w:tcPr>
                <w:p w14:paraId="1B2113F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提升泵</w:t>
                  </w:r>
                </w:p>
              </w:tc>
              <w:tc>
                <w:tcPr>
                  <w:tcW w:w="1108" w:type="pct"/>
                  <w:gridSpan w:val="2"/>
                  <w:tcBorders>
                    <w:tl2br w:val="nil"/>
                    <w:tr2bl w:val="nil"/>
                  </w:tcBorders>
                  <w:shd w:val="clear" w:color="auto" w:fill="auto"/>
                  <w:noWrap w:val="0"/>
                  <w:vAlign w:val="center"/>
                </w:tcPr>
                <w:p w14:paraId="2E37B12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电机轴承</w:t>
                  </w:r>
                </w:p>
              </w:tc>
              <w:tc>
                <w:tcPr>
                  <w:tcW w:w="2659" w:type="pct"/>
                  <w:tcBorders>
                    <w:tl2br w:val="nil"/>
                    <w:tr2bl w:val="nil"/>
                  </w:tcBorders>
                  <w:shd w:val="clear" w:color="auto" w:fill="auto"/>
                  <w:noWrap w:val="0"/>
                  <w:vAlign w:val="center"/>
                </w:tcPr>
                <w:p w14:paraId="6371241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6309</w:t>
                  </w:r>
                </w:p>
              </w:tc>
              <w:tc>
                <w:tcPr>
                  <w:tcW w:w="438" w:type="pct"/>
                  <w:tcBorders>
                    <w:tl2br w:val="nil"/>
                    <w:tr2bl w:val="nil"/>
                  </w:tcBorders>
                  <w:shd w:val="clear" w:color="auto" w:fill="auto"/>
                  <w:noWrap w:val="0"/>
                  <w:vAlign w:val="center"/>
                </w:tcPr>
                <w:p w14:paraId="726C898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BDB18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tcBorders>
                    <w:tl2br w:val="nil"/>
                    <w:tr2bl w:val="nil"/>
                  </w:tcBorders>
                  <w:shd w:val="clear" w:color="auto" w:fill="auto"/>
                  <w:noWrap w:val="0"/>
                  <w:vAlign w:val="center"/>
                </w:tcPr>
                <w:p w14:paraId="2FA3A67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变压器冷却风机</w:t>
                  </w:r>
                </w:p>
              </w:tc>
              <w:tc>
                <w:tcPr>
                  <w:tcW w:w="1108" w:type="pct"/>
                  <w:gridSpan w:val="2"/>
                  <w:tcBorders>
                    <w:tl2br w:val="nil"/>
                    <w:tr2bl w:val="nil"/>
                  </w:tcBorders>
                  <w:shd w:val="clear" w:color="auto" w:fill="auto"/>
                  <w:noWrap w:val="0"/>
                  <w:vAlign w:val="center"/>
                </w:tcPr>
                <w:p w14:paraId="37C8C7A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电机轴承</w:t>
                  </w:r>
                </w:p>
              </w:tc>
              <w:tc>
                <w:tcPr>
                  <w:tcW w:w="2659" w:type="pct"/>
                  <w:tcBorders>
                    <w:tl2br w:val="nil"/>
                    <w:tr2bl w:val="nil"/>
                  </w:tcBorders>
                  <w:shd w:val="clear" w:color="auto" w:fill="auto"/>
                  <w:noWrap w:val="0"/>
                  <w:vAlign w:val="center"/>
                </w:tcPr>
                <w:p w14:paraId="2925DEF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629</w:t>
                  </w:r>
                </w:p>
              </w:tc>
              <w:tc>
                <w:tcPr>
                  <w:tcW w:w="438" w:type="pct"/>
                  <w:tcBorders>
                    <w:tl2br w:val="nil"/>
                    <w:tr2bl w:val="nil"/>
                  </w:tcBorders>
                  <w:shd w:val="clear" w:color="auto" w:fill="auto"/>
                  <w:noWrap w:val="0"/>
                  <w:vAlign w:val="center"/>
                </w:tcPr>
                <w:p w14:paraId="71778DF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B5836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shd w:val="clear" w:color="auto" w:fill="auto"/>
                  <w:noWrap w:val="0"/>
                  <w:vAlign w:val="center"/>
                </w:tcPr>
                <w:p w14:paraId="27F0CA9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自吸无堵塞排污泵</w:t>
                  </w:r>
                </w:p>
              </w:tc>
              <w:tc>
                <w:tcPr>
                  <w:tcW w:w="1108" w:type="pct"/>
                  <w:gridSpan w:val="2"/>
                  <w:tcBorders>
                    <w:tl2br w:val="nil"/>
                    <w:tr2bl w:val="nil"/>
                  </w:tcBorders>
                  <w:shd w:val="clear" w:color="auto" w:fill="auto"/>
                  <w:noWrap w:val="0"/>
                  <w:vAlign w:val="center"/>
                </w:tcPr>
                <w:p w14:paraId="2C23E05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电机轴承</w:t>
                  </w:r>
                </w:p>
              </w:tc>
              <w:tc>
                <w:tcPr>
                  <w:tcW w:w="2659" w:type="pct"/>
                  <w:tcBorders>
                    <w:tl2br w:val="nil"/>
                    <w:tr2bl w:val="nil"/>
                  </w:tcBorders>
                  <w:shd w:val="clear" w:color="auto" w:fill="auto"/>
                  <w:noWrap w:val="0"/>
                  <w:vAlign w:val="center"/>
                </w:tcPr>
                <w:p w14:paraId="5ED29F4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8" w:type="pct"/>
                  <w:tcBorders>
                    <w:tl2br w:val="nil"/>
                    <w:tr2bl w:val="nil"/>
                  </w:tcBorders>
                  <w:shd w:val="clear" w:color="auto" w:fill="auto"/>
                  <w:noWrap w:val="0"/>
                  <w:vAlign w:val="center"/>
                </w:tcPr>
                <w:p w14:paraId="49EDC69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249FC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3A871C5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6B3F8A4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水封</w:t>
                  </w:r>
                </w:p>
              </w:tc>
              <w:tc>
                <w:tcPr>
                  <w:tcW w:w="2659" w:type="pct"/>
                  <w:tcBorders>
                    <w:tl2br w:val="nil"/>
                    <w:tr2bl w:val="nil"/>
                  </w:tcBorders>
                  <w:shd w:val="clear" w:color="auto" w:fill="auto"/>
                  <w:noWrap w:val="0"/>
                  <w:vAlign w:val="center"/>
                </w:tcPr>
                <w:p w14:paraId="5FD1A14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TY45</w:t>
                  </w:r>
                </w:p>
              </w:tc>
              <w:tc>
                <w:tcPr>
                  <w:tcW w:w="438" w:type="pct"/>
                  <w:tcBorders>
                    <w:tl2br w:val="nil"/>
                    <w:tr2bl w:val="nil"/>
                  </w:tcBorders>
                  <w:shd w:val="clear" w:color="auto" w:fill="auto"/>
                  <w:noWrap w:val="0"/>
                  <w:vAlign w:val="center"/>
                </w:tcPr>
                <w:p w14:paraId="2181621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316CAB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0D6A480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4687A54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泵轴承</w:t>
                  </w:r>
                </w:p>
              </w:tc>
              <w:tc>
                <w:tcPr>
                  <w:tcW w:w="2659" w:type="pct"/>
                  <w:tcBorders>
                    <w:tl2br w:val="nil"/>
                    <w:tr2bl w:val="nil"/>
                  </w:tcBorders>
                  <w:shd w:val="clear" w:color="auto" w:fill="auto"/>
                  <w:noWrap w:val="0"/>
                  <w:vAlign w:val="center"/>
                </w:tcPr>
                <w:p w14:paraId="45D9607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6306</w:t>
                  </w:r>
                </w:p>
              </w:tc>
              <w:tc>
                <w:tcPr>
                  <w:tcW w:w="438" w:type="pct"/>
                  <w:tcBorders>
                    <w:tl2br w:val="nil"/>
                    <w:tr2bl w:val="nil"/>
                  </w:tcBorders>
                  <w:shd w:val="clear" w:color="auto" w:fill="auto"/>
                  <w:noWrap w:val="0"/>
                  <w:vAlign w:val="center"/>
                </w:tcPr>
                <w:p w14:paraId="164F01A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06AE2E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shd w:val="clear" w:color="auto" w:fill="auto"/>
                  <w:noWrap w:val="0"/>
                  <w:vAlign w:val="center"/>
                </w:tcPr>
                <w:p w14:paraId="26DF5AE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中间水泵房</w:t>
                  </w:r>
                </w:p>
              </w:tc>
              <w:tc>
                <w:tcPr>
                  <w:tcW w:w="1108" w:type="pct"/>
                  <w:gridSpan w:val="2"/>
                  <w:tcBorders>
                    <w:tl2br w:val="nil"/>
                    <w:tr2bl w:val="nil"/>
                  </w:tcBorders>
                  <w:shd w:val="clear" w:color="auto" w:fill="auto"/>
                  <w:noWrap w:val="0"/>
                  <w:vAlign w:val="center"/>
                </w:tcPr>
                <w:p w14:paraId="2421347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电机轴承</w:t>
                  </w:r>
                </w:p>
              </w:tc>
              <w:tc>
                <w:tcPr>
                  <w:tcW w:w="2659" w:type="pct"/>
                  <w:tcBorders>
                    <w:tl2br w:val="nil"/>
                    <w:tr2bl w:val="nil"/>
                  </w:tcBorders>
                  <w:shd w:val="clear" w:color="auto" w:fill="auto"/>
                  <w:noWrap w:val="0"/>
                  <w:vAlign w:val="center"/>
                </w:tcPr>
                <w:p w14:paraId="7B8C985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6309</w:t>
                  </w:r>
                </w:p>
              </w:tc>
              <w:tc>
                <w:tcPr>
                  <w:tcW w:w="438" w:type="pct"/>
                  <w:tcBorders>
                    <w:tl2br w:val="nil"/>
                    <w:tr2bl w:val="nil"/>
                  </w:tcBorders>
                  <w:shd w:val="clear" w:color="auto" w:fill="auto"/>
                  <w:noWrap w:val="0"/>
                  <w:vAlign w:val="center"/>
                </w:tcPr>
                <w:p w14:paraId="5B22D15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46C5E9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7BCE297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70BF385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电机轴承</w:t>
                  </w:r>
                </w:p>
              </w:tc>
              <w:tc>
                <w:tcPr>
                  <w:tcW w:w="2659" w:type="pct"/>
                  <w:tcBorders>
                    <w:tl2br w:val="nil"/>
                    <w:tr2bl w:val="nil"/>
                  </w:tcBorders>
                  <w:shd w:val="clear" w:color="auto" w:fill="auto"/>
                  <w:noWrap w:val="0"/>
                  <w:vAlign w:val="center"/>
                </w:tcPr>
                <w:p w14:paraId="591CCA3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6313</w:t>
                  </w:r>
                </w:p>
              </w:tc>
              <w:tc>
                <w:tcPr>
                  <w:tcW w:w="438" w:type="pct"/>
                  <w:tcBorders>
                    <w:tl2br w:val="nil"/>
                    <w:tr2bl w:val="nil"/>
                  </w:tcBorders>
                  <w:shd w:val="clear" w:color="auto" w:fill="auto"/>
                  <w:noWrap w:val="0"/>
                  <w:vAlign w:val="center"/>
                </w:tcPr>
                <w:p w14:paraId="16B1EE3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C739F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7AD00A4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tcBorders>
                    <w:tl2br w:val="nil"/>
                    <w:tr2bl w:val="nil"/>
                  </w:tcBorders>
                  <w:shd w:val="clear" w:color="auto" w:fill="auto"/>
                  <w:noWrap w:val="0"/>
                  <w:vAlign w:val="center"/>
                </w:tcPr>
                <w:p w14:paraId="1CEF429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离心式渣浆泵</w:t>
                  </w:r>
                </w:p>
              </w:tc>
              <w:tc>
                <w:tcPr>
                  <w:tcW w:w="2659" w:type="pct"/>
                  <w:tcBorders>
                    <w:tl2br w:val="nil"/>
                    <w:tr2bl w:val="nil"/>
                  </w:tcBorders>
                  <w:shd w:val="clear" w:color="auto" w:fill="auto"/>
                  <w:noWrap w:val="0"/>
                  <w:vAlign w:val="center"/>
                </w:tcPr>
                <w:p w14:paraId="262940C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电机对轮12cm水泵对轮14cm</w:t>
                  </w:r>
                </w:p>
                <w:p w14:paraId="21DE4AC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三角带B1143出口胶垫B15132L</w:t>
                  </w:r>
                </w:p>
              </w:tc>
              <w:tc>
                <w:tcPr>
                  <w:tcW w:w="438" w:type="pct"/>
                  <w:tcBorders>
                    <w:tl2br w:val="nil"/>
                    <w:tr2bl w:val="nil"/>
                  </w:tcBorders>
                  <w:shd w:val="clear" w:color="auto" w:fill="auto"/>
                  <w:noWrap w:val="0"/>
                  <w:vAlign w:val="center"/>
                </w:tcPr>
                <w:p w14:paraId="6361EAA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ADBF3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tcBorders>
                    <w:tl2br w:val="nil"/>
                    <w:tr2bl w:val="nil"/>
                  </w:tcBorders>
                  <w:shd w:val="clear" w:color="auto" w:fill="auto"/>
                  <w:noWrap w:val="0"/>
                  <w:vAlign w:val="center"/>
                </w:tcPr>
                <w:p w14:paraId="0B97E49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深度泵房</w:t>
                  </w:r>
                </w:p>
              </w:tc>
              <w:tc>
                <w:tcPr>
                  <w:tcW w:w="1108" w:type="pct"/>
                  <w:gridSpan w:val="2"/>
                  <w:tcBorders>
                    <w:tl2br w:val="nil"/>
                    <w:tr2bl w:val="nil"/>
                  </w:tcBorders>
                  <w:shd w:val="clear" w:color="auto" w:fill="auto"/>
                  <w:noWrap w:val="0"/>
                  <w:vAlign w:val="center"/>
                </w:tcPr>
                <w:p w14:paraId="45D4EB2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离心式渣浆泵</w:t>
                  </w:r>
                </w:p>
              </w:tc>
              <w:tc>
                <w:tcPr>
                  <w:tcW w:w="2659" w:type="pct"/>
                  <w:tcBorders>
                    <w:tl2br w:val="nil"/>
                    <w:tr2bl w:val="nil"/>
                  </w:tcBorders>
                  <w:shd w:val="clear" w:color="auto" w:fill="auto"/>
                  <w:noWrap w:val="0"/>
                  <w:vAlign w:val="center"/>
                </w:tcPr>
                <w:p w14:paraId="7C59534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电机对轮16cm水泵对轮18cm</w:t>
                  </w:r>
                </w:p>
                <w:p w14:paraId="5A2F4DC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三角带B1346出口胶垫D3132XLP</w:t>
                  </w:r>
                </w:p>
              </w:tc>
              <w:tc>
                <w:tcPr>
                  <w:tcW w:w="438" w:type="pct"/>
                  <w:tcBorders>
                    <w:tl2br w:val="nil"/>
                    <w:tr2bl w:val="nil"/>
                  </w:tcBorders>
                  <w:shd w:val="clear" w:color="auto" w:fill="auto"/>
                  <w:noWrap w:val="0"/>
                  <w:vAlign w:val="center"/>
                </w:tcPr>
                <w:p w14:paraId="2A231C1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030EC7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restart"/>
                  <w:tcBorders>
                    <w:tl2br w:val="nil"/>
                    <w:tr2bl w:val="nil"/>
                  </w:tcBorders>
                  <w:shd w:val="clear" w:color="auto" w:fill="auto"/>
                  <w:noWrap w:val="0"/>
                  <w:vAlign w:val="center"/>
                </w:tcPr>
                <w:p w14:paraId="0EA0CAA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脱泥间</w:t>
                  </w:r>
                </w:p>
              </w:tc>
              <w:tc>
                <w:tcPr>
                  <w:tcW w:w="1108" w:type="pct"/>
                  <w:gridSpan w:val="2"/>
                  <w:vMerge w:val="restart"/>
                  <w:tcBorders>
                    <w:tl2br w:val="nil"/>
                    <w:tr2bl w:val="nil"/>
                  </w:tcBorders>
                  <w:shd w:val="clear" w:color="auto" w:fill="auto"/>
                  <w:noWrap w:val="0"/>
                  <w:vAlign w:val="center"/>
                </w:tcPr>
                <w:p w14:paraId="6ACC4CE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离心式渣浆泵</w:t>
                  </w:r>
                </w:p>
              </w:tc>
              <w:tc>
                <w:tcPr>
                  <w:tcW w:w="2659" w:type="pct"/>
                  <w:vMerge w:val="restart"/>
                  <w:tcBorders>
                    <w:tl2br w:val="nil"/>
                    <w:tr2bl w:val="nil"/>
                  </w:tcBorders>
                  <w:shd w:val="clear" w:color="auto" w:fill="auto"/>
                  <w:noWrap w:val="0"/>
                  <w:vAlign w:val="center"/>
                </w:tcPr>
                <w:p w14:paraId="29FE6B2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出口胶垫C2132XLP</w:t>
                  </w:r>
                </w:p>
              </w:tc>
              <w:tc>
                <w:tcPr>
                  <w:tcW w:w="438" w:type="pct"/>
                  <w:tcBorders>
                    <w:tl2br w:val="nil"/>
                    <w:tr2bl w:val="nil"/>
                  </w:tcBorders>
                  <w:shd w:val="clear" w:color="auto" w:fill="auto"/>
                  <w:noWrap w:val="0"/>
                  <w:vAlign w:val="center"/>
                </w:tcPr>
                <w:p w14:paraId="523972F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4004D4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794" w:type="pct"/>
                  <w:vMerge w:val="continue"/>
                  <w:tcBorders>
                    <w:tl2br w:val="nil"/>
                    <w:tr2bl w:val="nil"/>
                  </w:tcBorders>
                  <w:shd w:val="clear" w:color="auto" w:fill="auto"/>
                  <w:noWrap w:val="0"/>
                  <w:vAlign w:val="center"/>
                </w:tcPr>
                <w:p w14:paraId="7274E6A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08" w:type="pct"/>
                  <w:gridSpan w:val="2"/>
                  <w:vMerge w:val="continue"/>
                  <w:tcBorders>
                    <w:tl2br w:val="nil"/>
                    <w:tr2bl w:val="nil"/>
                  </w:tcBorders>
                  <w:shd w:val="clear" w:color="auto" w:fill="auto"/>
                  <w:noWrap w:val="0"/>
                  <w:vAlign w:val="center"/>
                </w:tcPr>
                <w:p w14:paraId="69D86B1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659" w:type="pct"/>
                  <w:vMerge w:val="continue"/>
                  <w:tcBorders>
                    <w:tl2br w:val="nil"/>
                    <w:tr2bl w:val="nil"/>
                  </w:tcBorders>
                  <w:shd w:val="clear" w:color="auto" w:fill="auto"/>
                  <w:noWrap w:val="0"/>
                  <w:vAlign w:val="center"/>
                </w:tcPr>
                <w:p w14:paraId="35D54D9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8" w:type="pct"/>
                  <w:tcBorders>
                    <w:tl2br w:val="nil"/>
                    <w:tr2bl w:val="nil"/>
                  </w:tcBorders>
                  <w:shd w:val="clear" w:color="auto" w:fill="auto"/>
                  <w:noWrap w:val="0"/>
                  <w:vAlign w:val="center"/>
                </w:tcPr>
                <w:p w14:paraId="41A09A3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bl>
          <w:p w14:paraId="0A32AE7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p>
          <w:p w14:paraId="77C94D75">
            <w:pPr>
              <w:keepNext w:val="0"/>
              <w:keepLines w:val="0"/>
              <w:pageBreakBefore w:val="0"/>
              <w:widowControl w:val="0"/>
              <w:kinsoku/>
              <w:wordWrap/>
              <w:overflowPunct/>
              <w:topLinePunct w:val="0"/>
              <w:autoSpaceDE/>
              <w:autoSpaceDN/>
              <w:bidi w:val="0"/>
              <w:adjustRightInd w:val="0"/>
              <w:snapToGrid w:val="0"/>
              <w:textAlignment w:val="auto"/>
              <w:rPr>
                <w:rFonts w:hint="eastAsia" w:cs="Times New Roman"/>
                <w:b/>
                <w:bCs w:val="0"/>
                <w:color w:val="000000" w:themeColor="text1"/>
                <w:sz w:val="24"/>
                <w:highlight w:val="none"/>
                <w:lang w:val="en-US" w:eastAsia="zh-CN"/>
                <w14:textFill>
                  <w14:solidFill>
                    <w14:schemeClr w14:val="tx1"/>
                  </w14:solidFill>
                </w14:textFill>
              </w:rPr>
            </w:pPr>
            <w:r>
              <w:rPr>
                <w:rFonts w:hint="eastAsia" w:cs="Times New Roman"/>
                <w:b/>
                <w:bCs w:val="0"/>
                <w:color w:val="000000" w:themeColor="text1"/>
                <w:sz w:val="24"/>
                <w:highlight w:val="none"/>
                <w:lang w:val="en-US" w:eastAsia="zh-CN"/>
                <w14:textFill>
                  <w14:solidFill>
                    <w14:schemeClr w14:val="tx1"/>
                  </w14:solidFill>
                </w14:textFill>
              </w:rPr>
              <w:t>4、改扩建工程概况</w:t>
            </w:r>
          </w:p>
          <w:p w14:paraId="3838F25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s="Times New Roman"/>
                <w:bCs/>
                <w:color w:val="000000" w:themeColor="text1"/>
                <w:sz w:val="24"/>
                <w:highlight w:val="none"/>
                <w:lang w:val="en-US" w:eastAsia="zh-CN"/>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磴口一期污水处理厂升级改造项目</w:t>
            </w:r>
            <w:r>
              <w:rPr>
                <w:rFonts w:hint="eastAsia" w:cs="Times New Roman"/>
                <w:bCs/>
                <w:color w:val="000000" w:themeColor="text1"/>
                <w:sz w:val="24"/>
                <w:highlight w:val="none"/>
                <w:lang w:val="en-US" w:eastAsia="zh-CN"/>
                <w14:textFill>
                  <w14:solidFill>
                    <w14:schemeClr w14:val="tx1"/>
                  </w14:solidFill>
                </w14:textFill>
              </w:rPr>
              <w:t>”主要</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针对</w:t>
            </w:r>
            <w:r>
              <w:rPr>
                <w:rFonts w:hint="eastAsia" w:cs="Times New Roman"/>
                <w:bCs/>
                <w:color w:val="000000" w:themeColor="text1"/>
                <w:sz w:val="24"/>
                <w:highlight w:val="none"/>
                <w:lang w:val="en-US" w:eastAsia="zh-CN"/>
                <w14:textFill>
                  <w14:solidFill>
                    <w14:schemeClr w14:val="tx1"/>
                  </w14:solidFill>
                </w14:textFill>
              </w:rPr>
              <w:t>巴彦淖尔市</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磴口县巴彦高勒镇污水处理厂一期设施进行改造，将现状MBBR处理工艺改造为A</w:t>
            </w:r>
            <w:r>
              <w:rPr>
                <w:rFonts w:hint="default" w:ascii="Times New Roman" w:hAnsi="Times New Roman" w:eastAsia="宋体" w:cs="Times New Roman"/>
                <w:bCs/>
                <w:color w:val="000000" w:themeColor="text1"/>
                <w:sz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/O+MBR工艺，</w:t>
            </w:r>
            <w:r>
              <w:rPr>
                <w:rFonts w:hint="eastAsia" w:cs="Times New Roman"/>
                <w:bCs/>
                <w:color w:val="000000" w:themeColor="text1"/>
                <w:sz w:val="24"/>
                <w:highlight w:val="none"/>
                <w:lang w:val="en-US" w:eastAsia="zh-CN"/>
                <w14:textFill>
                  <w14:solidFill>
                    <w14:schemeClr w14:val="tx1"/>
                  </w14:solidFill>
                </w14:textFill>
              </w:rPr>
              <w:t>处理规模由15000m</w:t>
            </w:r>
            <w:r>
              <w:rPr>
                <w:rFonts w:hint="eastAsia" w:cs="Times New Roman"/>
                <w:bCs/>
                <w:color w:val="000000" w:themeColor="text1"/>
                <w:sz w:val="24"/>
                <w:highlight w:val="none"/>
                <w:vertAlign w:val="superscript"/>
                <w:lang w:val="en-US" w:eastAsia="zh-CN"/>
                <w14:textFill>
                  <w14:solidFill>
                    <w14:schemeClr w14:val="tx1"/>
                  </w14:solidFill>
                </w14:textFill>
              </w:rPr>
              <w:t>3</w:t>
            </w:r>
            <w:r>
              <w:rPr>
                <w:rFonts w:hint="eastAsia" w:cs="Times New Roman"/>
                <w:bCs/>
                <w:color w:val="000000" w:themeColor="text1"/>
                <w:sz w:val="24"/>
                <w:highlight w:val="none"/>
                <w:lang w:val="en-US" w:eastAsia="zh-CN"/>
                <w14:textFill>
                  <w14:solidFill>
                    <w14:schemeClr w14:val="tx1"/>
                  </w14:solidFill>
                </w14:textFill>
              </w:rPr>
              <w:t>/d提升至30000m</w:t>
            </w:r>
            <w:r>
              <w:rPr>
                <w:rFonts w:hint="eastAsia" w:cs="Times New Roman"/>
                <w:bCs/>
                <w:color w:val="000000" w:themeColor="text1"/>
                <w:sz w:val="24"/>
                <w:highlight w:val="none"/>
                <w:vertAlign w:val="superscript"/>
                <w:lang w:val="en-US" w:eastAsia="zh-CN"/>
                <w14:textFill>
                  <w14:solidFill>
                    <w14:schemeClr w14:val="tx1"/>
                  </w14:solidFill>
                </w14:textFill>
              </w:rPr>
              <w:t>3</w:t>
            </w:r>
            <w:r>
              <w:rPr>
                <w:rFonts w:hint="eastAsia" w:cs="Times New Roman"/>
                <w:bCs/>
                <w:color w:val="000000" w:themeColor="text1"/>
                <w:sz w:val="24"/>
                <w:highlight w:val="none"/>
                <w:lang w:val="en-US" w:eastAsia="zh-CN"/>
                <w14:textFill>
                  <w14:solidFill>
                    <w14:schemeClr w14:val="tx1"/>
                  </w14:solidFill>
                </w14:textFill>
              </w:rPr>
              <w:t>/d。</w:t>
            </w:r>
          </w:p>
          <w:p w14:paraId="5321E71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s="Times New Roman"/>
                <w:bCs/>
                <w:color w:val="000000" w:themeColor="text1"/>
                <w:sz w:val="24"/>
                <w:highlight w:val="none"/>
                <w:lang w:val="en-US" w:eastAsia="zh-CN"/>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本次改扩建后，项目服务范围保持不变，污水接纳类别严格限定为服务范围内城镇生活污水，以及蒙牛乳业、中粮屯河番茄制品等食品加工类企业生产废水，明确不接纳化工、重金属加工等非食品加工类企业污水，确保进水水质与处理工艺适配性。</w:t>
            </w:r>
          </w:p>
          <w:p w14:paraId="26314E6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s="Times New Roman"/>
                <w:bCs/>
                <w:color w:val="000000" w:themeColor="text1"/>
                <w:sz w:val="24"/>
                <w:highlight w:val="none"/>
                <w:lang w:val="en-US" w:eastAsia="zh-CN"/>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一期工程现有实际设备配套运行的污水处理能力为15000m</w:t>
            </w:r>
            <w:r>
              <w:rPr>
                <w:rFonts w:hint="eastAsia" w:cs="Times New Roman"/>
                <w:bCs/>
                <w:color w:val="000000" w:themeColor="text1"/>
                <w:sz w:val="24"/>
                <w:highlight w:val="none"/>
                <w:vertAlign w:val="superscript"/>
                <w:lang w:val="en-US" w:eastAsia="zh-CN"/>
                <w14:textFill>
                  <w14:solidFill>
                    <w14:schemeClr w14:val="tx1"/>
                  </w14:solidFill>
                </w14:textFill>
              </w:rPr>
              <w:t>3</w:t>
            </w:r>
            <w:r>
              <w:rPr>
                <w:rFonts w:hint="eastAsia" w:cs="Times New Roman"/>
                <w:bCs/>
                <w:color w:val="000000" w:themeColor="text1"/>
                <w:sz w:val="24"/>
                <w:highlight w:val="none"/>
                <w:lang w:val="en-US" w:eastAsia="zh-CN"/>
                <w14:textFill>
                  <w14:solidFill>
                    <w14:schemeClr w14:val="tx1"/>
                  </w14:solidFill>
                </w14:textFill>
              </w:rPr>
              <w:t>/d，而初始建设时的土建工程已按30000m</w:t>
            </w:r>
            <w:r>
              <w:rPr>
                <w:rFonts w:hint="eastAsia" w:cs="Times New Roman"/>
                <w:bCs/>
                <w:color w:val="000000" w:themeColor="text1"/>
                <w:sz w:val="24"/>
                <w:highlight w:val="none"/>
                <w:vertAlign w:val="superscript"/>
                <w:lang w:val="en-US" w:eastAsia="zh-CN"/>
                <w14:textFill>
                  <w14:solidFill>
                    <w14:schemeClr w14:val="tx1"/>
                  </w14:solidFill>
                </w14:textFill>
              </w:rPr>
              <w:t>3</w:t>
            </w:r>
            <w:r>
              <w:rPr>
                <w:rFonts w:hint="eastAsia" w:cs="Times New Roman"/>
                <w:bCs/>
                <w:color w:val="000000" w:themeColor="text1"/>
                <w:sz w:val="24"/>
                <w:highlight w:val="none"/>
                <w:lang w:val="en-US" w:eastAsia="zh-CN"/>
                <w14:textFill>
                  <w14:solidFill>
                    <w14:schemeClr w14:val="tx1"/>
                  </w14:solidFill>
                </w14:textFill>
              </w:rPr>
              <w:t>/d处理规模统筹规划，调节池等核心处理池体均为一次性建成。原15000m</w:t>
            </w:r>
            <w:r>
              <w:rPr>
                <w:rFonts w:hint="eastAsia" w:cs="Times New Roman"/>
                <w:bCs/>
                <w:color w:val="000000" w:themeColor="text1"/>
                <w:sz w:val="24"/>
                <w:highlight w:val="none"/>
                <w:vertAlign w:val="superscript"/>
                <w:lang w:val="en-US" w:eastAsia="zh-CN"/>
                <w14:textFill>
                  <w14:solidFill>
                    <w14:schemeClr w14:val="tx1"/>
                  </w14:solidFill>
                </w14:textFill>
              </w:rPr>
              <w:t>3</w:t>
            </w:r>
            <w:r>
              <w:rPr>
                <w:rFonts w:hint="eastAsia" w:cs="Times New Roman"/>
                <w:bCs/>
                <w:color w:val="000000" w:themeColor="text1"/>
                <w:sz w:val="24"/>
                <w:highlight w:val="none"/>
                <w:lang w:val="en-US" w:eastAsia="zh-CN"/>
                <w14:textFill>
                  <w14:solidFill>
                    <w14:schemeClr w14:val="tx1"/>
                  </w14:solidFill>
                </w14:textFill>
              </w:rPr>
              <w:t>/d处理规模所依托的正是这些池体，本次升级改造至30000m</w:t>
            </w:r>
            <w:r>
              <w:rPr>
                <w:rFonts w:hint="eastAsia" w:cs="Times New Roman"/>
                <w:bCs/>
                <w:color w:val="000000" w:themeColor="text1"/>
                <w:sz w:val="24"/>
                <w:highlight w:val="none"/>
                <w:vertAlign w:val="superscript"/>
                <w:lang w:val="en-US" w:eastAsia="zh-CN"/>
                <w14:textFill>
                  <w14:solidFill>
                    <w14:schemeClr w14:val="tx1"/>
                  </w14:solidFill>
                </w14:textFill>
              </w:rPr>
              <w:t>3</w:t>
            </w:r>
            <w:r>
              <w:rPr>
                <w:rFonts w:hint="eastAsia" w:cs="Times New Roman"/>
                <w:bCs/>
                <w:color w:val="000000" w:themeColor="text1"/>
                <w:sz w:val="24"/>
                <w:highlight w:val="none"/>
                <w:lang w:val="en-US" w:eastAsia="zh-CN"/>
                <w14:textFill>
                  <w14:solidFill>
                    <w14:schemeClr w14:val="tx1"/>
                  </w14:solidFill>
                </w14:textFill>
              </w:rPr>
              <w:t>/d处理规模，将完全沿用原有全部池体，通过更新老旧设备、优化工艺系统，充分释放原有池体设计潜能，实现处理规模的提升。</w:t>
            </w:r>
          </w:p>
          <w:p w14:paraId="3E0BE2C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s="Times New Roman"/>
                <w:bCs/>
                <w:color w:val="000000" w:themeColor="text1"/>
                <w:sz w:val="24"/>
                <w:highlight w:val="none"/>
                <w:lang w:val="en-US" w:eastAsia="zh-CN"/>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本项目生化处理系统采用单池双格的分区模块化设计，各生化处理池体均按两格均分布局，运行模式与水量季节性波动特征高度适配。在非高峰时段（日常工况），仅启用各池体中的一格，可满足15000m</w:t>
            </w:r>
            <w:r>
              <w:rPr>
                <w:rFonts w:hint="eastAsia" w:cs="Times New Roman"/>
                <w:bCs/>
                <w:color w:val="000000" w:themeColor="text1"/>
                <w:sz w:val="24"/>
                <w:highlight w:val="none"/>
                <w:vertAlign w:val="superscript"/>
                <w:lang w:val="en-US" w:eastAsia="zh-CN"/>
                <w14:textFill>
                  <w14:solidFill>
                    <w14:schemeClr w14:val="tx1"/>
                  </w14:solidFill>
                </w14:textFill>
              </w:rPr>
              <w:t>3</w:t>
            </w:r>
            <w:r>
              <w:rPr>
                <w:rFonts w:hint="eastAsia" w:cs="Times New Roman"/>
                <w:bCs/>
                <w:color w:val="000000" w:themeColor="text1"/>
                <w:sz w:val="24"/>
                <w:highlight w:val="none"/>
                <w:lang w:val="en-US" w:eastAsia="zh-CN"/>
                <w14:textFill>
                  <w14:solidFill>
                    <w14:schemeClr w14:val="tx1"/>
                  </w14:solidFill>
                </w14:textFill>
              </w:rPr>
              <w:t>/d的处理需求；当遭遇季节性水量增长（如番茄加工企业生产旺季等），系统可灵活启用各池体双格，充分发挥30000m</w:t>
            </w:r>
            <w:r>
              <w:rPr>
                <w:rFonts w:hint="eastAsia" w:cs="Times New Roman"/>
                <w:bCs/>
                <w:color w:val="000000" w:themeColor="text1"/>
                <w:sz w:val="24"/>
                <w:highlight w:val="none"/>
                <w:vertAlign w:val="superscript"/>
                <w:lang w:val="en-US" w:eastAsia="zh-CN"/>
                <w14:textFill>
                  <w14:solidFill>
                    <w14:schemeClr w14:val="tx1"/>
                  </w14:solidFill>
                </w14:textFill>
              </w:rPr>
              <w:t>3</w:t>
            </w:r>
            <w:r>
              <w:rPr>
                <w:rFonts w:hint="eastAsia" w:cs="Times New Roman"/>
                <w:bCs/>
                <w:color w:val="000000" w:themeColor="text1"/>
                <w:sz w:val="24"/>
                <w:highlight w:val="none"/>
                <w:lang w:val="en-US" w:eastAsia="zh-CN"/>
                <w14:textFill>
                  <w14:solidFill>
                    <w14:schemeClr w14:val="tx1"/>
                  </w14:solidFill>
                </w14:textFill>
              </w:rPr>
              <w:t>/d的设计处理能力，实现不同水量工况下的稳定运行，确保出水水质持续达到《城镇污水处理厂污染物排放标准》（GB18918-2002）（含2006年、2025年修改单）一级A标准。该运行模式既保障了日常处理效率，又能有效应对季节性水量冲击。</w:t>
            </w:r>
          </w:p>
          <w:p w14:paraId="5E11329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s="Times New Roman"/>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此次</w:t>
            </w:r>
            <w:r>
              <w:rPr>
                <w:rFonts w:hint="eastAsia" w:cs="Times New Roman"/>
                <w:bCs/>
                <w:color w:val="000000" w:themeColor="text1"/>
                <w:sz w:val="24"/>
                <w:highlight w:val="none"/>
                <w:lang w:val="en-US" w:eastAsia="zh-CN"/>
                <w14:textFill>
                  <w14:solidFill>
                    <w14:schemeClr w14:val="tx1"/>
                  </w14:solidFill>
                </w14:textFill>
              </w:rPr>
              <w:t>改扩建</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完成后，出水</w:t>
            </w:r>
            <w:r>
              <w:rPr>
                <w:rFonts w:hint="eastAsia" w:cs="Times New Roman"/>
                <w:bCs/>
                <w:color w:val="000000" w:themeColor="text1"/>
                <w:sz w:val="24"/>
                <w:highlight w:val="none"/>
                <w:lang w:val="en-US" w:eastAsia="zh-CN"/>
                <w14:textFill>
                  <w14:solidFill>
                    <w14:schemeClr w14:val="tx1"/>
                  </w14:solidFill>
                </w14:textFill>
              </w:rPr>
              <w:t>部分接入中水厂进行深度处理后回用，部分</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进入</w:t>
            </w:r>
            <w:r>
              <w:rPr>
                <w:rFonts w:hint="eastAsia" w:cs="Times New Roman"/>
                <w:bCs/>
                <w:color w:val="000000" w:themeColor="text1"/>
                <w:sz w:val="24"/>
                <w:highlight w:val="none"/>
                <w:lang w:val="en-US" w:eastAsia="zh-CN"/>
                <w14:textFill>
                  <w14:solidFill>
                    <w14:schemeClr w14:val="tx1"/>
                  </w14:solidFill>
                </w14:textFill>
              </w:rPr>
              <w:t>人工湿地</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进一步</w:t>
            </w:r>
            <w:r>
              <w:rPr>
                <w:rFonts w:hint="eastAsia" w:cs="Times New Roman"/>
                <w:bCs/>
                <w:color w:val="000000" w:themeColor="text1"/>
                <w:sz w:val="24"/>
                <w:highlight w:val="none"/>
                <w:lang w:val="en-US" w:eastAsia="zh-CN"/>
                <w14:textFill>
                  <w14:solidFill>
                    <w14:schemeClr w14:val="tx1"/>
                  </w14:solidFill>
                </w14:textFill>
              </w:rPr>
              <w:t>净化，最终排入二排干。</w:t>
            </w:r>
          </w:p>
          <w:p w14:paraId="2181793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000000" w:themeColor="text1"/>
                <w:sz w:val="24"/>
                <w:highlight w:val="none"/>
                <w:lang w:eastAsia="zh-CN"/>
                <w14:textFill>
                  <w14:solidFill>
                    <w14:schemeClr w14:val="tx1"/>
                  </w14:solidFill>
                </w14:textFill>
              </w:rPr>
            </w:pPr>
            <w:r>
              <w:rPr>
                <w:rFonts w:hint="eastAsia" w:ascii="Times New Roman" w:hAnsi="Times New Roman" w:eastAsia="宋体" w:cs="Times New Roman"/>
                <w:bCs/>
                <w:color w:val="000000" w:themeColor="text1"/>
                <w:sz w:val="24"/>
                <w:highlight w:val="none"/>
                <w:lang w:eastAsia="zh-CN"/>
                <w14:textFill>
                  <w14:solidFill>
                    <w14:schemeClr w14:val="tx1"/>
                  </w14:solidFill>
                </w14:textFill>
              </w:rPr>
              <w:drawing>
                <wp:inline distT="0" distB="0" distL="114300" distR="114300">
                  <wp:extent cx="4206875" cy="2976880"/>
                  <wp:effectExtent l="0" t="0" r="3175" b="13970"/>
                  <wp:docPr id="2" name="图片 7" descr="磴口县污水处理厂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descr="磴口县污水处理厂平面布置图"/>
                          <pic:cNvPicPr>
                            <a:picLocks noChangeAspect="1"/>
                          </pic:cNvPicPr>
                        </pic:nvPicPr>
                        <pic:blipFill>
                          <a:blip r:embed="rId22"/>
                          <a:stretch>
                            <a:fillRect/>
                          </a:stretch>
                        </pic:blipFill>
                        <pic:spPr>
                          <a:xfrm>
                            <a:off x="0" y="0"/>
                            <a:ext cx="4206875" cy="2976880"/>
                          </a:xfrm>
                          <a:prstGeom prst="rect">
                            <a:avLst/>
                          </a:prstGeom>
                          <a:noFill/>
                          <a:ln>
                            <a:noFill/>
                          </a:ln>
                        </pic:spPr>
                      </pic:pic>
                    </a:graphicData>
                  </a:graphic>
                </wp:inline>
              </w:drawing>
            </w:r>
          </w:p>
          <w:p w14:paraId="46C2E8F9">
            <w:pPr>
              <w:pStyle w:val="19"/>
              <w:bidi w:val="0"/>
              <w:rPr>
                <w:rFonts w:hint="default" w:ascii="宋体" w:hAnsi="宋体" w:eastAsia="宋体" w:cs="宋体"/>
                <w:bCs/>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图2-1  污水处理厂平面布置情况</w:t>
            </w:r>
          </w:p>
        </w:tc>
      </w:tr>
    </w:tbl>
    <w:p w14:paraId="3E833562">
      <w:pPr>
        <w:jc w:val="center"/>
        <w:rPr>
          <w:rFonts w:ascii="黑体" w:hAnsi="黑体" w:eastAsia="黑体"/>
          <w:snapToGrid w:val="0"/>
          <w:color w:val="000000" w:themeColor="text1"/>
          <w:sz w:val="36"/>
          <w:szCs w:val="36"/>
          <w:highlight w:val="none"/>
          <w14:textFill>
            <w14:solidFill>
              <w14:schemeClr w14:val="tx1"/>
            </w14:solidFill>
          </w14:textFill>
        </w:rPr>
        <w:sectPr>
          <w:pgSz w:w="11906" w:h="16838"/>
          <w:pgMar w:top="1440" w:right="1797" w:bottom="1440" w:left="1797"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1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00"/>
        <w:gridCol w:w="12760"/>
      </w:tblGrid>
      <w:tr w14:paraId="734926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08" w:hRule="atLeast"/>
          <w:jc w:val="center"/>
        </w:trPr>
        <w:tc>
          <w:tcPr>
            <w:tcW w:w="260" w:type="pct"/>
            <w:noWrap w:val="0"/>
            <w:vAlign w:val="center"/>
          </w:tcPr>
          <w:p w14:paraId="6827A1A8">
            <w:pPr>
              <w:adjustRightInd w:val="0"/>
              <w:snapToGrid w:val="0"/>
              <w:spacing w:before="0" w:beforeAutospacing="0" w:after="0" w:afterAutospacing="0"/>
              <w:jc w:val="center"/>
              <w:rPr>
                <w:rFonts w:hint="eastAsia" w:cs="宋体"/>
                <w:color w:val="000000" w:themeColor="text1"/>
                <w:szCs w:val="24"/>
                <w:highlight w:val="none"/>
                <w14:textFill>
                  <w14:solidFill>
                    <w14:schemeClr w14:val="tx1"/>
                  </w14:solidFill>
                </w14:textFill>
              </w:rPr>
            </w:pPr>
            <w:r>
              <w:rPr>
                <w:rFonts w:hint="eastAsia" w:cs="宋体"/>
                <w:color w:val="000000" w:themeColor="text1"/>
                <w:szCs w:val="24"/>
                <w:highlight w:val="none"/>
                <w14:textFill>
                  <w14:solidFill>
                    <w14:schemeClr w14:val="tx1"/>
                  </w14:solidFill>
                </w14:textFill>
              </w:rPr>
              <w:t>建设内容</w:t>
            </w:r>
          </w:p>
        </w:tc>
        <w:tc>
          <w:tcPr>
            <w:tcW w:w="4739" w:type="pct"/>
            <w:noWrap w:val="0"/>
            <w:vAlign w:val="top"/>
          </w:tcPr>
          <w:p w14:paraId="003BF927">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表2-2  改扩建工程建设内容一览表</w:t>
            </w:r>
          </w:p>
          <w:tbl>
            <w:tblPr>
              <w:tblStyle w:val="13"/>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0"/>
              <w:gridCol w:w="357"/>
              <w:gridCol w:w="727"/>
              <w:gridCol w:w="4023"/>
              <w:gridCol w:w="3539"/>
              <w:gridCol w:w="2069"/>
              <w:gridCol w:w="1374"/>
            </w:tblGrid>
            <w:tr w14:paraId="79780F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1" w:type="pct"/>
                  <w:gridSpan w:val="3"/>
                  <w:vMerge w:val="restart"/>
                  <w:tcBorders>
                    <w:tl2br w:val="nil"/>
                    <w:tr2bl w:val="nil"/>
                  </w:tcBorders>
                  <w:noWrap w:val="0"/>
                  <w:vAlign w:val="center"/>
                </w:tcPr>
                <w:p w14:paraId="48DA538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类别</w:t>
                  </w:r>
                </w:p>
              </w:tc>
              <w:tc>
                <w:tcPr>
                  <w:tcW w:w="3849" w:type="pct"/>
                  <w:gridSpan w:val="3"/>
                  <w:tcBorders>
                    <w:tl2br w:val="nil"/>
                    <w:tr2bl w:val="nil"/>
                  </w:tcBorders>
                  <w:noWrap w:val="0"/>
                  <w:vAlign w:val="center"/>
                </w:tcPr>
                <w:p w14:paraId="0B36E3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建设内容</w:t>
                  </w:r>
                </w:p>
              </w:tc>
              <w:tc>
                <w:tcPr>
                  <w:tcW w:w="549" w:type="pct"/>
                  <w:vMerge w:val="restart"/>
                  <w:tcBorders>
                    <w:tl2br w:val="nil"/>
                    <w:tr2bl w:val="nil"/>
                  </w:tcBorders>
                  <w:noWrap w:val="0"/>
                  <w:vAlign w:val="center"/>
                </w:tcPr>
                <w:p w14:paraId="0F1F77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备注/对比现有工程</w:t>
                  </w:r>
                </w:p>
              </w:tc>
            </w:tr>
            <w:tr w14:paraId="1A2857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1" w:type="pct"/>
                  <w:gridSpan w:val="3"/>
                  <w:vMerge w:val="continue"/>
                  <w:tcBorders>
                    <w:tl2br w:val="nil"/>
                    <w:tr2bl w:val="nil"/>
                  </w:tcBorders>
                  <w:noWrap w:val="0"/>
                  <w:vAlign w:val="center"/>
                </w:tcPr>
                <w:p w14:paraId="3C960F1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p>
              </w:tc>
              <w:tc>
                <w:tcPr>
                  <w:tcW w:w="1608" w:type="pct"/>
                  <w:tcBorders>
                    <w:tl2br w:val="nil"/>
                    <w:tr2bl w:val="nil"/>
                  </w:tcBorders>
                  <w:noWrap w:val="0"/>
                  <w:vAlign w:val="center"/>
                </w:tcPr>
                <w:p w14:paraId="774E978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现有一期工程</w:t>
                  </w:r>
                </w:p>
              </w:tc>
              <w:tc>
                <w:tcPr>
                  <w:tcW w:w="1414" w:type="pct"/>
                  <w:tcBorders>
                    <w:tl2br w:val="nil"/>
                    <w:tr2bl w:val="nil"/>
                  </w:tcBorders>
                  <w:noWrap w:val="0"/>
                  <w:vAlign w:val="center"/>
                </w:tcPr>
                <w:p w14:paraId="714319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改扩建工程</w:t>
                  </w:r>
                </w:p>
              </w:tc>
              <w:tc>
                <w:tcPr>
                  <w:tcW w:w="827" w:type="pct"/>
                  <w:tcBorders>
                    <w:tl2br w:val="nil"/>
                    <w:tr2bl w:val="nil"/>
                  </w:tcBorders>
                  <w:noWrap w:val="0"/>
                  <w:vAlign w:val="center"/>
                </w:tcPr>
                <w:p w14:paraId="29E27C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改扩建后一期工程</w:t>
                  </w:r>
                </w:p>
              </w:tc>
              <w:tc>
                <w:tcPr>
                  <w:tcW w:w="549" w:type="pct"/>
                  <w:vMerge w:val="continue"/>
                  <w:tcBorders>
                    <w:tl2br w:val="nil"/>
                    <w:tr2bl w:val="nil"/>
                  </w:tcBorders>
                  <w:noWrap w:val="0"/>
                  <w:vAlign w:val="center"/>
                </w:tcPr>
                <w:p w14:paraId="0D6F97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r>
            <w:tr w14:paraId="5FCDBA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67" w:type="pct"/>
                  <w:vMerge w:val="restart"/>
                  <w:tcBorders>
                    <w:tl2br w:val="nil"/>
                    <w:tr2bl w:val="nil"/>
                  </w:tcBorders>
                  <w:noWrap w:val="0"/>
                  <w:vAlign w:val="center"/>
                </w:tcPr>
                <w:p w14:paraId="3AFE5D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主体工程</w:t>
                  </w:r>
                </w:p>
              </w:tc>
              <w:tc>
                <w:tcPr>
                  <w:tcW w:w="433" w:type="pct"/>
                  <w:gridSpan w:val="2"/>
                  <w:tcBorders>
                    <w:tl2br w:val="nil"/>
                    <w:tr2bl w:val="nil"/>
                  </w:tcBorders>
                  <w:noWrap w:val="0"/>
                  <w:vAlign w:val="center"/>
                </w:tcPr>
                <w:p w14:paraId="69BC98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处理能力</w:t>
                  </w:r>
                </w:p>
              </w:tc>
              <w:tc>
                <w:tcPr>
                  <w:tcW w:w="1608" w:type="pct"/>
                  <w:tcBorders>
                    <w:tl2br w:val="nil"/>
                    <w:tr2bl w:val="nil"/>
                  </w:tcBorders>
                  <w:noWrap w:val="0"/>
                  <w:vAlign w:val="center"/>
                </w:tcPr>
                <w:p w14:paraId="2FC9F5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现有的污水处理能力为</w:t>
                  </w: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15000</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m</w:t>
                  </w:r>
                  <w:r>
                    <w:rPr>
                      <w:rFonts w:hint="default" w:ascii="Times New Roman" w:hAnsi="Times New Roman" w:cs="Times New Roman"/>
                      <w:bCs/>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/d。</w:t>
                  </w:r>
                </w:p>
              </w:tc>
              <w:tc>
                <w:tcPr>
                  <w:tcW w:w="1414" w:type="pct"/>
                  <w:tcBorders>
                    <w:tl2br w:val="nil"/>
                    <w:tr2bl w:val="nil"/>
                  </w:tcBorders>
                  <w:noWrap w:val="0"/>
                  <w:vAlign w:val="center"/>
                </w:tcPr>
                <w:p w14:paraId="491F26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扩建污水处理设备的</w:t>
                  </w: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能力15000</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m</w:t>
                  </w:r>
                  <w:r>
                    <w:rPr>
                      <w:rFonts w:hint="default" w:ascii="Times New Roman" w:hAnsi="Times New Roman" w:cs="Times New Roman"/>
                      <w:bCs/>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/d。</w:t>
                  </w:r>
                </w:p>
              </w:tc>
              <w:tc>
                <w:tcPr>
                  <w:tcW w:w="827" w:type="pct"/>
                  <w:tcBorders>
                    <w:tl2br w:val="nil"/>
                    <w:tr2bl w:val="nil"/>
                  </w:tcBorders>
                  <w:noWrap w:val="0"/>
                  <w:vAlign w:val="center"/>
                </w:tcPr>
                <w:p w14:paraId="0247F4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扩建后，</w:t>
                  </w: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一期工程</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的污水总处理规模为</w:t>
                  </w: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30000</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m</w:t>
                  </w:r>
                  <w:r>
                    <w:rPr>
                      <w:rFonts w:hint="default" w:ascii="Times New Roman" w:hAnsi="Times New Roman" w:cs="Times New Roman"/>
                      <w:bCs/>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/d</w:t>
                  </w:r>
                  <w:r>
                    <w:rPr>
                      <w:rFonts w:hint="eastAsia" w:cs="Times New Roman"/>
                      <w:bCs/>
                      <w:color w:val="000000" w:themeColor="text1"/>
                      <w:sz w:val="21"/>
                      <w:szCs w:val="21"/>
                      <w:highlight w:val="none"/>
                      <w:vertAlign w:val="baseline"/>
                      <w:lang w:eastAsia="zh-CN"/>
                      <w14:textFill>
                        <w14:solidFill>
                          <w14:schemeClr w14:val="tx1"/>
                        </w14:solidFill>
                      </w14:textFill>
                    </w:rPr>
                    <w:t>。</w:t>
                  </w:r>
                </w:p>
              </w:tc>
              <w:tc>
                <w:tcPr>
                  <w:tcW w:w="549" w:type="pct"/>
                  <w:tcBorders>
                    <w:tl2br w:val="nil"/>
                    <w:tr2bl w:val="nil"/>
                  </w:tcBorders>
                  <w:noWrap w:val="0"/>
                  <w:vAlign w:val="center"/>
                </w:tcPr>
                <w:p w14:paraId="6A2C78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增加规模</w:t>
                  </w:r>
                  <w:r>
                    <w:rPr>
                      <w:rFonts w:hint="eastAsia" w:cs="Times New Roman"/>
                      <w:bCs/>
                      <w:color w:val="000000" w:themeColor="text1"/>
                      <w:sz w:val="21"/>
                      <w:szCs w:val="21"/>
                      <w:highlight w:val="none"/>
                      <w:vertAlign w:val="baseline"/>
                      <w:lang w:val="en-US" w:eastAsia="zh-CN"/>
                      <w14:textFill>
                        <w14:solidFill>
                          <w14:schemeClr w14:val="tx1"/>
                        </w14:solidFill>
                      </w14:textFill>
                    </w:rPr>
                    <w:t>，日常工况下启用15000m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eastAsia" w:cs="Times New Roman"/>
                      <w:bCs/>
                      <w:color w:val="000000" w:themeColor="text1"/>
                      <w:sz w:val="21"/>
                      <w:szCs w:val="21"/>
                      <w:highlight w:val="none"/>
                      <w:vertAlign w:val="baseline"/>
                      <w:lang w:val="en-US" w:eastAsia="zh-CN"/>
                      <w14:textFill>
                        <w14:solidFill>
                          <w14:schemeClr w14:val="tx1"/>
                        </w14:solidFill>
                      </w14:textFill>
                    </w:rPr>
                    <w:t>/d处理规模，季节性生产高峰期可扩容至30000m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eastAsia" w:cs="Times New Roman"/>
                      <w:bCs/>
                      <w:color w:val="000000" w:themeColor="text1"/>
                      <w:sz w:val="21"/>
                      <w:szCs w:val="21"/>
                      <w:highlight w:val="none"/>
                      <w:vertAlign w:val="baseline"/>
                      <w:lang w:val="en-US" w:eastAsia="zh-CN"/>
                      <w14:textFill>
                        <w14:solidFill>
                          <w14:schemeClr w14:val="tx1"/>
                        </w14:solidFill>
                      </w14:textFill>
                    </w:rPr>
                    <w:t>/d满负荷运行。</w:t>
                  </w:r>
                </w:p>
              </w:tc>
            </w:tr>
            <w:tr w14:paraId="4025C6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continue"/>
                  <w:tcBorders>
                    <w:tl2br w:val="nil"/>
                    <w:tr2bl w:val="nil"/>
                  </w:tcBorders>
                  <w:noWrap w:val="0"/>
                  <w:vAlign w:val="center"/>
                </w:tcPr>
                <w:p w14:paraId="32D8DB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433" w:type="pct"/>
                  <w:gridSpan w:val="2"/>
                  <w:tcBorders>
                    <w:tl2br w:val="nil"/>
                    <w:tr2bl w:val="nil"/>
                  </w:tcBorders>
                  <w:noWrap w:val="0"/>
                  <w:vAlign w:val="center"/>
                </w:tcPr>
                <w:p w14:paraId="623072F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处理工艺</w:t>
                  </w:r>
                </w:p>
              </w:tc>
              <w:tc>
                <w:tcPr>
                  <w:tcW w:w="1608" w:type="pct"/>
                  <w:tcBorders>
                    <w:tl2br w:val="nil"/>
                    <w:tr2bl w:val="nil"/>
                  </w:tcBorders>
                  <w:noWrap w:val="0"/>
                  <w:vAlign w:val="center"/>
                </w:tcPr>
                <w:p w14:paraId="65683357">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现状处理工艺采用预处理+生化处理，其中预处理为调节池及提升泵房+细格栅及沉砂池，生化处理为A</w:t>
                  </w:r>
                  <w:r>
                    <w:rPr>
                      <w:rFonts w:hint="eastAsia" w:cs="Times New Roman"/>
                      <w:bCs/>
                      <w:color w:val="000000" w:themeColor="text1"/>
                      <w:sz w:val="21"/>
                      <w:szCs w:val="21"/>
                      <w:highlight w:val="none"/>
                      <w:vertAlign w:val="superscript"/>
                      <w:lang w:val="en-US" w:eastAsia="zh-CN"/>
                      <w14:textFill>
                        <w14:solidFill>
                          <w14:schemeClr w14:val="tx1"/>
                        </w14:solidFill>
                      </w14:textFill>
                    </w:rPr>
                    <w:t>2</w:t>
                  </w:r>
                  <w:r>
                    <w:rPr>
                      <w:rFonts w:hint="eastAsia" w:cs="Times New Roman"/>
                      <w:bCs/>
                      <w:color w:val="000000" w:themeColor="text1"/>
                      <w:sz w:val="21"/>
                      <w:szCs w:val="21"/>
                      <w:highlight w:val="none"/>
                      <w:vertAlign w:val="baseline"/>
                      <w:lang w:val="en-US" w:eastAsia="zh-CN"/>
                      <w14:textFill>
                        <w14:solidFill>
                          <w14:schemeClr w14:val="tx1"/>
                        </w14:solidFill>
                      </w14:textFill>
                    </w:rPr>
                    <w:t>/O+MBBR池+二沉池工艺，一期生化处理出水部分进入中水厂进行深度处理后回用，部分进行湿地补水。</w:t>
                  </w:r>
                </w:p>
              </w:tc>
              <w:tc>
                <w:tcPr>
                  <w:tcW w:w="2241" w:type="pct"/>
                  <w:gridSpan w:val="2"/>
                  <w:tcBorders>
                    <w:tl2br w:val="nil"/>
                    <w:tr2bl w:val="nil"/>
                  </w:tcBorders>
                  <w:noWrap w:val="0"/>
                  <w:vAlign w:val="center"/>
                </w:tcPr>
                <w:p w14:paraId="178B3C5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处理工艺采用预处理+生化处理，其中预处理为</w:t>
                  </w:r>
                  <w:r>
                    <w:rPr>
                      <w:rFonts w:hint="eastAsia" w:cs="Times New Roman"/>
                      <w:bCs/>
                      <w:color w:val="000000" w:themeColor="text1"/>
                      <w:sz w:val="21"/>
                      <w:szCs w:val="21"/>
                      <w:highlight w:val="none"/>
                      <w:vertAlign w:val="baseline"/>
                      <w:lang w:eastAsia="zh-CN"/>
                      <w14:textFill>
                        <w14:solidFill>
                          <w14:schemeClr w14:val="tx1"/>
                        </w14:solidFill>
                      </w14:textFill>
                    </w:rPr>
                    <w:t>“</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调节池及提升泵房+细格栅及沉砂池</w:t>
                  </w:r>
                  <w:r>
                    <w:rPr>
                      <w:rFonts w:hint="eastAsia" w:cs="Times New Roman"/>
                      <w:bCs/>
                      <w:color w:val="000000" w:themeColor="text1"/>
                      <w:sz w:val="21"/>
                      <w:szCs w:val="21"/>
                      <w:highlight w:val="none"/>
                      <w:vertAlign w:val="baseline"/>
                      <w:lang w:eastAsia="zh-CN"/>
                      <w14:textFill>
                        <w14:solidFill>
                          <w14:schemeClr w14:val="tx1"/>
                        </w14:solidFill>
                      </w14:textFill>
                    </w:rPr>
                    <w:t>”，</w:t>
                  </w:r>
                  <w:r>
                    <w:rPr>
                      <w:rFonts w:hint="eastAsia" w:cs="Times New Roman"/>
                      <w:bCs/>
                      <w:color w:val="000000" w:themeColor="text1"/>
                      <w:sz w:val="21"/>
                      <w:szCs w:val="21"/>
                      <w:highlight w:val="none"/>
                      <w:vertAlign w:val="baseline"/>
                      <w:lang w:val="en-US" w:eastAsia="zh-CN"/>
                      <w14:textFill>
                        <w14:solidFill>
                          <w14:schemeClr w14:val="tx1"/>
                        </w14:solidFill>
                      </w14:textFill>
                    </w:rPr>
                    <w:t>生化处理为</w:t>
                  </w:r>
                  <w:r>
                    <w:rPr>
                      <w:rFonts w:hint="eastAsia" w:cs="Times New Roman"/>
                      <w:bCs/>
                      <w:color w:val="000000" w:themeColor="text1"/>
                      <w:sz w:val="21"/>
                      <w:szCs w:val="21"/>
                      <w:highlight w:val="none"/>
                      <w:vertAlign w:val="baseline"/>
                      <w:lang w:eastAsia="zh-CN"/>
                      <w14:textFill>
                        <w14:solidFill>
                          <w14:schemeClr w14:val="tx1"/>
                        </w14:solidFill>
                      </w14:textFill>
                    </w:rPr>
                    <w:t>“</w:t>
                  </w:r>
                  <w:r>
                    <w:rPr>
                      <w:rFonts w:hint="eastAsia"/>
                      <w:color w:val="000000" w:themeColor="text1"/>
                      <w:sz w:val="21"/>
                      <w:szCs w:val="21"/>
                      <w:highlight w:val="none"/>
                      <w14:textFill>
                        <w14:solidFill>
                          <w14:schemeClr w14:val="tx1"/>
                        </w14:solidFill>
                      </w14:textFill>
                    </w:rPr>
                    <w:t>A</w:t>
                  </w:r>
                  <w:r>
                    <w:rPr>
                      <w:rFonts w:hint="eastAsia"/>
                      <w:color w:val="000000" w:themeColor="text1"/>
                      <w:sz w:val="21"/>
                      <w:szCs w:val="21"/>
                      <w:highlight w:val="none"/>
                      <w:vertAlign w:val="superscript"/>
                      <w14:textFill>
                        <w14:solidFill>
                          <w14:schemeClr w14:val="tx1"/>
                        </w14:solidFill>
                      </w14:textFill>
                    </w:rPr>
                    <w:t>2</w:t>
                  </w:r>
                  <w:r>
                    <w:rPr>
                      <w:rFonts w:hint="eastAsia"/>
                      <w:color w:val="000000" w:themeColor="text1"/>
                      <w:sz w:val="21"/>
                      <w:szCs w:val="21"/>
                      <w:highlight w:val="none"/>
                      <w:vertAlign w:val="baseline"/>
                      <w:lang w:val="en-US" w:eastAsia="zh-CN"/>
                      <w14:textFill>
                        <w14:solidFill>
                          <w14:schemeClr w14:val="tx1"/>
                        </w14:solidFill>
                      </w14:textFill>
                    </w:rPr>
                    <w:t>/O</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生化池+MBR膜+消毒</w:t>
                  </w:r>
                  <w:r>
                    <w:rPr>
                      <w:rFonts w:hint="eastAsia" w:cs="Times New Roman"/>
                      <w:bCs/>
                      <w:color w:val="000000" w:themeColor="text1"/>
                      <w:sz w:val="21"/>
                      <w:szCs w:val="21"/>
                      <w:highlight w:val="none"/>
                      <w:vertAlign w:val="baseline"/>
                      <w:lang w:eastAsia="zh-CN"/>
                      <w14:textFill>
                        <w14:solidFill>
                          <w14:schemeClr w14:val="tx1"/>
                        </w14:solidFill>
                      </w14:textFill>
                    </w:rPr>
                    <w:t>”</w:t>
                  </w:r>
                  <w:r>
                    <w:rPr>
                      <w:rFonts w:hint="eastAsia" w:cs="Times New Roman"/>
                      <w:bCs/>
                      <w:color w:val="000000" w:themeColor="text1"/>
                      <w:sz w:val="21"/>
                      <w:szCs w:val="21"/>
                      <w:highlight w:val="none"/>
                      <w:vertAlign w:val="baseline"/>
                      <w:lang w:val="en-US" w:eastAsia="zh-CN"/>
                      <w14:textFill>
                        <w14:solidFill>
                          <w14:schemeClr w14:val="tx1"/>
                        </w14:solidFill>
                      </w14:textFill>
                    </w:rPr>
                    <w:t>处理工艺</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，一期生化处理出水部分接入中水厂进行深度处理后回用，部分进入湿地进一步净化，最终排入二排干。</w:t>
                  </w:r>
                </w:p>
              </w:tc>
              <w:tc>
                <w:tcPr>
                  <w:tcW w:w="549" w:type="pct"/>
                  <w:tcBorders>
                    <w:tl2br w:val="nil"/>
                    <w:tr2bl w:val="nil"/>
                  </w:tcBorders>
                  <w:noWrap w:val="0"/>
                  <w:vAlign w:val="center"/>
                </w:tcPr>
                <w:p w14:paraId="43FCE7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处理工艺变化，尾水处置方式变化。</w:t>
                  </w:r>
                </w:p>
              </w:tc>
            </w:tr>
            <w:tr w14:paraId="036788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continue"/>
                  <w:tcBorders>
                    <w:tl2br w:val="nil"/>
                    <w:tr2bl w:val="nil"/>
                  </w:tcBorders>
                  <w:noWrap w:val="0"/>
                  <w:vAlign w:val="center"/>
                </w:tcPr>
                <w:p w14:paraId="27D01DA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142" w:type="pct"/>
                  <w:vMerge w:val="restart"/>
                  <w:tcBorders>
                    <w:tl2br w:val="nil"/>
                    <w:tr2bl w:val="nil"/>
                  </w:tcBorders>
                  <w:noWrap w:val="0"/>
                  <w:vAlign w:val="center"/>
                </w:tcPr>
                <w:p w14:paraId="4DE04B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建构筑物</w:t>
                  </w:r>
                </w:p>
              </w:tc>
              <w:tc>
                <w:tcPr>
                  <w:tcW w:w="290" w:type="pct"/>
                  <w:vMerge w:val="restart"/>
                  <w:tcBorders>
                    <w:tl2br w:val="nil"/>
                    <w:tr2bl w:val="nil"/>
                  </w:tcBorders>
                  <w:noWrap w:val="0"/>
                  <w:vAlign w:val="center"/>
                </w:tcPr>
                <w:p w14:paraId="1629E8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预处理系统</w:t>
                  </w:r>
                </w:p>
              </w:tc>
              <w:tc>
                <w:tcPr>
                  <w:tcW w:w="1608" w:type="pct"/>
                  <w:tcBorders>
                    <w:tl2br w:val="nil"/>
                    <w:tr2bl w:val="nil"/>
                  </w:tcBorders>
                  <w:noWrap w:val="0"/>
                  <w:vAlign w:val="center"/>
                </w:tcPr>
                <w:p w14:paraId="25007A3A">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现状调节池及提升泵房合建，现状土建规模为3.0万</w:t>
                  </w:r>
                  <w:r>
                    <w:rPr>
                      <w:rFonts w:hint="eastAsia" w:cs="Times New Roman"/>
                      <w:bCs/>
                      <w:color w:val="000000" w:themeColor="text1"/>
                      <w:sz w:val="21"/>
                      <w:szCs w:val="21"/>
                      <w:highlight w:val="none"/>
                      <w:vertAlign w:val="baseline"/>
                      <w:lang w:val="en-US" w:eastAsia="zh-CN"/>
                      <w14:textFill>
                        <w14:solidFill>
                          <w14:schemeClr w14:val="tx1"/>
                        </w14:solidFill>
                      </w14:textFill>
                    </w:rPr>
                    <w:t>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/d，设备按1.5万m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/d安装。调节池有效容积V=2475m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，有效水深H=6.5m，提升泵房内已安装3台提升泵，预留2台泵位。</w:t>
                  </w:r>
                </w:p>
              </w:tc>
              <w:tc>
                <w:tcPr>
                  <w:tcW w:w="2241" w:type="pct"/>
                  <w:gridSpan w:val="2"/>
                  <w:tcBorders>
                    <w:tl2br w:val="nil"/>
                    <w:tr2bl w:val="nil"/>
                  </w:tcBorders>
                  <w:noWrap w:val="0"/>
                  <w:vAlign w:val="center"/>
                </w:tcPr>
                <w:p w14:paraId="27A837ED">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本次升级改造工程利用现有土建设施，更换现状3台提升泵，并在预留泵位新增2台提升泵，更换后总设计规模为3.0万m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/d，因提升泵前端设置了调节池，故调节池后变化系数按1.20，设计流量1500m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/h，改造后泵房内共设置5台提升泵，4用1备。</w:t>
                  </w:r>
                </w:p>
              </w:tc>
              <w:tc>
                <w:tcPr>
                  <w:tcW w:w="549" w:type="pct"/>
                  <w:tcBorders>
                    <w:tl2br w:val="nil"/>
                    <w:tr2bl w:val="nil"/>
                  </w:tcBorders>
                  <w:noWrap w:val="0"/>
                  <w:vAlign w:val="center"/>
                </w:tcPr>
                <w:p w14:paraId="24EA09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在预留泵位安装设备并对老旧设备进行更换。</w:t>
                  </w:r>
                </w:p>
              </w:tc>
            </w:tr>
            <w:tr w14:paraId="46341C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continue"/>
                  <w:tcBorders>
                    <w:tl2br w:val="nil"/>
                    <w:tr2bl w:val="nil"/>
                  </w:tcBorders>
                  <w:noWrap w:val="0"/>
                  <w:vAlign w:val="center"/>
                </w:tcPr>
                <w:p w14:paraId="5B8FEF5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142" w:type="pct"/>
                  <w:vMerge w:val="continue"/>
                  <w:tcBorders>
                    <w:tl2br w:val="nil"/>
                    <w:tr2bl w:val="nil"/>
                  </w:tcBorders>
                  <w:noWrap w:val="0"/>
                  <w:vAlign w:val="center"/>
                </w:tcPr>
                <w:p w14:paraId="0BE4D9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290" w:type="pct"/>
                  <w:vMerge w:val="continue"/>
                  <w:tcBorders>
                    <w:tl2br w:val="nil"/>
                    <w:tr2bl w:val="nil"/>
                  </w:tcBorders>
                  <w:noWrap w:val="0"/>
                  <w:vAlign w:val="center"/>
                </w:tcPr>
                <w:p w14:paraId="24B879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1608" w:type="pct"/>
                  <w:tcBorders>
                    <w:tl2br w:val="nil"/>
                    <w:tr2bl w:val="nil"/>
                  </w:tcBorders>
                  <w:noWrap w:val="0"/>
                  <w:vAlign w:val="center"/>
                </w:tcPr>
                <w:p w14:paraId="76FEB0DF">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现状细格栅间与沉砂间合建，现状规模为3.0万m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/d。细格栅渠为地上式构筑物，车间内设2条栅渠，单渠宽度1.1m，现状细格栅为回转式格栅除污机（不锈钢材质），格栅间隙5mm。</w:t>
                  </w:r>
                </w:p>
              </w:tc>
              <w:tc>
                <w:tcPr>
                  <w:tcW w:w="2241" w:type="pct"/>
                  <w:gridSpan w:val="2"/>
                  <w:tcBorders>
                    <w:tl2br w:val="nil"/>
                    <w:tr2bl w:val="nil"/>
                  </w:tcBorders>
                  <w:noWrap w:val="0"/>
                  <w:vAlign w:val="center"/>
                </w:tcPr>
                <w:p w14:paraId="10B3490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本次升级改造工程利用现有土建设施，更换现状细格栅，为满足后续MBR膜使用需求，截留较细的悬浮物、漂浮物，保证后续处理的高效性，将现有间隙5mm的细格栅更换为间隙为1mm的细格栅，为满足安装需求，格栅形式采用转股转鼓式细格栅，每座渠道安装2台，共更换4台，同时为细格栅配套螺旋挤压机及冲洗系统等辅助设备。</w:t>
                  </w:r>
                </w:p>
              </w:tc>
              <w:tc>
                <w:tcPr>
                  <w:tcW w:w="549" w:type="pct"/>
                  <w:vMerge w:val="restart"/>
                  <w:tcBorders>
                    <w:tl2br w:val="nil"/>
                    <w:tr2bl w:val="nil"/>
                  </w:tcBorders>
                  <w:noWrap w:val="0"/>
                  <w:vAlign w:val="center"/>
                </w:tcPr>
                <w:p w14:paraId="52ECC6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对老旧设备进行更换并调整格栅间隙。</w:t>
                  </w:r>
                </w:p>
              </w:tc>
            </w:tr>
            <w:tr w14:paraId="0581D5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42" w:hRule="atLeast"/>
              </w:trPr>
              <w:tc>
                <w:tcPr>
                  <w:tcW w:w="167" w:type="pct"/>
                  <w:vMerge w:val="continue"/>
                  <w:tcBorders>
                    <w:tl2br w:val="nil"/>
                    <w:tr2bl w:val="nil"/>
                  </w:tcBorders>
                  <w:noWrap w:val="0"/>
                  <w:vAlign w:val="center"/>
                </w:tcPr>
                <w:p w14:paraId="1D51E7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142" w:type="pct"/>
                  <w:vMerge w:val="continue"/>
                  <w:tcBorders>
                    <w:tl2br w:val="nil"/>
                    <w:tr2bl w:val="nil"/>
                  </w:tcBorders>
                  <w:noWrap w:val="0"/>
                  <w:vAlign w:val="center"/>
                </w:tcPr>
                <w:p w14:paraId="000B83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290" w:type="pct"/>
                  <w:vMerge w:val="continue"/>
                  <w:tcBorders>
                    <w:tl2br w:val="nil"/>
                    <w:tr2bl w:val="nil"/>
                  </w:tcBorders>
                  <w:noWrap w:val="0"/>
                  <w:vAlign w:val="center"/>
                </w:tcPr>
                <w:p w14:paraId="42957D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1608" w:type="pct"/>
                  <w:tcBorders>
                    <w:tl2br w:val="nil"/>
                    <w:tr2bl w:val="nil"/>
                  </w:tcBorders>
                  <w:noWrap w:val="0"/>
                  <w:vAlign w:val="center"/>
                </w:tcPr>
                <w:p w14:paraId="7C55211D">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沉砂池采用旋流式沉砂池，两座，地上式构筑物，混凝土结构。沉砂用气提方式提至砂水分离器，进行砂水分离，沉砂池直径Φ=2430mm，配套设置砂水分离器等辅助设备。</w:t>
                  </w:r>
                </w:p>
              </w:tc>
              <w:tc>
                <w:tcPr>
                  <w:tcW w:w="2241" w:type="pct"/>
                  <w:gridSpan w:val="2"/>
                  <w:tcBorders>
                    <w:tl2br w:val="nil"/>
                    <w:tr2bl w:val="nil"/>
                  </w:tcBorders>
                  <w:noWrap w:val="0"/>
                  <w:vAlign w:val="center"/>
                </w:tcPr>
                <w:p w14:paraId="4C8F77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本次利用现有土建设施，更换沉砂池内老旧设备。</w:t>
                  </w:r>
                </w:p>
              </w:tc>
              <w:tc>
                <w:tcPr>
                  <w:tcW w:w="549" w:type="pct"/>
                  <w:vMerge w:val="continue"/>
                  <w:tcBorders>
                    <w:tl2br w:val="nil"/>
                    <w:tr2bl w:val="nil"/>
                  </w:tcBorders>
                  <w:noWrap w:val="0"/>
                  <w:vAlign w:val="center"/>
                </w:tcPr>
                <w:p w14:paraId="781E761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Cs/>
                      <w:color w:val="000000" w:themeColor="text1"/>
                      <w:sz w:val="21"/>
                      <w:szCs w:val="21"/>
                      <w:highlight w:val="none"/>
                      <w:vertAlign w:val="baseline"/>
                      <w:lang w:val="en-US" w:eastAsia="zh-CN"/>
                      <w14:textFill>
                        <w14:solidFill>
                          <w14:schemeClr w14:val="tx1"/>
                        </w14:solidFill>
                      </w14:textFill>
                    </w:rPr>
                  </w:pPr>
                </w:p>
              </w:tc>
            </w:tr>
            <w:tr w14:paraId="63B4E4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continue"/>
                  <w:tcBorders>
                    <w:tl2br w:val="nil"/>
                    <w:tr2bl w:val="nil"/>
                  </w:tcBorders>
                  <w:noWrap w:val="0"/>
                  <w:vAlign w:val="center"/>
                </w:tcPr>
                <w:p w14:paraId="39609F5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142" w:type="pct"/>
                  <w:vMerge w:val="continue"/>
                  <w:tcBorders>
                    <w:tl2br w:val="nil"/>
                    <w:tr2bl w:val="nil"/>
                  </w:tcBorders>
                  <w:noWrap w:val="0"/>
                  <w:vAlign w:val="center"/>
                </w:tcPr>
                <w:p w14:paraId="393F5E3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290" w:type="pct"/>
                  <w:vMerge w:val="restart"/>
                  <w:tcBorders>
                    <w:tl2br w:val="nil"/>
                    <w:tr2bl w:val="nil"/>
                  </w:tcBorders>
                  <w:noWrap w:val="0"/>
                  <w:vAlign w:val="center"/>
                </w:tcPr>
                <w:p w14:paraId="1F0795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生化处理系统</w:t>
                  </w:r>
                </w:p>
              </w:tc>
              <w:tc>
                <w:tcPr>
                  <w:tcW w:w="1608" w:type="pct"/>
                  <w:vMerge w:val="restart"/>
                  <w:tcBorders>
                    <w:tl2br w:val="nil"/>
                    <w:tr2bl w:val="nil"/>
                  </w:tcBorders>
                  <w:noWrap w:val="0"/>
                  <w:vAlign w:val="center"/>
                </w:tcPr>
                <w:p w14:paraId="6EFB8449">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现状生物池1座，总有效容积11346m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，停留时间8.9h（按3.0万</w:t>
                  </w:r>
                  <w:r>
                    <w:rPr>
                      <w:rFonts w:hint="eastAsia" w:cs="Times New Roman"/>
                      <w:bCs/>
                      <w:color w:val="000000" w:themeColor="text1"/>
                      <w:sz w:val="21"/>
                      <w:szCs w:val="21"/>
                      <w:highlight w:val="none"/>
                      <w:vertAlign w:val="baseline"/>
                      <w:lang w:val="en-US" w:eastAsia="zh-CN"/>
                      <w14:textFill>
                        <w14:solidFill>
                          <w14:schemeClr w14:val="tx1"/>
                        </w14:solidFill>
                      </w14:textFill>
                    </w:rPr>
                    <w:t>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/d核算），其中厌氧池1组，有效容积2025m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，总容积2250m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，有效水深4.5m；缺氧池1组，有效容积2376m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，总容积2592m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，有效水深4.4m；好氧池分为两组并列运行，总有效容积6720m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，有效水深4.7m。现状二沉池型式为辐流式沉淀池，两座，直径=30m，周边深H=4.5m，单座有效容积约2826m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w:t>
                  </w:r>
                  <w:r>
                    <w:rPr>
                      <w:rFonts w:hint="eastAsia" w:cs="Times New Roman"/>
                      <w:bCs/>
                      <w:color w:val="000000" w:themeColor="text1"/>
                      <w:sz w:val="21"/>
                      <w:szCs w:val="21"/>
                      <w:highlight w:val="none"/>
                      <w:vertAlign w:val="baseline"/>
                      <w:lang w:val="en-US" w:eastAsia="zh-CN"/>
                      <w14:textFill>
                        <w14:solidFill>
                          <w14:schemeClr w14:val="tx1"/>
                        </w14:solidFill>
                      </w14:textFill>
                    </w:rPr>
                    <w:t>池体全部利用。</w:t>
                  </w:r>
                </w:p>
              </w:tc>
              <w:tc>
                <w:tcPr>
                  <w:tcW w:w="1414" w:type="pct"/>
                  <w:tcBorders>
                    <w:tl2br w:val="nil"/>
                    <w:tr2bl w:val="nil"/>
                  </w:tcBorders>
                  <w:noWrap w:val="0"/>
                  <w:vAlign w:val="center"/>
                </w:tcPr>
                <w:p w14:paraId="679DC6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厌氧池、缺氧池：在现状好氧池西侧新建厌氧、缺氧池1座，半地下式钢筋混凝土结构，平面总尺寸80.5m×14.0m，池内设置推流器及回流泵等设备。</w:t>
                  </w:r>
                </w:p>
              </w:tc>
              <w:tc>
                <w:tcPr>
                  <w:tcW w:w="827" w:type="pct"/>
                  <w:vMerge w:val="restart"/>
                  <w:tcBorders>
                    <w:tl2br w:val="nil"/>
                    <w:tr2bl w:val="nil"/>
                  </w:tcBorders>
                  <w:noWrap w:val="0"/>
                  <w:vAlign w:val="center"/>
                </w:tcPr>
                <w:p w14:paraId="61318E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将现状厌氧、缺氧池改造为缺氧池，在其前端新建厌氧、缺氧池；在现状好氧池池容基础上，将二沉池改造为好氧池；在现状处理设施后端新建后缺氧池、MBR膜池及膜设备间。</w:t>
                  </w:r>
                </w:p>
                <w:p w14:paraId="17E444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上述新建及改造后的每座生化处理池体（含厌氧池、缺氧池、好氧池、后缺氧池、MBR膜池）均采用单池双格设计，每格对应处理规模15000m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eastAsia" w:cs="Times New Roman"/>
                      <w:bCs/>
                      <w:color w:val="000000" w:themeColor="text1"/>
                      <w:sz w:val="21"/>
                      <w:szCs w:val="21"/>
                      <w:highlight w:val="none"/>
                      <w:vertAlign w:val="baseline"/>
                      <w:lang w:val="en-US" w:eastAsia="zh-CN"/>
                      <w14:textFill>
                        <w14:solidFill>
                          <w14:schemeClr w14:val="tx1"/>
                        </w14:solidFill>
                      </w14:textFill>
                    </w:rPr>
                    <w:t>/d。日常工况下仅启用各池体中的一格，维持15000m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eastAsia" w:cs="Times New Roman"/>
                      <w:bCs/>
                      <w:color w:val="000000" w:themeColor="text1"/>
                      <w:sz w:val="21"/>
                      <w:szCs w:val="21"/>
                      <w:highlight w:val="none"/>
                      <w:vertAlign w:val="baseline"/>
                      <w:lang w:val="en-US" w:eastAsia="zh-CN"/>
                      <w14:textFill>
                        <w14:solidFill>
                          <w14:schemeClr w14:val="tx1"/>
                        </w14:solidFill>
                      </w14:textFill>
                    </w:rPr>
                    <w:t>/d处理规模；季节性生产高峰期同步启用各池体双格，处理规模提升至30000m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eastAsia" w:cs="Times New Roman"/>
                      <w:bCs/>
                      <w:color w:val="000000" w:themeColor="text1"/>
                      <w:sz w:val="21"/>
                      <w:szCs w:val="21"/>
                      <w:highlight w:val="none"/>
                      <w:vertAlign w:val="baseline"/>
                      <w:lang w:val="en-US" w:eastAsia="zh-CN"/>
                      <w14:textFill>
                        <w14:solidFill>
                          <w14:schemeClr w14:val="tx1"/>
                        </w14:solidFill>
                      </w14:textFill>
                    </w:rPr>
                    <w:t>/d满负荷运行，可灵活适配水量季节性波动需求。</w:t>
                  </w:r>
                </w:p>
              </w:tc>
              <w:tc>
                <w:tcPr>
                  <w:tcW w:w="549" w:type="pct"/>
                  <w:tcBorders>
                    <w:tl2br w:val="nil"/>
                    <w:tr2bl w:val="nil"/>
                  </w:tcBorders>
                  <w:noWrap w:val="0"/>
                  <w:vAlign w:val="center"/>
                </w:tcPr>
                <w:p w14:paraId="5D0CDE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新建</w:t>
                  </w:r>
                </w:p>
              </w:tc>
            </w:tr>
            <w:tr w14:paraId="570907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continue"/>
                  <w:tcBorders>
                    <w:tl2br w:val="nil"/>
                    <w:tr2bl w:val="nil"/>
                  </w:tcBorders>
                  <w:noWrap w:val="0"/>
                  <w:vAlign w:val="center"/>
                </w:tcPr>
                <w:p w14:paraId="2D61FA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142" w:type="pct"/>
                  <w:vMerge w:val="continue"/>
                  <w:tcBorders>
                    <w:tl2br w:val="nil"/>
                    <w:tr2bl w:val="nil"/>
                  </w:tcBorders>
                  <w:noWrap w:val="0"/>
                  <w:vAlign w:val="center"/>
                </w:tcPr>
                <w:p w14:paraId="127D729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290" w:type="pct"/>
                  <w:vMerge w:val="continue"/>
                  <w:tcBorders>
                    <w:tl2br w:val="nil"/>
                    <w:tr2bl w:val="nil"/>
                  </w:tcBorders>
                  <w:noWrap w:val="0"/>
                  <w:vAlign w:val="center"/>
                </w:tcPr>
                <w:p w14:paraId="09EFC7B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1608" w:type="pct"/>
                  <w:vMerge w:val="continue"/>
                  <w:tcBorders>
                    <w:tl2br w:val="nil"/>
                    <w:tr2bl w:val="nil"/>
                  </w:tcBorders>
                  <w:noWrap w:val="0"/>
                  <w:vAlign w:val="center"/>
                </w:tcPr>
                <w:p w14:paraId="2B1D521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1414" w:type="pct"/>
                  <w:tcBorders>
                    <w:tl2br w:val="nil"/>
                    <w:tr2bl w:val="nil"/>
                  </w:tcBorders>
                  <w:noWrap w:val="0"/>
                  <w:vAlign w:val="center"/>
                </w:tcPr>
                <w:p w14:paraId="663AE901">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缺氧池：通过调整污泥回流方式，将现状厌氧池、缺氧池改为缺氧池，改造后缺氧池容积为4401m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eastAsia" w:cs="Times New Roman"/>
                      <w:bCs/>
                      <w:color w:val="000000" w:themeColor="text1"/>
                      <w:sz w:val="21"/>
                      <w:szCs w:val="21"/>
                      <w:highlight w:val="none"/>
                      <w:vertAlign w:val="baseline"/>
                      <w:lang w:val="en-US" w:eastAsia="zh-CN"/>
                      <w14:textFill>
                        <w14:solidFill>
                          <w14:schemeClr w14:val="tx1"/>
                        </w14:solidFill>
                      </w14:textFill>
                    </w:rPr>
                    <w:t>，停留时间3.52h。改造后缺氧池与新建缺氧池合计有效容积为9192m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eastAsia" w:cs="Times New Roman"/>
                      <w:bCs/>
                      <w:color w:val="000000" w:themeColor="text1"/>
                      <w:sz w:val="21"/>
                      <w:szCs w:val="21"/>
                      <w:highlight w:val="none"/>
                      <w:vertAlign w:val="baseline"/>
                      <w:lang w:val="en-US" w:eastAsia="zh-CN"/>
                      <w14:textFill>
                        <w14:solidFill>
                          <w14:schemeClr w14:val="tx1"/>
                        </w14:solidFill>
                      </w14:textFill>
                    </w:rPr>
                    <w:t>，缺氧区总停留时间7.35h。同时更换池内老旧设备。</w:t>
                  </w:r>
                </w:p>
              </w:tc>
              <w:tc>
                <w:tcPr>
                  <w:tcW w:w="827" w:type="pct"/>
                  <w:vMerge w:val="continue"/>
                  <w:tcBorders>
                    <w:tl2br w:val="nil"/>
                    <w:tr2bl w:val="nil"/>
                  </w:tcBorders>
                  <w:noWrap w:val="0"/>
                  <w:vAlign w:val="center"/>
                </w:tcPr>
                <w:p w14:paraId="02B3351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549" w:type="pct"/>
                  <w:tcBorders>
                    <w:tl2br w:val="nil"/>
                    <w:tr2bl w:val="nil"/>
                  </w:tcBorders>
                  <w:noWrap w:val="0"/>
                  <w:vAlign w:val="center"/>
                </w:tcPr>
                <w:p w14:paraId="20055ED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原厌氧池、缺氧池改造</w:t>
                  </w:r>
                </w:p>
              </w:tc>
            </w:tr>
            <w:tr w14:paraId="380D75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continue"/>
                  <w:tcBorders>
                    <w:tl2br w:val="nil"/>
                    <w:tr2bl w:val="nil"/>
                  </w:tcBorders>
                  <w:noWrap w:val="0"/>
                  <w:vAlign w:val="center"/>
                </w:tcPr>
                <w:p w14:paraId="143026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142" w:type="pct"/>
                  <w:vMerge w:val="continue"/>
                  <w:tcBorders>
                    <w:tl2br w:val="nil"/>
                    <w:tr2bl w:val="nil"/>
                  </w:tcBorders>
                  <w:noWrap w:val="0"/>
                  <w:vAlign w:val="center"/>
                </w:tcPr>
                <w:p w14:paraId="0477725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290" w:type="pct"/>
                  <w:vMerge w:val="continue"/>
                  <w:tcBorders>
                    <w:tl2br w:val="nil"/>
                    <w:tr2bl w:val="nil"/>
                  </w:tcBorders>
                  <w:noWrap w:val="0"/>
                  <w:vAlign w:val="center"/>
                </w:tcPr>
                <w:p w14:paraId="14D6E7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1608" w:type="pct"/>
                  <w:vMerge w:val="continue"/>
                  <w:tcBorders>
                    <w:tl2br w:val="nil"/>
                    <w:tr2bl w:val="nil"/>
                  </w:tcBorders>
                  <w:noWrap w:val="0"/>
                  <w:vAlign w:val="center"/>
                </w:tcPr>
                <w:p w14:paraId="1F1382F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1414" w:type="pct"/>
                  <w:tcBorders>
                    <w:tl2br w:val="nil"/>
                    <w:tr2bl w:val="nil"/>
                  </w:tcBorders>
                  <w:noWrap w:val="0"/>
                  <w:vAlign w:val="center"/>
                </w:tcPr>
                <w:p w14:paraId="49DD0B82">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好氧池：利用好氧池池容的基础上，将现有两个二沉池也改造为好氧池，拆除二沉池刮泥机等设备，在池内安装曝气器，同时更换回流泵站水泵，以弥补二沉池进水管能力不足。改造后好氧池总有效容积为12372m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eastAsia" w:cs="Times New Roman"/>
                      <w:bCs/>
                      <w:color w:val="000000" w:themeColor="text1"/>
                      <w:sz w:val="21"/>
                      <w:szCs w:val="21"/>
                      <w:highlight w:val="none"/>
                      <w:vertAlign w:val="baseline"/>
                      <w:lang w:val="en-US" w:eastAsia="zh-CN"/>
                      <w14:textFill>
                        <w14:solidFill>
                          <w14:schemeClr w14:val="tx1"/>
                        </w14:solidFill>
                      </w14:textFill>
                    </w:rPr>
                    <w:t>，好氧区总停留时间9.9h。缺氧区出水进入好氧区，同时进入的还有膜池的回流污泥。</w:t>
                  </w:r>
                </w:p>
              </w:tc>
              <w:tc>
                <w:tcPr>
                  <w:tcW w:w="827" w:type="pct"/>
                  <w:vMerge w:val="continue"/>
                  <w:tcBorders>
                    <w:tl2br w:val="nil"/>
                    <w:tr2bl w:val="nil"/>
                  </w:tcBorders>
                  <w:noWrap w:val="0"/>
                  <w:vAlign w:val="center"/>
                </w:tcPr>
                <w:p w14:paraId="434AB4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549" w:type="pct"/>
                  <w:tcBorders>
                    <w:tl2br w:val="nil"/>
                    <w:tr2bl w:val="nil"/>
                  </w:tcBorders>
                  <w:noWrap w:val="0"/>
                  <w:vAlign w:val="center"/>
                </w:tcPr>
                <w:p w14:paraId="7DCD07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原好氧池+二沉池改造+回流泵站改造</w:t>
                  </w:r>
                </w:p>
              </w:tc>
            </w:tr>
            <w:tr w14:paraId="546034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continue"/>
                  <w:tcBorders>
                    <w:tl2br w:val="nil"/>
                    <w:tr2bl w:val="nil"/>
                  </w:tcBorders>
                  <w:noWrap w:val="0"/>
                  <w:vAlign w:val="center"/>
                </w:tcPr>
                <w:p w14:paraId="75F968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142" w:type="pct"/>
                  <w:vMerge w:val="continue"/>
                  <w:tcBorders>
                    <w:tl2br w:val="nil"/>
                    <w:tr2bl w:val="nil"/>
                  </w:tcBorders>
                  <w:noWrap w:val="0"/>
                  <w:vAlign w:val="center"/>
                </w:tcPr>
                <w:p w14:paraId="13BF81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290" w:type="pct"/>
                  <w:vMerge w:val="continue"/>
                  <w:tcBorders>
                    <w:tl2br w:val="nil"/>
                    <w:tr2bl w:val="nil"/>
                  </w:tcBorders>
                  <w:noWrap w:val="0"/>
                  <w:vAlign w:val="center"/>
                </w:tcPr>
                <w:p w14:paraId="444C8E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1608" w:type="pct"/>
                  <w:vMerge w:val="continue"/>
                  <w:tcBorders>
                    <w:tl2br w:val="nil"/>
                    <w:tr2bl w:val="nil"/>
                  </w:tcBorders>
                  <w:noWrap w:val="0"/>
                  <w:vAlign w:val="center"/>
                </w:tcPr>
                <w:p w14:paraId="731A1A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1414" w:type="pct"/>
                  <w:tcBorders>
                    <w:tl2br w:val="nil"/>
                    <w:tr2bl w:val="nil"/>
                  </w:tcBorders>
                  <w:noWrap w:val="0"/>
                  <w:vAlign w:val="center"/>
                </w:tcPr>
                <w:p w14:paraId="10D263D9">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eastAsia"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后缺氧池、MBR膜池及膜车间：</w:t>
                  </w:r>
                </w:p>
                <w:p w14:paraId="7C80066F">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eastAsia" w:cs="Times New Roman"/>
                      <w:bCs/>
                      <w:color w:val="000000" w:themeColor="text1"/>
                      <w:sz w:val="21"/>
                      <w:szCs w:val="21"/>
                      <w:highlight w:val="none"/>
                      <w:vertAlign w:val="baseline"/>
                      <w:lang w:val="en-US" w:eastAsia="zh-CN"/>
                      <w14:textFill>
                        <w14:solidFill>
                          <w14:schemeClr w14:val="tx1"/>
                        </w14:solidFill>
                      </w14:textFill>
                    </w:rPr>
                  </w:pPr>
                  <w:r>
                    <w:rPr>
                      <w:rFonts w:hint="eastAsia" w:ascii="宋体" w:hAnsi="宋体" w:eastAsia="宋体" w:cs="宋体"/>
                      <w:bCs/>
                      <w:color w:val="000000" w:themeColor="text1"/>
                      <w:sz w:val="21"/>
                      <w:szCs w:val="21"/>
                      <w:highlight w:val="none"/>
                      <w:vertAlign w:val="baseline"/>
                      <w:lang w:val="en-US" w:eastAsia="zh-CN"/>
                      <w14:textFill>
                        <w14:solidFill>
                          <w14:schemeClr w14:val="tx1"/>
                        </w14:solidFill>
                      </w14:textFill>
                    </w:rPr>
                    <w:t>①</w:t>
                  </w:r>
                  <w:r>
                    <w:rPr>
                      <w:rFonts w:hint="eastAsia" w:cs="Times New Roman"/>
                      <w:bCs/>
                      <w:color w:val="000000" w:themeColor="text1"/>
                      <w:sz w:val="21"/>
                      <w:szCs w:val="21"/>
                      <w:highlight w:val="none"/>
                      <w:vertAlign w:val="baseline"/>
                      <w:lang w:val="en-US" w:eastAsia="zh-CN"/>
                      <w14:textFill>
                        <w14:solidFill>
                          <w14:schemeClr w14:val="tx1"/>
                        </w14:solidFill>
                      </w14:textFill>
                    </w:rPr>
                    <w:t>新建后缺氧池与MBR膜池及膜车间1座，采用合建方式，总尺寸为52.5m×43.2m，位于厂区北侧。</w:t>
                  </w:r>
                </w:p>
                <w:p w14:paraId="440F62B5">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eastAsia" w:cs="Times New Roman"/>
                      <w:bCs/>
                      <w:color w:val="000000" w:themeColor="text1"/>
                      <w:sz w:val="21"/>
                      <w:szCs w:val="21"/>
                      <w:highlight w:val="none"/>
                      <w:vertAlign w:val="baseline"/>
                      <w:lang w:val="en-US" w:eastAsia="zh-CN"/>
                      <w14:textFill>
                        <w14:solidFill>
                          <w14:schemeClr w14:val="tx1"/>
                        </w14:solidFill>
                      </w14:textFill>
                    </w:rPr>
                  </w:pPr>
                  <w:r>
                    <w:rPr>
                      <w:rFonts w:hint="eastAsia" w:ascii="宋体" w:hAnsi="宋体" w:eastAsia="宋体" w:cs="宋体"/>
                      <w:bCs/>
                      <w:color w:val="000000" w:themeColor="text1"/>
                      <w:sz w:val="21"/>
                      <w:szCs w:val="21"/>
                      <w:highlight w:val="none"/>
                      <w:vertAlign w:val="baseline"/>
                      <w:lang w:val="en-US" w:eastAsia="zh-CN"/>
                      <w14:textFill>
                        <w14:solidFill>
                          <w14:schemeClr w14:val="tx1"/>
                        </w14:solidFill>
                      </w14:textFill>
                    </w:rPr>
                    <w:t>②</w:t>
                  </w:r>
                  <w:r>
                    <w:rPr>
                      <w:rFonts w:hint="eastAsia" w:cs="Times New Roman"/>
                      <w:bCs/>
                      <w:color w:val="000000" w:themeColor="text1"/>
                      <w:sz w:val="21"/>
                      <w:szCs w:val="21"/>
                      <w:highlight w:val="none"/>
                      <w:vertAlign w:val="baseline"/>
                      <w:lang w:val="en-US" w:eastAsia="zh-CN"/>
                      <w14:textFill>
                        <w14:solidFill>
                          <w14:schemeClr w14:val="tx1"/>
                        </w14:solidFill>
                      </w14:textFill>
                    </w:rPr>
                    <w:t>后缺氧池：新建1座平面净尺寸10m×42.2m的后缺氧池，半地下钢砼结构，池深7m，有效水深5.8m，水力停留时间1.3h。</w:t>
                  </w:r>
                </w:p>
                <w:p w14:paraId="00F258AB">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eastAsia" w:cs="Times New Roman"/>
                      <w:bCs/>
                      <w:color w:val="000000" w:themeColor="text1"/>
                      <w:sz w:val="21"/>
                      <w:szCs w:val="21"/>
                      <w:highlight w:val="none"/>
                      <w:vertAlign w:val="baseline"/>
                      <w:lang w:val="en-US" w:eastAsia="zh-CN"/>
                      <w14:textFill>
                        <w14:solidFill>
                          <w14:schemeClr w14:val="tx1"/>
                        </w14:solidFill>
                      </w14:textFill>
                    </w:rPr>
                  </w:pPr>
                  <w:r>
                    <w:rPr>
                      <w:rFonts w:hint="eastAsia" w:ascii="宋体" w:hAnsi="宋体" w:eastAsia="宋体" w:cs="宋体"/>
                      <w:bCs/>
                      <w:color w:val="000000" w:themeColor="text1"/>
                      <w:sz w:val="21"/>
                      <w:szCs w:val="21"/>
                      <w:highlight w:val="none"/>
                      <w:vertAlign w:val="baseline"/>
                      <w:lang w:val="en-US" w:eastAsia="zh-CN"/>
                      <w14:textFill>
                        <w14:solidFill>
                          <w14:schemeClr w14:val="tx1"/>
                        </w14:solidFill>
                      </w14:textFill>
                    </w:rPr>
                    <w:t>③</w:t>
                  </w:r>
                  <w:r>
                    <w:rPr>
                      <w:rFonts w:hint="eastAsia" w:cs="Times New Roman"/>
                      <w:bCs/>
                      <w:color w:val="000000" w:themeColor="text1"/>
                      <w:sz w:val="21"/>
                      <w:szCs w:val="21"/>
                      <w:highlight w:val="none"/>
                      <w:vertAlign w:val="baseline"/>
                      <w:lang w:val="en-US" w:eastAsia="zh-CN"/>
                      <w14:textFill>
                        <w14:solidFill>
                          <w14:schemeClr w14:val="tx1"/>
                        </w14:solidFill>
                      </w14:textFill>
                    </w:rPr>
                    <w:t>MBR膜池：新建1座，平面净尺寸20.2m×42.2m，半地下式钢砼结构。</w:t>
                  </w:r>
                </w:p>
                <w:p w14:paraId="24ECB59A">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cs="Times New Roman"/>
                      <w:bCs/>
                      <w:color w:val="000000" w:themeColor="text1"/>
                      <w:sz w:val="21"/>
                      <w:szCs w:val="21"/>
                      <w:highlight w:val="none"/>
                      <w:vertAlign w:val="baseline"/>
                      <w:lang w:val="en-US" w:eastAsia="zh-CN"/>
                      <w14:textFill>
                        <w14:solidFill>
                          <w14:schemeClr w14:val="tx1"/>
                        </w14:solidFill>
                      </w14:textFill>
                    </w:rPr>
                  </w:pPr>
                  <w:r>
                    <w:rPr>
                      <w:rFonts w:hint="eastAsia" w:ascii="宋体" w:hAnsi="宋体" w:eastAsia="宋体" w:cs="宋体"/>
                      <w:bCs/>
                      <w:color w:val="000000" w:themeColor="text1"/>
                      <w:sz w:val="21"/>
                      <w:szCs w:val="21"/>
                      <w:highlight w:val="none"/>
                      <w:vertAlign w:val="baseline"/>
                      <w:lang w:val="en-US" w:eastAsia="zh-CN"/>
                      <w14:textFill>
                        <w14:solidFill>
                          <w14:schemeClr w14:val="tx1"/>
                        </w14:solidFill>
                      </w14:textFill>
                    </w:rPr>
                    <w:t>④</w:t>
                  </w:r>
                  <w:r>
                    <w:rPr>
                      <w:rFonts w:hint="eastAsia" w:cs="Times New Roman"/>
                      <w:bCs/>
                      <w:color w:val="000000" w:themeColor="text1"/>
                      <w:sz w:val="21"/>
                      <w:szCs w:val="21"/>
                      <w:highlight w:val="none"/>
                      <w:vertAlign w:val="baseline"/>
                      <w:lang w:val="en-US" w:eastAsia="zh-CN"/>
                      <w14:textFill>
                        <w14:solidFill>
                          <w14:schemeClr w14:val="tx1"/>
                        </w14:solidFill>
                      </w14:textFill>
                    </w:rPr>
                    <w:t>MBR膜设备间：新建1座MBR膜设备间，平面尺寸43.2m×20.8m，1座，为半地下式钢砼+钢结构。</w:t>
                  </w:r>
                </w:p>
              </w:tc>
              <w:tc>
                <w:tcPr>
                  <w:tcW w:w="827" w:type="pct"/>
                  <w:vMerge w:val="continue"/>
                  <w:tcBorders>
                    <w:tl2br w:val="nil"/>
                    <w:tr2bl w:val="nil"/>
                  </w:tcBorders>
                  <w:noWrap w:val="0"/>
                  <w:vAlign w:val="center"/>
                </w:tcPr>
                <w:p w14:paraId="6645D4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549" w:type="pct"/>
                  <w:tcBorders>
                    <w:tl2br w:val="nil"/>
                    <w:tr2bl w:val="nil"/>
                  </w:tcBorders>
                  <w:noWrap w:val="0"/>
                  <w:vAlign w:val="center"/>
                </w:tcPr>
                <w:p w14:paraId="5DB9B12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新建</w:t>
                  </w:r>
                </w:p>
              </w:tc>
            </w:tr>
            <w:tr w14:paraId="3EE28D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continue"/>
                  <w:tcBorders>
                    <w:tl2br w:val="nil"/>
                    <w:tr2bl w:val="nil"/>
                  </w:tcBorders>
                  <w:noWrap w:val="0"/>
                  <w:vAlign w:val="center"/>
                </w:tcPr>
                <w:p w14:paraId="4D4FD8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142" w:type="pct"/>
                  <w:vMerge w:val="continue"/>
                  <w:tcBorders>
                    <w:tl2br w:val="nil"/>
                    <w:tr2bl w:val="nil"/>
                  </w:tcBorders>
                  <w:noWrap w:val="0"/>
                  <w:vAlign w:val="center"/>
                </w:tcPr>
                <w:p w14:paraId="24E1860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290" w:type="pct"/>
                  <w:tcBorders>
                    <w:tl2br w:val="nil"/>
                    <w:tr2bl w:val="nil"/>
                  </w:tcBorders>
                  <w:noWrap w:val="0"/>
                  <w:vAlign w:val="center"/>
                </w:tcPr>
                <w:p w14:paraId="72EBCC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消毒系统</w:t>
                  </w:r>
                </w:p>
              </w:tc>
              <w:tc>
                <w:tcPr>
                  <w:tcW w:w="1608" w:type="pct"/>
                  <w:tcBorders>
                    <w:tl2br w:val="nil"/>
                    <w:tr2bl w:val="nil"/>
                  </w:tcBorders>
                  <w:noWrap w:val="0"/>
                  <w:vAlign w:val="center"/>
                </w:tcPr>
                <w:p w14:paraId="5756E7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采用次氯酸钠消毒</w:t>
                  </w:r>
                </w:p>
              </w:tc>
              <w:tc>
                <w:tcPr>
                  <w:tcW w:w="2241" w:type="pct"/>
                  <w:gridSpan w:val="2"/>
                  <w:tcBorders>
                    <w:tl2br w:val="nil"/>
                    <w:tr2bl w:val="nil"/>
                  </w:tcBorders>
                  <w:noWrap w:val="0"/>
                  <w:vAlign w:val="center"/>
                </w:tcPr>
                <w:p w14:paraId="386E51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消毒方式不变，更换次氯酸钠消毒设备，包括卸药泵、次氯酸钠储罐（容积10m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eastAsia" w:cs="Times New Roman"/>
                      <w:bCs/>
                      <w:color w:val="000000" w:themeColor="text1"/>
                      <w:sz w:val="21"/>
                      <w:szCs w:val="21"/>
                      <w:highlight w:val="none"/>
                      <w:vertAlign w:val="baseline"/>
                      <w:lang w:val="en-US" w:eastAsia="zh-CN"/>
                      <w14:textFill>
                        <w14:solidFill>
                          <w14:schemeClr w14:val="tx1"/>
                        </w14:solidFill>
                      </w14:textFill>
                    </w:rPr>
                    <w:t>）及计量泵。</w:t>
                  </w:r>
                </w:p>
              </w:tc>
              <w:tc>
                <w:tcPr>
                  <w:tcW w:w="549" w:type="pct"/>
                  <w:tcBorders>
                    <w:tl2br w:val="nil"/>
                    <w:tr2bl w:val="nil"/>
                  </w:tcBorders>
                  <w:noWrap w:val="0"/>
                  <w:vAlign w:val="center"/>
                </w:tcPr>
                <w:p w14:paraId="11EFF1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更换设备</w:t>
                  </w:r>
                </w:p>
              </w:tc>
            </w:tr>
            <w:tr w14:paraId="4B70AA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continue"/>
                  <w:tcBorders>
                    <w:tl2br w:val="nil"/>
                    <w:tr2bl w:val="nil"/>
                  </w:tcBorders>
                  <w:noWrap w:val="0"/>
                  <w:vAlign w:val="center"/>
                </w:tcPr>
                <w:p w14:paraId="697B594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142" w:type="pct"/>
                  <w:vMerge w:val="continue"/>
                  <w:tcBorders>
                    <w:tl2br w:val="nil"/>
                    <w:tr2bl w:val="nil"/>
                  </w:tcBorders>
                  <w:noWrap w:val="0"/>
                  <w:vAlign w:val="center"/>
                </w:tcPr>
                <w:p w14:paraId="640A4F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290" w:type="pct"/>
                  <w:tcBorders>
                    <w:tl2br w:val="nil"/>
                    <w:tr2bl w:val="nil"/>
                  </w:tcBorders>
                  <w:noWrap w:val="0"/>
                  <w:vAlign w:val="center"/>
                </w:tcPr>
                <w:p w14:paraId="39FF90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加药系统</w:t>
                  </w:r>
                </w:p>
              </w:tc>
              <w:tc>
                <w:tcPr>
                  <w:tcW w:w="1608" w:type="pct"/>
                  <w:tcBorders>
                    <w:tl2br w:val="nil"/>
                    <w:tr2bl w:val="nil"/>
                  </w:tcBorders>
                  <w:noWrap w:val="0"/>
                  <w:vAlign w:val="center"/>
                </w:tcPr>
                <w:p w14:paraId="5AD243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采用混凝剂为聚合氯化铝（PAC）。</w:t>
                  </w:r>
                </w:p>
              </w:tc>
              <w:tc>
                <w:tcPr>
                  <w:tcW w:w="2241" w:type="pct"/>
                  <w:gridSpan w:val="2"/>
                  <w:tcBorders>
                    <w:tl2br w:val="nil"/>
                    <w:tr2bl w:val="nil"/>
                  </w:tcBorders>
                  <w:noWrap w:val="0"/>
                  <w:vAlign w:val="center"/>
                </w:tcPr>
                <w:p w14:paraId="1F7582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混凝剂不变，仅更换PAC及碳源投加设备。</w:t>
                  </w:r>
                </w:p>
              </w:tc>
              <w:tc>
                <w:tcPr>
                  <w:tcW w:w="549" w:type="pct"/>
                  <w:tcBorders>
                    <w:tl2br w:val="nil"/>
                    <w:tr2bl w:val="nil"/>
                  </w:tcBorders>
                  <w:noWrap w:val="0"/>
                  <w:vAlign w:val="center"/>
                </w:tcPr>
                <w:p w14:paraId="282340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更换设备</w:t>
                  </w:r>
                </w:p>
              </w:tc>
            </w:tr>
            <w:tr w14:paraId="5C4FBF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continue"/>
                  <w:tcBorders>
                    <w:tl2br w:val="nil"/>
                    <w:tr2bl w:val="nil"/>
                  </w:tcBorders>
                  <w:noWrap w:val="0"/>
                  <w:vAlign w:val="center"/>
                </w:tcPr>
                <w:p w14:paraId="5D2AFC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142" w:type="pct"/>
                  <w:vMerge w:val="continue"/>
                  <w:tcBorders>
                    <w:tl2br w:val="nil"/>
                    <w:tr2bl w:val="nil"/>
                  </w:tcBorders>
                  <w:noWrap w:val="0"/>
                  <w:vAlign w:val="center"/>
                </w:tcPr>
                <w:p w14:paraId="18E971D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290" w:type="pct"/>
                  <w:tcBorders>
                    <w:tl2br w:val="nil"/>
                    <w:tr2bl w:val="nil"/>
                  </w:tcBorders>
                  <w:noWrap w:val="0"/>
                  <w:vAlign w:val="center"/>
                </w:tcPr>
                <w:p w14:paraId="42E78B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鼓风机房</w:t>
                  </w:r>
                </w:p>
              </w:tc>
              <w:tc>
                <w:tcPr>
                  <w:tcW w:w="1608" w:type="pct"/>
                  <w:tcBorders>
                    <w:tl2br w:val="nil"/>
                    <w:tr2bl w:val="nil"/>
                  </w:tcBorders>
                  <w:noWrap w:val="0"/>
                  <w:vAlign w:val="center"/>
                </w:tcPr>
                <w:p w14:paraId="1AC516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鼓风机房配备5台罗茨风机。</w:t>
                  </w:r>
                </w:p>
              </w:tc>
              <w:tc>
                <w:tcPr>
                  <w:tcW w:w="2241" w:type="pct"/>
                  <w:gridSpan w:val="2"/>
                  <w:tcBorders>
                    <w:tl2br w:val="nil"/>
                    <w:tr2bl w:val="nil"/>
                  </w:tcBorders>
                  <w:noWrap w:val="0"/>
                  <w:vAlign w:val="center"/>
                </w:tcPr>
                <w:p w14:paraId="30439C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本次拆除3台罗茨风机，更换为空气悬浮风机。</w:t>
                  </w:r>
                </w:p>
              </w:tc>
              <w:tc>
                <w:tcPr>
                  <w:tcW w:w="549" w:type="pct"/>
                  <w:tcBorders>
                    <w:tl2br w:val="nil"/>
                    <w:tr2bl w:val="nil"/>
                  </w:tcBorders>
                  <w:noWrap w:val="0"/>
                  <w:vAlign w:val="center"/>
                </w:tcPr>
                <w:p w14:paraId="7750782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更换设备</w:t>
                  </w:r>
                </w:p>
              </w:tc>
            </w:tr>
            <w:tr w14:paraId="019D00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continue"/>
                  <w:tcBorders>
                    <w:tl2br w:val="nil"/>
                    <w:tr2bl w:val="nil"/>
                  </w:tcBorders>
                  <w:noWrap w:val="0"/>
                  <w:vAlign w:val="center"/>
                </w:tcPr>
                <w:p w14:paraId="431FEC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142" w:type="pct"/>
                  <w:vMerge w:val="continue"/>
                  <w:tcBorders>
                    <w:tl2br w:val="nil"/>
                    <w:tr2bl w:val="nil"/>
                  </w:tcBorders>
                  <w:noWrap w:val="0"/>
                  <w:vAlign w:val="center"/>
                </w:tcPr>
                <w:p w14:paraId="6E85CF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290" w:type="pct"/>
                  <w:tcBorders>
                    <w:tl2br w:val="nil"/>
                    <w:tr2bl w:val="nil"/>
                  </w:tcBorders>
                  <w:noWrap w:val="0"/>
                  <w:vAlign w:val="center"/>
                </w:tcPr>
                <w:p w14:paraId="4D8B32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污泥脱水机房</w:t>
                  </w:r>
                </w:p>
              </w:tc>
              <w:tc>
                <w:tcPr>
                  <w:tcW w:w="1608" w:type="pct"/>
                  <w:tcBorders>
                    <w:tl2br w:val="nil"/>
                    <w:tr2bl w:val="nil"/>
                  </w:tcBorders>
                  <w:noWrap w:val="0"/>
                  <w:vAlign w:val="center"/>
                </w:tcPr>
                <w:p w14:paraId="615F5D80">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脱水机房配备自动箱带式压滤机3台及相应的加药系统、自控系统。污泥处理量为湿污泥=37.5-49m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/h，污泥绝干量150-312kg.ds/h。</w:t>
                  </w:r>
                </w:p>
              </w:tc>
              <w:tc>
                <w:tcPr>
                  <w:tcW w:w="2241" w:type="pct"/>
                  <w:gridSpan w:val="2"/>
                  <w:tcBorders>
                    <w:tl2br w:val="nil"/>
                    <w:tr2bl w:val="nil"/>
                  </w:tcBorders>
                  <w:noWrap w:val="0"/>
                  <w:vAlign w:val="center"/>
                </w:tcPr>
                <w:p w14:paraId="735B27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更换污泥脱水机房设备，污泥处理量为湿污泥=37.5-49</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m</w:t>
                  </w:r>
                  <w:r>
                    <w:rPr>
                      <w:rFonts w:hint="eastAsia"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/h</w:t>
                  </w:r>
                  <w:r>
                    <w:rPr>
                      <w:rFonts w:hint="eastAsia" w:cs="Times New Roman"/>
                      <w:bCs/>
                      <w:color w:val="000000" w:themeColor="text1"/>
                      <w:sz w:val="21"/>
                      <w:szCs w:val="21"/>
                      <w:highlight w:val="none"/>
                      <w:vertAlign w:val="baseline"/>
                      <w:lang w:eastAsia="zh-CN"/>
                      <w14:textFill>
                        <w14:solidFill>
                          <w14:schemeClr w14:val="tx1"/>
                        </w14:solidFill>
                      </w14:textFill>
                    </w:rPr>
                    <w:t>，</w:t>
                  </w:r>
                  <w:r>
                    <w:rPr>
                      <w:rFonts w:hint="eastAsia" w:cs="Times New Roman"/>
                      <w:bCs/>
                      <w:color w:val="000000" w:themeColor="text1"/>
                      <w:sz w:val="21"/>
                      <w:szCs w:val="21"/>
                      <w:highlight w:val="none"/>
                      <w:vertAlign w:val="baseline"/>
                      <w:lang w:val="en-US" w:eastAsia="zh-CN"/>
                      <w14:textFill>
                        <w14:solidFill>
                          <w14:schemeClr w14:val="tx1"/>
                        </w14:solidFill>
                      </w14:textFill>
                    </w:rPr>
                    <w:t>污泥绝干量150-312kg.ds/h。</w:t>
                  </w:r>
                </w:p>
              </w:tc>
              <w:tc>
                <w:tcPr>
                  <w:tcW w:w="549" w:type="pct"/>
                  <w:tcBorders>
                    <w:tl2br w:val="nil"/>
                    <w:tr2bl w:val="nil"/>
                  </w:tcBorders>
                  <w:noWrap w:val="0"/>
                  <w:vAlign w:val="center"/>
                </w:tcPr>
                <w:p w14:paraId="2463B3B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更换设备</w:t>
                  </w:r>
                </w:p>
              </w:tc>
            </w:tr>
            <w:tr w14:paraId="28AB1A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restart"/>
                  <w:tcBorders>
                    <w:tl2br w:val="nil"/>
                    <w:tr2bl w:val="nil"/>
                  </w:tcBorders>
                  <w:noWrap w:val="0"/>
                  <w:vAlign w:val="center"/>
                </w:tcPr>
                <w:p w14:paraId="565F36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辅助工程</w:t>
                  </w:r>
                </w:p>
              </w:tc>
              <w:tc>
                <w:tcPr>
                  <w:tcW w:w="433" w:type="pct"/>
                  <w:gridSpan w:val="2"/>
                  <w:tcBorders>
                    <w:tl2br w:val="nil"/>
                    <w:tr2bl w:val="nil"/>
                  </w:tcBorders>
                  <w:noWrap w:val="0"/>
                  <w:vAlign w:val="center"/>
                </w:tcPr>
                <w:p w14:paraId="1736CF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办公楼</w:t>
                  </w:r>
                </w:p>
              </w:tc>
              <w:tc>
                <w:tcPr>
                  <w:tcW w:w="3849" w:type="pct"/>
                  <w:gridSpan w:val="3"/>
                  <w:tcBorders>
                    <w:tl2br w:val="nil"/>
                    <w:tr2bl w:val="nil"/>
                  </w:tcBorders>
                  <w:noWrap w:val="0"/>
                  <w:vAlign w:val="center"/>
                </w:tcPr>
                <w:p w14:paraId="2CDABE2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现有污水处理厂办公楼为三层，</w:t>
                  </w:r>
                  <w:r>
                    <w:rPr>
                      <w:rFonts w:hint="eastAsia" w:cs="Times New Roman"/>
                      <w:bCs/>
                      <w:color w:val="000000" w:themeColor="text1"/>
                      <w:sz w:val="21"/>
                      <w:szCs w:val="21"/>
                      <w:highlight w:val="none"/>
                      <w:vertAlign w:val="baseline"/>
                      <w:lang w:eastAsia="zh-CN"/>
                      <w14:textFill>
                        <w14:solidFill>
                          <w14:schemeClr w14:val="tx1"/>
                        </w14:solidFill>
                      </w14:textFill>
                    </w:rPr>
                    <w:t>混凝土结构</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，一层为20个房间，现污水处理厂办公人员为10人，占用一层办公用房，其余房间基本闲置。</w:t>
                  </w:r>
                </w:p>
              </w:tc>
              <w:tc>
                <w:tcPr>
                  <w:tcW w:w="549" w:type="pct"/>
                  <w:tcBorders>
                    <w:tl2br w:val="nil"/>
                    <w:tr2bl w:val="nil"/>
                  </w:tcBorders>
                  <w:noWrap w:val="0"/>
                  <w:vAlign w:val="center"/>
                </w:tcPr>
                <w:p w14:paraId="03B9407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依托现有</w:t>
                  </w:r>
                </w:p>
              </w:tc>
            </w:tr>
            <w:tr w14:paraId="0F2B9E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continue"/>
                  <w:tcBorders>
                    <w:tl2br w:val="nil"/>
                    <w:tr2bl w:val="nil"/>
                  </w:tcBorders>
                  <w:noWrap w:val="0"/>
                  <w:vAlign w:val="center"/>
                </w:tcPr>
                <w:p w14:paraId="19FBFB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433" w:type="pct"/>
                  <w:gridSpan w:val="2"/>
                  <w:tcBorders>
                    <w:tl2br w:val="nil"/>
                    <w:tr2bl w:val="nil"/>
                  </w:tcBorders>
                  <w:noWrap w:val="0"/>
                  <w:vAlign w:val="center"/>
                </w:tcPr>
                <w:p w14:paraId="0A3DDD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配电室</w:t>
                  </w:r>
                </w:p>
              </w:tc>
              <w:tc>
                <w:tcPr>
                  <w:tcW w:w="1608" w:type="pct"/>
                  <w:tcBorders>
                    <w:tl2br w:val="nil"/>
                    <w:tr2bl w:val="nil"/>
                  </w:tcBorders>
                  <w:noWrap w:val="0"/>
                  <w:vAlign w:val="center"/>
                </w:tcPr>
                <w:p w14:paraId="691306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现状厂区由2路10kV高压电源作为污水处理厂供电，两路电源1用1备，可以满足二级负荷供电要求。</w:t>
                  </w:r>
                </w:p>
              </w:tc>
              <w:tc>
                <w:tcPr>
                  <w:tcW w:w="2241" w:type="pct"/>
                  <w:gridSpan w:val="2"/>
                  <w:tcBorders>
                    <w:tl2br w:val="nil"/>
                    <w:tr2bl w:val="nil"/>
                  </w:tcBorders>
                  <w:noWrap w:val="0"/>
                  <w:vAlign w:val="center"/>
                </w:tcPr>
                <w:p w14:paraId="7460CE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本</w:t>
                  </w:r>
                  <w:r>
                    <w:rPr>
                      <w:rFonts w:hint="eastAsia" w:cs="Times New Roman"/>
                      <w:bCs/>
                      <w:color w:val="000000" w:themeColor="text1"/>
                      <w:sz w:val="21"/>
                      <w:szCs w:val="21"/>
                      <w:highlight w:val="none"/>
                      <w:vertAlign w:val="baseline"/>
                      <w:lang w:val="en-US" w:eastAsia="zh-CN"/>
                      <w14:textFill>
                        <w14:solidFill>
                          <w14:schemeClr w14:val="tx1"/>
                        </w14:solidFill>
                      </w14:textFill>
                    </w:rPr>
                    <w:t>次扩建</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工程用电负荷拟定为二级负荷，本次改造设备更新类负荷继续利用现状变配电系统，新建厌氧池和MBR车间负荷需新建一台变压器</w:t>
                  </w:r>
                  <w:r>
                    <w:rPr>
                      <w:rFonts w:hint="eastAsia" w:cs="Times New Roman"/>
                      <w:bCs/>
                      <w:color w:val="000000" w:themeColor="text1"/>
                      <w:sz w:val="21"/>
                      <w:szCs w:val="21"/>
                      <w:highlight w:val="none"/>
                      <w:vertAlign w:val="baseline"/>
                      <w:lang w:eastAsia="zh-CN"/>
                      <w14:textFill>
                        <w14:solidFill>
                          <w14:schemeClr w14:val="tx1"/>
                        </w14:solidFill>
                      </w14:textFill>
                    </w:rPr>
                    <w:t>，</w:t>
                  </w:r>
                  <w:r>
                    <w:rPr>
                      <w:rFonts w:hint="eastAsia" w:cs="Times New Roman"/>
                      <w:bCs/>
                      <w:color w:val="000000" w:themeColor="text1"/>
                      <w:sz w:val="21"/>
                      <w:szCs w:val="21"/>
                      <w:highlight w:val="none"/>
                      <w:vertAlign w:val="baseline"/>
                      <w:lang w:val="en-US" w:eastAsia="zh-CN"/>
                      <w14:textFill>
                        <w14:solidFill>
                          <w14:schemeClr w14:val="tx1"/>
                        </w14:solidFill>
                      </w14:textFill>
                    </w:rPr>
                    <w:t>新建变配电室位于MBR膜处理车间内</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。高压电源在原高压配电室增加出线柜获取。室外电缆沿厂区电缆沟敷设。</w:t>
                  </w:r>
                </w:p>
              </w:tc>
              <w:tc>
                <w:tcPr>
                  <w:tcW w:w="549" w:type="pct"/>
                  <w:tcBorders>
                    <w:tl2br w:val="nil"/>
                    <w:tr2bl w:val="nil"/>
                  </w:tcBorders>
                  <w:noWrap w:val="0"/>
                  <w:vAlign w:val="center"/>
                </w:tcPr>
                <w:p w14:paraId="162E39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新建配电室</w:t>
                  </w:r>
                </w:p>
              </w:tc>
            </w:tr>
            <w:tr w14:paraId="67C01D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continue"/>
                  <w:tcBorders>
                    <w:tl2br w:val="nil"/>
                    <w:tr2bl w:val="nil"/>
                  </w:tcBorders>
                  <w:noWrap w:val="0"/>
                  <w:vAlign w:val="center"/>
                </w:tcPr>
                <w:p w14:paraId="241E1D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433" w:type="pct"/>
                  <w:gridSpan w:val="2"/>
                  <w:tcBorders>
                    <w:tl2br w:val="nil"/>
                    <w:tr2bl w:val="nil"/>
                  </w:tcBorders>
                  <w:noWrap w:val="0"/>
                  <w:vAlign w:val="center"/>
                </w:tcPr>
                <w:p w14:paraId="2CC12E7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厂区道路</w:t>
                  </w:r>
                </w:p>
              </w:tc>
              <w:tc>
                <w:tcPr>
                  <w:tcW w:w="1608" w:type="pct"/>
                  <w:tcBorders>
                    <w:tl2br w:val="nil"/>
                    <w:tr2bl w:val="nil"/>
                  </w:tcBorders>
                  <w:noWrap w:val="0"/>
                  <w:vAlign w:val="center"/>
                </w:tcPr>
                <w:p w14:paraId="517484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厂区内路网采用环形方格网布置，主要道路宽度为6.0m，最小转弯半径9m。</w:t>
                  </w:r>
                </w:p>
              </w:tc>
              <w:tc>
                <w:tcPr>
                  <w:tcW w:w="2241" w:type="pct"/>
                  <w:gridSpan w:val="2"/>
                  <w:tcBorders>
                    <w:tl2br w:val="nil"/>
                    <w:tr2bl w:val="nil"/>
                  </w:tcBorders>
                  <w:noWrap w:val="0"/>
                  <w:vAlign w:val="center"/>
                </w:tcPr>
                <w:p w14:paraId="1A455D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本次新增厂区道路740m</w:t>
                  </w:r>
                  <w:r>
                    <w:rPr>
                      <w:rFonts w:hint="eastAsia" w:cs="Times New Roman"/>
                      <w:bCs/>
                      <w:color w:val="000000" w:themeColor="text1"/>
                      <w:sz w:val="21"/>
                      <w:szCs w:val="21"/>
                      <w:highlight w:val="none"/>
                      <w:vertAlign w:val="superscript"/>
                      <w:lang w:val="en-US" w:eastAsia="zh-CN"/>
                      <w14:textFill>
                        <w14:solidFill>
                          <w14:schemeClr w14:val="tx1"/>
                        </w14:solidFill>
                      </w14:textFill>
                    </w:rPr>
                    <w:t>2</w:t>
                  </w:r>
                  <w:r>
                    <w:rPr>
                      <w:rFonts w:hint="eastAsia" w:cs="Times New Roman"/>
                      <w:bCs/>
                      <w:color w:val="000000" w:themeColor="text1"/>
                      <w:sz w:val="21"/>
                      <w:szCs w:val="21"/>
                      <w:highlight w:val="none"/>
                      <w:vertAlign w:val="baseline"/>
                      <w:lang w:val="en-US" w:eastAsia="zh-CN"/>
                      <w14:textFill>
                        <w14:solidFill>
                          <w14:schemeClr w14:val="tx1"/>
                        </w14:solidFill>
                      </w14:textFill>
                    </w:rPr>
                    <w:t>，主要道路宽度为6.0m，最小转弯半径9m。</w:t>
                  </w:r>
                </w:p>
              </w:tc>
              <w:tc>
                <w:tcPr>
                  <w:tcW w:w="549" w:type="pct"/>
                  <w:tcBorders>
                    <w:tl2br w:val="nil"/>
                    <w:tr2bl w:val="nil"/>
                  </w:tcBorders>
                  <w:noWrap w:val="0"/>
                  <w:vAlign w:val="center"/>
                </w:tcPr>
                <w:p w14:paraId="14DFB8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新建部分道路</w:t>
                  </w:r>
                </w:p>
              </w:tc>
            </w:tr>
            <w:tr w14:paraId="77F067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restart"/>
                  <w:tcBorders>
                    <w:tl2br w:val="nil"/>
                    <w:tr2bl w:val="nil"/>
                  </w:tcBorders>
                  <w:noWrap w:val="0"/>
                  <w:vAlign w:val="center"/>
                </w:tcPr>
                <w:p w14:paraId="0BE8095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公用工程</w:t>
                  </w:r>
                </w:p>
              </w:tc>
              <w:tc>
                <w:tcPr>
                  <w:tcW w:w="433" w:type="pct"/>
                  <w:gridSpan w:val="2"/>
                  <w:tcBorders>
                    <w:tl2br w:val="nil"/>
                    <w:tr2bl w:val="nil"/>
                  </w:tcBorders>
                  <w:noWrap w:val="0"/>
                  <w:vAlign w:val="center"/>
                </w:tcPr>
                <w:p w14:paraId="324610D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供电</w:t>
                  </w:r>
                </w:p>
              </w:tc>
              <w:tc>
                <w:tcPr>
                  <w:tcW w:w="3849" w:type="pct"/>
                  <w:gridSpan w:val="3"/>
                  <w:tcBorders>
                    <w:tl2br w:val="nil"/>
                    <w:tr2bl w:val="nil"/>
                  </w:tcBorders>
                  <w:noWrap w:val="0"/>
                  <w:vAlign w:val="center"/>
                </w:tcPr>
                <w:p w14:paraId="7966FE3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由</w:t>
                  </w:r>
                  <w:r>
                    <w:rPr>
                      <w:rFonts w:hint="eastAsia" w:cs="Times New Roman"/>
                      <w:bCs/>
                      <w:color w:val="000000" w:themeColor="text1"/>
                      <w:sz w:val="21"/>
                      <w:szCs w:val="21"/>
                      <w:highlight w:val="none"/>
                      <w:vertAlign w:val="baseline"/>
                      <w:lang w:eastAsia="zh-CN"/>
                      <w14:textFill>
                        <w14:solidFill>
                          <w14:schemeClr w14:val="tx1"/>
                        </w14:solidFill>
                      </w14:textFill>
                    </w:rPr>
                    <w:t>附近</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供电设施统一提供，可满足项目供电要求</w:t>
                  </w:r>
                  <w:r>
                    <w:rPr>
                      <w:rFonts w:hint="eastAsia" w:cs="Times New Roman"/>
                      <w:bCs/>
                      <w:color w:val="000000" w:themeColor="text1"/>
                      <w:sz w:val="21"/>
                      <w:szCs w:val="21"/>
                      <w:highlight w:val="none"/>
                      <w:vertAlign w:val="baseline"/>
                      <w:lang w:eastAsia="zh-CN"/>
                      <w14:textFill>
                        <w14:solidFill>
                          <w14:schemeClr w14:val="tx1"/>
                        </w14:solidFill>
                      </w14:textFill>
                    </w:rPr>
                    <w:t>。</w:t>
                  </w:r>
                </w:p>
              </w:tc>
              <w:tc>
                <w:tcPr>
                  <w:tcW w:w="549" w:type="pct"/>
                  <w:tcBorders>
                    <w:tl2br w:val="nil"/>
                    <w:tr2bl w:val="nil"/>
                  </w:tcBorders>
                  <w:noWrap w:val="0"/>
                  <w:vAlign w:val="center"/>
                </w:tcPr>
                <w:p w14:paraId="287B5D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依托现有</w:t>
                  </w:r>
                </w:p>
              </w:tc>
            </w:tr>
            <w:tr w14:paraId="3472D7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continue"/>
                  <w:tcBorders>
                    <w:tl2br w:val="nil"/>
                    <w:tr2bl w:val="nil"/>
                  </w:tcBorders>
                  <w:noWrap w:val="0"/>
                  <w:vAlign w:val="center"/>
                </w:tcPr>
                <w:p w14:paraId="0D97DE3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433" w:type="pct"/>
                  <w:gridSpan w:val="2"/>
                  <w:tcBorders>
                    <w:tl2br w:val="nil"/>
                    <w:tr2bl w:val="nil"/>
                  </w:tcBorders>
                  <w:noWrap w:val="0"/>
                  <w:vAlign w:val="center"/>
                </w:tcPr>
                <w:p w14:paraId="34CCE3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供热</w:t>
                  </w:r>
                </w:p>
              </w:tc>
              <w:tc>
                <w:tcPr>
                  <w:tcW w:w="3849" w:type="pct"/>
                  <w:gridSpan w:val="3"/>
                  <w:tcBorders>
                    <w:tl2br w:val="nil"/>
                    <w:tr2bl w:val="nil"/>
                  </w:tcBorders>
                  <w:noWrap w:val="0"/>
                  <w:vAlign w:val="center"/>
                </w:tcPr>
                <w:p w14:paraId="7E3EEF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本项目厂区供暖</w:t>
                  </w:r>
                  <w:r>
                    <w:rPr>
                      <w:rFonts w:hint="eastAsia" w:cs="Times New Roman"/>
                      <w:bCs/>
                      <w:color w:val="000000" w:themeColor="text1"/>
                      <w:sz w:val="21"/>
                      <w:szCs w:val="21"/>
                      <w:highlight w:val="none"/>
                      <w:vertAlign w:val="baseline"/>
                      <w:lang w:val="en-US" w:eastAsia="zh-CN"/>
                      <w14:textFill>
                        <w14:solidFill>
                          <w14:schemeClr w14:val="tx1"/>
                        </w14:solidFill>
                      </w14:textFill>
                    </w:rPr>
                    <w:t>依托现有锅炉房供热</w:t>
                  </w:r>
                </w:p>
              </w:tc>
              <w:tc>
                <w:tcPr>
                  <w:tcW w:w="549" w:type="pct"/>
                  <w:tcBorders>
                    <w:tl2br w:val="nil"/>
                    <w:tr2bl w:val="nil"/>
                  </w:tcBorders>
                  <w:noWrap w:val="0"/>
                  <w:vAlign w:val="center"/>
                </w:tcPr>
                <w:p w14:paraId="20F0D9B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依托现有</w:t>
                  </w:r>
                </w:p>
              </w:tc>
            </w:tr>
            <w:tr w14:paraId="48B4D5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continue"/>
                  <w:tcBorders>
                    <w:tl2br w:val="nil"/>
                    <w:tr2bl w:val="nil"/>
                  </w:tcBorders>
                  <w:noWrap w:val="0"/>
                  <w:vAlign w:val="center"/>
                </w:tcPr>
                <w:p w14:paraId="329AC5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433" w:type="pct"/>
                  <w:gridSpan w:val="2"/>
                  <w:tcBorders>
                    <w:tl2br w:val="nil"/>
                    <w:tr2bl w:val="nil"/>
                  </w:tcBorders>
                  <w:noWrap w:val="0"/>
                  <w:vAlign w:val="center"/>
                </w:tcPr>
                <w:p w14:paraId="6EC4D6E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供水</w:t>
                  </w:r>
                </w:p>
              </w:tc>
              <w:tc>
                <w:tcPr>
                  <w:tcW w:w="3849" w:type="pct"/>
                  <w:gridSpan w:val="3"/>
                  <w:tcBorders>
                    <w:tl2br w:val="nil"/>
                    <w:tr2bl w:val="nil"/>
                  </w:tcBorders>
                  <w:noWrap w:val="0"/>
                  <w:vAlign w:val="center"/>
                </w:tcPr>
                <w:p w14:paraId="49E421D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项目生活用水接自市政给水管网。</w:t>
                  </w:r>
                </w:p>
              </w:tc>
              <w:tc>
                <w:tcPr>
                  <w:tcW w:w="549" w:type="pct"/>
                  <w:tcBorders>
                    <w:tl2br w:val="nil"/>
                    <w:tr2bl w:val="nil"/>
                  </w:tcBorders>
                  <w:noWrap w:val="0"/>
                  <w:vAlign w:val="center"/>
                </w:tcPr>
                <w:p w14:paraId="22A2FC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依托现有</w:t>
                  </w:r>
                </w:p>
              </w:tc>
            </w:tr>
            <w:tr w14:paraId="6B1450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continue"/>
                  <w:tcBorders>
                    <w:tl2br w:val="nil"/>
                    <w:tr2bl w:val="nil"/>
                  </w:tcBorders>
                  <w:noWrap w:val="0"/>
                  <w:vAlign w:val="center"/>
                </w:tcPr>
                <w:p w14:paraId="0C2313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433" w:type="pct"/>
                  <w:gridSpan w:val="2"/>
                  <w:tcBorders>
                    <w:tl2br w:val="nil"/>
                    <w:tr2bl w:val="nil"/>
                  </w:tcBorders>
                  <w:noWrap w:val="0"/>
                  <w:vAlign w:val="center"/>
                </w:tcPr>
                <w:p w14:paraId="46E9A2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排水</w:t>
                  </w:r>
                </w:p>
              </w:tc>
              <w:tc>
                <w:tcPr>
                  <w:tcW w:w="3849" w:type="pct"/>
                  <w:gridSpan w:val="3"/>
                  <w:tcBorders>
                    <w:tl2br w:val="nil"/>
                    <w:tr2bl w:val="nil"/>
                  </w:tcBorders>
                  <w:noWrap w:val="0"/>
                  <w:vAlign w:val="center"/>
                </w:tcPr>
                <w:p w14:paraId="29365B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厂</w:t>
                  </w:r>
                  <w:r>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区雨、污水分流制</w:t>
                  </w:r>
                  <w:r>
                    <w:rPr>
                      <w:rFonts w:hint="eastAsia" w:cs="Times New Roman"/>
                      <w:bCs/>
                      <w:color w:val="000000" w:themeColor="text1"/>
                      <w:sz w:val="21"/>
                      <w:szCs w:val="21"/>
                      <w:highlight w:val="none"/>
                      <w:vertAlign w:val="baseline"/>
                      <w:lang w:val="en-US" w:eastAsia="zh-CN"/>
                      <w14:textFill>
                        <w14:solidFill>
                          <w14:schemeClr w14:val="tx1"/>
                        </w14:solidFill>
                      </w14:textFill>
                    </w:rPr>
                    <w:t>。厂区雨水采用地面散排方式，即地面上的雨水沿道路坡度排放；厂区污水管用于厂区内部产生的污水的排放及构筑物的放空，这些污水最终进入污水处理设施前端，同进厂污水一并处理，不外排。</w:t>
                  </w:r>
                </w:p>
              </w:tc>
              <w:tc>
                <w:tcPr>
                  <w:tcW w:w="549" w:type="pct"/>
                  <w:tcBorders>
                    <w:tl2br w:val="nil"/>
                    <w:tr2bl w:val="nil"/>
                  </w:tcBorders>
                  <w:noWrap w:val="0"/>
                  <w:vAlign w:val="center"/>
                </w:tcPr>
                <w:p w14:paraId="021BB32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依托现有</w:t>
                  </w:r>
                </w:p>
              </w:tc>
            </w:tr>
            <w:tr w14:paraId="0992F4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restart"/>
                  <w:tcBorders>
                    <w:tl2br w:val="nil"/>
                    <w:tr2bl w:val="nil"/>
                  </w:tcBorders>
                  <w:noWrap w:val="0"/>
                  <w:vAlign w:val="center"/>
                </w:tcPr>
                <w:p w14:paraId="5A045D3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环保工程</w:t>
                  </w:r>
                </w:p>
              </w:tc>
              <w:tc>
                <w:tcPr>
                  <w:tcW w:w="433" w:type="pct"/>
                  <w:gridSpan w:val="2"/>
                  <w:tcBorders>
                    <w:tl2br w:val="nil"/>
                    <w:tr2bl w:val="nil"/>
                  </w:tcBorders>
                  <w:noWrap w:val="0"/>
                  <w:vAlign w:val="center"/>
                </w:tcPr>
                <w:p w14:paraId="6F801A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废气</w:t>
                  </w:r>
                </w:p>
              </w:tc>
              <w:tc>
                <w:tcPr>
                  <w:tcW w:w="3849" w:type="pct"/>
                  <w:gridSpan w:val="3"/>
                  <w:tcBorders>
                    <w:tl2br w:val="nil"/>
                    <w:tr2bl w:val="nil"/>
                  </w:tcBorders>
                  <w:noWrap w:val="0"/>
                  <w:vAlign w:val="center"/>
                </w:tcPr>
                <w:p w14:paraId="1E641A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污泥脱水间</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采取地埋式并投放</w:t>
                  </w:r>
                  <w:r>
                    <w:rPr>
                      <w:rFonts w:hint="eastAsia" w:cs="Times New Roman"/>
                      <w:bCs/>
                      <w:color w:val="000000" w:themeColor="text1"/>
                      <w:sz w:val="21"/>
                      <w:szCs w:val="21"/>
                      <w:highlight w:val="none"/>
                      <w:vertAlign w:val="baseline"/>
                      <w:lang w:val="en-US" w:eastAsia="zh-CN"/>
                      <w14:textFill>
                        <w14:solidFill>
                          <w14:schemeClr w14:val="tx1"/>
                        </w14:solidFill>
                      </w14:textFill>
                    </w:rPr>
                    <w:t>除臭剂；及时清理格栅产生的隔渣；厂区设置绿化等措施。</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一期工程恶臭呈无组织排放。</w:t>
                  </w:r>
                </w:p>
              </w:tc>
              <w:tc>
                <w:tcPr>
                  <w:tcW w:w="549" w:type="pct"/>
                  <w:tcBorders>
                    <w:tl2br w:val="nil"/>
                    <w:tr2bl w:val="nil"/>
                  </w:tcBorders>
                  <w:noWrap w:val="0"/>
                  <w:vAlign w:val="center"/>
                </w:tcPr>
                <w:p w14:paraId="57B932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依托现有</w:t>
                  </w:r>
                </w:p>
              </w:tc>
            </w:tr>
            <w:tr w14:paraId="741A4D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continue"/>
                  <w:tcBorders>
                    <w:tl2br w:val="nil"/>
                    <w:tr2bl w:val="nil"/>
                  </w:tcBorders>
                  <w:noWrap w:val="0"/>
                  <w:vAlign w:val="center"/>
                </w:tcPr>
                <w:p w14:paraId="2BE37D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433" w:type="pct"/>
                  <w:gridSpan w:val="2"/>
                  <w:vMerge w:val="restart"/>
                  <w:tcBorders>
                    <w:tl2br w:val="nil"/>
                    <w:tr2bl w:val="nil"/>
                  </w:tcBorders>
                  <w:noWrap w:val="0"/>
                  <w:vAlign w:val="center"/>
                </w:tcPr>
                <w:p w14:paraId="5F0343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废水</w:t>
                  </w:r>
                </w:p>
              </w:tc>
              <w:tc>
                <w:tcPr>
                  <w:tcW w:w="3849" w:type="pct"/>
                  <w:gridSpan w:val="3"/>
                  <w:tcBorders>
                    <w:tl2br w:val="nil"/>
                    <w:tr2bl w:val="nil"/>
                  </w:tcBorders>
                  <w:noWrap w:val="0"/>
                  <w:vAlign w:val="center"/>
                </w:tcPr>
                <w:p w14:paraId="4BB6BD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厂区污水管用于厂区内部产生的污水的排放及构筑物的放空，这些污水最终进入污水处理设施前端，同进厂污水一并处理，不外排。</w:t>
                  </w:r>
                </w:p>
              </w:tc>
              <w:tc>
                <w:tcPr>
                  <w:tcW w:w="549" w:type="pct"/>
                  <w:tcBorders>
                    <w:tl2br w:val="nil"/>
                    <w:tr2bl w:val="nil"/>
                  </w:tcBorders>
                  <w:noWrap w:val="0"/>
                  <w:vAlign w:val="center"/>
                </w:tcPr>
                <w:p w14:paraId="4EA868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依托现有</w:t>
                  </w:r>
                </w:p>
              </w:tc>
            </w:tr>
            <w:tr w14:paraId="2CED11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continue"/>
                  <w:tcBorders>
                    <w:tl2br w:val="nil"/>
                    <w:tr2bl w:val="nil"/>
                  </w:tcBorders>
                  <w:noWrap w:val="0"/>
                  <w:vAlign w:val="center"/>
                </w:tcPr>
                <w:p w14:paraId="1D17C2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433" w:type="pct"/>
                  <w:gridSpan w:val="2"/>
                  <w:vMerge w:val="continue"/>
                  <w:tcBorders>
                    <w:tl2br w:val="nil"/>
                    <w:tr2bl w:val="nil"/>
                  </w:tcBorders>
                  <w:noWrap w:val="0"/>
                  <w:vAlign w:val="center"/>
                </w:tcPr>
                <w:p w14:paraId="3C2BE5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1608" w:type="pct"/>
                  <w:tcBorders>
                    <w:tl2br w:val="nil"/>
                    <w:tr2bl w:val="nil"/>
                  </w:tcBorders>
                  <w:noWrap w:val="0"/>
                  <w:vAlign w:val="center"/>
                </w:tcPr>
                <w:p w14:paraId="6C1CD3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依托原有二期在线监测系统，对流量、pH值、水温、COD、氨氮、TP、TN等指标进行在线监测。</w:t>
                  </w:r>
                </w:p>
              </w:tc>
              <w:tc>
                <w:tcPr>
                  <w:tcW w:w="2241" w:type="pct"/>
                  <w:gridSpan w:val="2"/>
                  <w:tcBorders>
                    <w:tl2br w:val="nil"/>
                    <w:tr2bl w:val="nil"/>
                  </w:tcBorders>
                  <w:noWrap w:val="0"/>
                  <w:vAlign w:val="center"/>
                </w:tcPr>
                <w:p w14:paraId="538289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本项目新建自动监测系统，针对一期工程进出水口设置在线监测点位，对流量、pH值、水温、COD、氨氮、总磷（TP）、总氮（TN）等关键水质及水量指标实施实时在线监测。</w:t>
                  </w:r>
                </w:p>
              </w:tc>
              <w:tc>
                <w:tcPr>
                  <w:tcW w:w="549" w:type="pct"/>
                  <w:tcBorders>
                    <w:tl2br w:val="nil"/>
                    <w:tr2bl w:val="nil"/>
                  </w:tcBorders>
                  <w:noWrap w:val="0"/>
                  <w:vAlign w:val="center"/>
                </w:tcPr>
                <w:p w14:paraId="01B655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新建</w:t>
                  </w:r>
                </w:p>
              </w:tc>
            </w:tr>
            <w:tr w14:paraId="69707F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continue"/>
                  <w:tcBorders>
                    <w:tl2br w:val="nil"/>
                    <w:tr2bl w:val="nil"/>
                  </w:tcBorders>
                  <w:noWrap w:val="0"/>
                  <w:vAlign w:val="center"/>
                </w:tcPr>
                <w:p w14:paraId="45B9F6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433" w:type="pct"/>
                  <w:gridSpan w:val="2"/>
                  <w:vMerge w:val="continue"/>
                  <w:tcBorders>
                    <w:tl2br w:val="nil"/>
                    <w:tr2bl w:val="nil"/>
                  </w:tcBorders>
                  <w:noWrap w:val="0"/>
                  <w:vAlign w:val="center"/>
                </w:tcPr>
                <w:p w14:paraId="62F5445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3849" w:type="pct"/>
                  <w:gridSpan w:val="3"/>
                  <w:tcBorders>
                    <w:tl2br w:val="nil"/>
                    <w:tr2bl w:val="nil"/>
                  </w:tcBorders>
                  <w:noWrap w:val="0"/>
                  <w:vAlign w:val="center"/>
                </w:tcPr>
                <w:p w14:paraId="550E8D9A">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①</w:t>
                  </w: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项目</w:t>
                  </w:r>
                  <w:r>
                    <w:rPr>
                      <w:rFonts w:hint="eastAsia" w:cs="Times New Roman"/>
                      <w:bCs/>
                      <w:color w:val="000000" w:themeColor="text1"/>
                      <w:sz w:val="21"/>
                      <w:szCs w:val="21"/>
                      <w:highlight w:val="none"/>
                      <w:vertAlign w:val="baseline"/>
                      <w:lang w:val="en-US" w:eastAsia="zh-CN"/>
                      <w14:textFill>
                        <w14:solidFill>
                          <w14:schemeClr w14:val="tx1"/>
                        </w14:solidFill>
                      </w14:textFill>
                    </w:rPr>
                    <w:t>已</w:t>
                  </w: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按照要求设立排污口，地理坐标为东经107°2′49.06″、北纬40°24′45.17″，类型为城镇污水处理厂排污口，排放方式为连续排放，入河方式为明渠</w:t>
                  </w:r>
                  <w:r>
                    <w:rPr>
                      <w:rFonts w:hint="eastAsia" w:cs="Times New Roman"/>
                      <w:bCs/>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管道；允许最大排放量为1239.175万m</w:t>
                  </w:r>
                  <w:r>
                    <w:rPr>
                      <w:rFonts w:hint="default" w:ascii="Times New Roman" w:hAnsi="Times New Roman" w:cs="Times New Roman"/>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a，污水处理厂出水需先达到《城镇污水处理厂污染物排放标准》（GB18918-2002）（含2006年、2025年修改单）一级A标准，经人工湿地净化后，pH、溶解氧等七项指标需达到《地表水环境质量标准》（GB3838-2002）V类标准，最终排入二排干。</w:t>
                  </w:r>
                </w:p>
                <w:p w14:paraId="69044F09">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②</w:t>
                  </w: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污水排放口进行规范化设计、具备采样、监测条件，排放口附近树立环保图形标志牌。</w:t>
                  </w:r>
                </w:p>
              </w:tc>
              <w:tc>
                <w:tcPr>
                  <w:tcW w:w="549" w:type="pct"/>
                  <w:tcBorders>
                    <w:tl2br w:val="nil"/>
                    <w:tr2bl w:val="nil"/>
                  </w:tcBorders>
                  <w:noWrap w:val="0"/>
                  <w:vAlign w:val="center"/>
                </w:tcPr>
                <w:p w14:paraId="4664202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依托现有</w:t>
                  </w:r>
                </w:p>
              </w:tc>
            </w:tr>
            <w:tr w14:paraId="5EDF11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7" w:type="pct"/>
                  <w:vMerge w:val="continue"/>
                  <w:tcBorders>
                    <w:tl2br w:val="nil"/>
                    <w:tr2bl w:val="nil"/>
                  </w:tcBorders>
                  <w:noWrap w:val="0"/>
                  <w:vAlign w:val="center"/>
                </w:tcPr>
                <w:p w14:paraId="4BFFC1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433" w:type="pct"/>
                  <w:gridSpan w:val="2"/>
                  <w:tcBorders>
                    <w:tl2br w:val="nil"/>
                    <w:tr2bl w:val="nil"/>
                  </w:tcBorders>
                  <w:noWrap w:val="0"/>
                  <w:vAlign w:val="center"/>
                </w:tcPr>
                <w:p w14:paraId="50CCFA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噪声</w:t>
                  </w:r>
                </w:p>
              </w:tc>
              <w:tc>
                <w:tcPr>
                  <w:tcW w:w="1608" w:type="pct"/>
                  <w:tcBorders>
                    <w:tl2br w:val="nil"/>
                    <w:tr2bl w:val="nil"/>
                  </w:tcBorders>
                  <w:noWrap w:val="0"/>
                  <w:vAlign w:val="center"/>
                </w:tcPr>
                <w:p w14:paraId="123CB8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基础减震、设备润滑、隔声等</w:t>
                  </w:r>
                  <w:r>
                    <w:rPr>
                      <w:rFonts w:hint="eastAsia" w:cs="Times New Roman"/>
                      <w:bCs/>
                      <w:color w:val="000000" w:themeColor="text1"/>
                      <w:sz w:val="21"/>
                      <w:szCs w:val="21"/>
                      <w:highlight w:val="none"/>
                      <w:vertAlign w:val="baseline"/>
                      <w:lang w:eastAsia="zh-CN"/>
                      <w14:textFill>
                        <w14:solidFill>
                          <w14:schemeClr w14:val="tx1"/>
                        </w14:solidFill>
                      </w14:textFill>
                    </w:rPr>
                    <w:t>。</w:t>
                  </w:r>
                </w:p>
              </w:tc>
              <w:tc>
                <w:tcPr>
                  <w:tcW w:w="2241" w:type="pct"/>
                  <w:gridSpan w:val="2"/>
                  <w:tcBorders>
                    <w:tl2br w:val="nil"/>
                    <w:tr2bl w:val="nil"/>
                  </w:tcBorders>
                  <w:noWrap w:val="0"/>
                  <w:vAlign w:val="center"/>
                </w:tcPr>
                <w:p w14:paraId="715ADE3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基础减震、设备润滑、隔声等</w:t>
                  </w:r>
                  <w:r>
                    <w:rPr>
                      <w:rFonts w:hint="eastAsia" w:cs="Times New Roman"/>
                      <w:bCs/>
                      <w:color w:val="000000" w:themeColor="text1"/>
                      <w:sz w:val="21"/>
                      <w:szCs w:val="21"/>
                      <w:highlight w:val="none"/>
                      <w:vertAlign w:val="baseline"/>
                      <w:lang w:eastAsia="zh-CN"/>
                      <w14:textFill>
                        <w14:solidFill>
                          <w14:schemeClr w14:val="tx1"/>
                        </w14:solidFill>
                      </w14:textFill>
                    </w:rPr>
                    <w:t>。</w:t>
                  </w:r>
                </w:p>
              </w:tc>
              <w:tc>
                <w:tcPr>
                  <w:tcW w:w="549" w:type="pct"/>
                  <w:tcBorders>
                    <w:tl2br w:val="nil"/>
                    <w:tr2bl w:val="nil"/>
                  </w:tcBorders>
                  <w:noWrap w:val="0"/>
                  <w:vAlign w:val="center"/>
                </w:tcPr>
                <w:p w14:paraId="1A88714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更换设备+部分新建</w:t>
                  </w:r>
                </w:p>
              </w:tc>
            </w:tr>
            <w:tr w14:paraId="0CB990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9" w:hRule="atLeast"/>
              </w:trPr>
              <w:tc>
                <w:tcPr>
                  <w:tcW w:w="167" w:type="pct"/>
                  <w:vMerge w:val="continue"/>
                  <w:tcBorders>
                    <w:tl2br w:val="nil"/>
                    <w:tr2bl w:val="nil"/>
                  </w:tcBorders>
                  <w:noWrap w:val="0"/>
                  <w:vAlign w:val="center"/>
                </w:tcPr>
                <w:p w14:paraId="6A2398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p>
              </w:tc>
              <w:tc>
                <w:tcPr>
                  <w:tcW w:w="433" w:type="pct"/>
                  <w:gridSpan w:val="2"/>
                  <w:tcBorders>
                    <w:tl2br w:val="nil"/>
                    <w:tr2bl w:val="nil"/>
                  </w:tcBorders>
                  <w:noWrap w:val="0"/>
                  <w:vAlign w:val="center"/>
                </w:tcPr>
                <w:p w14:paraId="18EB997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固废</w:t>
                  </w:r>
                </w:p>
              </w:tc>
              <w:tc>
                <w:tcPr>
                  <w:tcW w:w="1608" w:type="pct"/>
                  <w:tcBorders>
                    <w:tl2br w:val="nil"/>
                    <w:tr2bl w:val="nil"/>
                  </w:tcBorders>
                  <w:noWrap w:val="0"/>
                  <w:vAlign w:val="center"/>
                </w:tcPr>
                <w:p w14:paraId="52D61A3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项目运营期产生的固废主要为污水处理厂内格栅产生的栅渣、沉砂池产生的沉砂、污泥</w:t>
                  </w:r>
                  <w:r>
                    <w:rPr>
                      <w:rFonts w:hint="eastAsia" w:cs="Times New Roman"/>
                      <w:bCs/>
                      <w:color w:val="000000" w:themeColor="text1"/>
                      <w:sz w:val="21"/>
                      <w:szCs w:val="21"/>
                      <w:highlight w:val="none"/>
                      <w:vertAlign w:val="baseline"/>
                      <w:lang w:eastAsia="zh-CN"/>
                      <w14:textFill>
                        <w14:solidFill>
                          <w14:schemeClr w14:val="tx1"/>
                        </w14:solidFill>
                      </w14:textFill>
                    </w:rPr>
                    <w:t>、</w:t>
                  </w:r>
                  <w:r>
                    <w:rPr>
                      <w:rFonts w:hint="eastAsia" w:cs="Times New Roman"/>
                      <w:bCs/>
                      <w:color w:val="000000" w:themeColor="text1"/>
                      <w:sz w:val="21"/>
                      <w:szCs w:val="21"/>
                      <w:highlight w:val="none"/>
                      <w:vertAlign w:val="baseline"/>
                      <w:lang w:val="en-US" w:eastAsia="zh-CN"/>
                      <w14:textFill>
                        <w14:solidFill>
                          <w14:schemeClr w14:val="tx1"/>
                        </w14:solidFill>
                      </w14:textFill>
                    </w:rPr>
                    <w:t>废包装物</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等。污泥经压滤后定期运至</w:t>
                  </w:r>
                  <w:r>
                    <w:rPr>
                      <w:rFonts w:hint="eastAsia" w:cs="Times New Roman"/>
                      <w:bCs/>
                      <w:color w:val="000000" w:themeColor="text1"/>
                      <w:sz w:val="21"/>
                      <w:szCs w:val="21"/>
                      <w:highlight w:val="none"/>
                      <w:vertAlign w:val="baseline"/>
                      <w:lang w:val="en-US" w:eastAsia="zh-CN"/>
                      <w14:textFill>
                        <w14:solidFill>
                          <w14:schemeClr w14:val="tx1"/>
                        </w14:solidFill>
                      </w14:textFill>
                    </w:rPr>
                    <w:t>蚯蚓厂，实现污泥资源化利用</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。栅渣、沉砂及</w:t>
                  </w:r>
                  <w:r>
                    <w:rPr>
                      <w:rFonts w:hint="eastAsia" w:cs="Times New Roman"/>
                      <w:bCs/>
                      <w:color w:val="000000" w:themeColor="text1"/>
                      <w:sz w:val="21"/>
                      <w:szCs w:val="21"/>
                      <w:highlight w:val="none"/>
                      <w:vertAlign w:val="baseline"/>
                      <w:lang w:val="en-US" w:eastAsia="zh-CN"/>
                      <w14:textFill>
                        <w14:solidFill>
                          <w14:schemeClr w14:val="tx1"/>
                        </w14:solidFill>
                      </w14:textFill>
                    </w:rPr>
                    <w:t>废包装物定期拉运至磴口县垃圾填埋场处置。</w:t>
                  </w:r>
                </w:p>
              </w:tc>
              <w:tc>
                <w:tcPr>
                  <w:tcW w:w="2241" w:type="pct"/>
                  <w:gridSpan w:val="2"/>
                  <w:tcBorders>
                    <w:tl2br w:val="nil"/>
                    <w:tr2bl w:val="nil"/>
                  </w:tcBorders>
                  <w:noWrap w:val="0"/>
                  <w:vAlign w:val="center"/>
                </w:tcPr>
                <w:p w14:paraId="36A956E9">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eastAsia" w:ascii="宋体" w:hAnsi="宋体" w:eastAsia="宋体" w:cs="宋体"/>
                      <w:bCs/>
                      <w:color w:val="000000" w:themeColor="text1"/>
                      <w:sz w:val="21"/>
                      <w:szCs w:val="21"/>
                      <w:highlight w:val="none"/>
                      <w:vertAlign w:val="baseline"/>
                      <w14:textFill>
                        <w14:solidFill>
                          <w14:schemeClr w14:val="tx1"/>
                        </w14:solidFill>
                      </w14:textFill>
                    </w:rPr>
                    <w:t>①</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项目运营期产生的固废主要为污水处理厂内格栅产生的栅渣、沉砂池产生的沉砂、污泥、废包装物等。污泥经压滤后定期运至蚯蚓厂，实现污泥资源化利用。栅渣、沉砂</w:t>
                  </w:r>
                  <w:r>
                    <w:rPr>
                      <w:rFonts w:hint="eastAsia" w:cs="Times New Roman"/>
                      <w:bCs/>
                      <w:color w:val="000000" w:themeColor="text1"/>
                      <w:sz w:val="21"/>
                      <w:szCs w:val="21"/>
                      <w:highlight w:val="none"/>
                      <w:vertAlign w:val="baseline"/>
                      <w:lang w:eastAsia="zh-CN"/>
                      <w14:textFill>
                        <w14:solidFill>
                          <w14:schemeClr w14:val="tx1"/>
                        </w14:solidFill>
                      </w14:textFill>
                    </w:rPr>
                    <w:t>、</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废包装物定期拉运至磴口县垃圾填埋场处置。</w:t>
                  </w:r>
                </w:p>
                <w:p w14:paraId="22EB75D2">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ascii="宋体" w:hAnsi="宋体" w:eastAsia="宋体" w:cs="宋体"/>
                      <w:bCs/>
                      <w:color w:val="000000" w:themeColor="text1"/>
                      <w:sz w:val="21"/>
                      <w:szCs w:val="21"/>
                      <w:highlight w:val="none"/>
                      <w:vertAlign w:val="baseline"/>
                      <w14:textFill>
                        <w14:solidFill>
                          <w14:schemeClr w14:val="tx1"/>
                        </w14:solidFill>
                      </w14:textFill>
                    </w:rPr>
                    <w:t>②</w:t>
                  </w:r>
                  <w:r>
                    <w:rPr>
                      <w:rFonts w:hint="eastAsia" w:cs="Times New Roman"/>
                      <w:bCs/>
                      <w:color w:val="000000" w:themeColor="text1"/>
                      <w:sz w:val="21"/>
                      <w:szCs w:val="21"/>
                      <w:highlight w:val="none"/>
                      <w:vertAlign w:val="baseline"/>
                      <w:lang w:val="en-US" w:eastAsia="zh-CN"/>
                      <w14:textFill>
                        <w14:solidFill>
                          <w14:schemeClr w14:val="tx1"/>
                        </w14:solidFill>
                      </w14:textFill>
                    </w:rPr>
                    <w:t>废活性炭、</w:t>
                  </w:r>
                  <w:r>
                    <w:rPr>
                      <w:rFonts w:hint="eastAsia" w:ascii="宋体" w:hAnsi="宋体" w:eastAsia="宋体" w:cs="宋体"/>
                      <w:bCs/>
                      <w:color w:val="000000" w:themeColor="text1"/>
                      <w:sz w:val="21"/>
                      <w:szCs w:val="21"/>
                      <w:highlight w:val="none"/>
                      <w:vertAlign w:val="baseline"/>
                      <w:lang w:val="en-US" w:eastAsia="zh-CN"/>
                      <w14:textFill>
                        <w14:solidFill>
                          <w14:schemeClr w14:val="tx1"/>
                        </w14:solidFill>
                      </w14:textFill>
                    </w:rPr>
                    <w:t>在线监测废液为危险废物，暂存于厂区内部二期工程建设的危险废物暂存间，定期交由有资质单位处置。</w:t>
                  </w:r>
                </w:p>
              </w:tc>
              <w:tc>
                <w:tcPr>
                  <w:tcW w:w="549" w:type="pct"/>
                  <w:tcBorders>
                    <w:tl2br w:val="nil"/>
                    <w:tr2bl w:val="nil"/>
                  </w:tcBorders>
                  <w:noWrap w:val="0"/>
                  <w:vAlign w:val="center"/>
                </w:tcPr>
                <w:p w14:paraId="069D47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新增危险废物，依托二期工程危险废物暂存间。</w:t>
                  </w:r>
                </w:p>
              </w:tc>
            </w:tr>
          </w:tbl>
          <w:p w14:paraId="2148CE08">
            <w:pPr>
              <w:adjustRightInd w:val="0"/>
              <w:snapToGrid w:val="0"/>
              <w:rPr>
                <w:rFonts w:ascii="宋体" w:hAnsi="宋体"/>
                <w:bCs/>
                <w:color w:val="000000" w:themeColor="text1"/>
                <w:sz w:val="24"/>
                <w:highlight w:val="none"/>
                <w14:textFill>
                  <w14:solidFill>
                    <w14:schemeClr w14:val="tx1"/>
                  </w14:solidFill>
                </w14:textFill>
              </w:rPr>
            </w:pPr>
          </w:p>
        </w:tc>
      </w:tr>
    </w:tbl>
    <w:p w14:paraId="1AF43F00">
      <w:pPr>
        <w:jc w:val="center"/>
        <w:rPr>
          <w:rFonts w:hint="default" w:ascii="Times New Roman" w:hAnsi="Times New Roman" w:eastAsia="宋体" w:cs="Times New Roman"/>
          <w:snapToGrid w:val="0"/>
          <w:color w:val="000000" w:themeColor="text1"/>
          <w:sz w:val="24"/>
          <w:szCs w:val="24"/>
          <w:highlight w:val="none"/>
          <w14:textFill>
            <w14:solidFill>
              <w14:schemeClr w14:val="tx1"/>
            </w14:solidFill>
          </w14:textFill>
        </w:rPr>
      </w:pPr>
    </w:p>
    <w:tbl>
      <w:tblPr>
        <w:tblStyle w:val="13"/>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730"/>
        <w:gridCol w:w="6730"/>
      </w:tblGrid>
      <w:tr w14:paraId="098DA1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00" w:type="pct"/>
            <w:tcBorders>
              <w:tl2br w:val="nil"/>
              <w:tr2bl w:val="nil"/>
            </w:tcBorders>
            <w:vAlign w:val="center"/>
          </w:tcPr>
          <w:p w14:paraId="730CEDA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b/>
                <w:bCs/>
                <w:snapToGrid w:val="0"/>
                <w:color w:val="000000" w:themeColor="text1"/>
                <w:sz w:val="21"/>
                <w:szCs w:val="21"/>
                <w:highlight w:val="none"/>
                <w:vertAlign w:val="baseline"/>
                <w:lang w:eastAsia="zh-CN"/>
                <w14:textFill>
                  <w14:solidFill>
                    <w14:schemeClr w14:val="tx1"/>
                  </w14:solidFill>
                </w14:textFill>
              </w:rPr>
              <w:drawing>
                <wp:inline distT="0" distB="0" distL="114300" distR="114300">
                  <wp:extent cx="3599180" cy="1619885"/>
                  <wp:effectExtent l="0" t="0" r="1270" b="18415"/>
                  <wp:docPr id="15" name="图片 15" descr="6bcad7da7e04e43fbe87021ccc8336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6bcad7da7e04e43fbe87021ccc8336fd"/>
                          <pic:cNvPicPr>
                            <a:picLocks noChangeAspect="1"/>
                          </pic:cNvPicPr>
                        </pic:nvPicPr>
                        <pic:blipFill>
                          <a:blip r:embed="rId23"/>
                          <a:stretch>
                            <a:fillRect/>
                          </a:stretch>
                        </pic:blipFill>
                        <pic:spPr>
                          <a:xfrm>
                            <a:off x="0" y="0"/>
                            <a:ext cx="3599180" cy="1619885"/>
                          </a:xfrm>
                          <a:prstGeom prst="rect">
                            <a:avLst/>
                          </a:prstGeom>
                        </pic:spPr>
                      </pic:pic>
                    </a:graphicData>
                  </a:graphic>
                </wp:inline>
              </w:drawing>
            </w:r>
          </w:p>
        </w:tc>
        <w:tc>
          <w:tcPr>
            <w:tcW w:w="2500" w:type="pct"/>
            <w:tcBorders>
              <w:tl2br w:val="nil"/>
              <w:tr2bl w:val="nil"/>
            </w:tcBorders>
            <w:vAlign w:val="center"/>
          </w:tcPr>
          <w:p w14:paraId="31FDE90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b/>
                <w:bCs/>
                <w:snapToGrid w:val="0"/>
                <w:color w:val="000000" w:themeColor="text1"/>
                <w:sz w:val="21"/>
                <w:szCs w:val="21"/>
                <w:highlight w:val="none"/>
                <w:vertAlign w:val="baseline"/>
                <w:lang w:eastAsia="zh-CN"/>
                <w14:textFill>
                  <w14:solidFill>
                    <w14:schemeClr w14:val="tx1"/>
                  </w14:solidFill>
                </w14:textFill>
              </w:rPr>
              <w:drawing>
                <wp:inline distT="0" distB="0" distL="114300" distR="114300">
                  <wp:extent cx="2159635" cy="1619885"/>
                  <wp:effectExtent l="0" t="0" r="12065" b="18415"/>
                  <wp:docPr id="19" name="图片 19" descr="cfdd4684d98717355452e245631459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fdd4684d98717355452e245631459e2"/>
                          <pic:cNvPicPr>
                            <a:picLocks noChangeAspect="1"/>
                          </pic:cNvPicPr>
                        </pic:nvPicPr>
                        <pic:blipFill>
                          <a:blip r:embed="rId24"/>
                          <a:stretch>
                            <a:fillRect/>
                          </a:stretch>
                        </pic:blipFill>
                        <pic:spPr>
                          <a:xfrm>
                            <a:off x="0" y="0"/>
                            <a:ext cx="2159635" cy="1619885"/>
                          </a:xfrm>
                          <a:prstGeom prst="rect">
                            <a:avLst/>
                          </a:prstGeom>
                        </pic:spPr>
                      </pic:pic>
                    </a:graphicData>
                  </a:graphic>
                </wp:inline>
              </w:drawing>
            </w:r>
          </w:p>
        </w:tc>
      </w:tr>
      <w:tr w14:paraId="60543B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00" w:type="pct"/>
            <w:tcBorders>
              <w:tl2br w:val="nil"/>
              <w:tr2bl w:val="nil"/>
            </w:tcBorders>
            <w:vAlign w:val="center"/>
          </w:tcPr>
          <w:p w14:paraId="16608DE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t>鼓风机房</w:t>
            </w:r>
          </w:p>
        </w:tc>
        <w:tc>
          <w:tcPr>
            <w:tcW w:w="2500" w:type="pct"/>
            <w:tcBorders>
              <w:tl2br w:val="nil"/>
              <w:tr2bl w:val="nil"/>
            </w:tcBorders>
            <w:vAlign w:val="center"/>
          </w:tcPr>
          <w:p w14:paraId="5BA7E3F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t>MBBR膜反应池</w:t>
            </w:r>
          </w:p>
        </w:tc>
      </w:tr>
      <w:tr w14:paraId="2254C9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00" w:type="pct"/>
            <w:tcBorders>
              <w:tl2br w:val="nil"/>
              <w:tr2bl w:val="nil"/>
            </w:tcBorders>
            <w:vAlign w:val="center"/>
          </w:tcPr>
          <w:p w14:paraId="468B7A2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b/>
                <w:bCs/>
                <w:snapToGrid w:val="0"/>
                <w:color w:val="000000" w:themeColor="text1"/>
                <w:sz w:val="21"/>
                <w:szCs w:val="21"/>
                <w:highlight w:val="none"/>
                <w:vertAlign w:val="baseline"/>
                <w:lang w:eastAsia="zh-CN"/>
                <w14:textFill>
                  <w14:solidFill>
                    <w14:schemeClr w14:val="tx1"/>
                  </w14:solidFill>
                </w14:textFill>
              </w:rPr>
              <w:drawing>
                <wp:inline distT="0" distB="0" distL="114300" distR="114300">
                  <wp:extent cx="3599815" cy="1619885"/>
                  <wp:effectExtent l="0" t="0" r="635" b="18415"/>
                  <wp:docPr id="17" name="图片 17" descr="78493b1f4d2a3b7b0df77bdf5dda3c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8493b1f4d2a3b7b0df77bdf5dda3c71"/>
                          <pic:cNvPicPr>
                            <a:picLocks noChangeAspect="1"/>
                          </pic:cNvPicPr>
                        </pic:nvPicPr>
                        <pic:blipFill>
                          <a:blip r:embed="rId25"/>
                          <a:stretch>
                            <a:fillRect/>
                          </a:stretch>
                        </pic:blipFill>
                        <pic:spPr>
                          <a:xfrm>
                            <a:off x="0" y="0"/>
                            <a:ext cx="3599815" cy="1619885"/>
                          </a:xfrm>
                          <a:prstGeom prst="rect">
                            <a:avLst/>
                          </a:prstGeom>
                        </pic:spPr>
                      </pic:pic>
                    </a:graphicData>
                  </a:graphic>
                </wp:inline>
              </w:drawing>
            </w:r>
          </w:p>
        </w:tc>
        <w:tc>
          <w:tcPr>
            <w:tcW w:w="2500" w:type="pct"/>
            <w:tcBorders>
              <w:tl2br w:val="nil"/>
              <w:tr2bl w:val="nil"/>
            </w:tcBorders>
            <w:vAlign w:val="center"/>
          </w:tcPr>
          <w:p w14:paraId="756384A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b/>
                <w:bCs/>
                <w:snapToGrid w:val="0"/>
                <w:color w:val="000000" w:themeColor="text1"/>
                <w:sz w:val="21"/>
                <w:szCs w:val="21"/>
                <w:highlight w:val="none"/>
                <w:vertAlign w:val="baseline"/>
                <w:lang w:eastAsia="zh-CN"/>
                <w14:textFill>
                  <w14:solidFill>
                    <w14:schemeClr w14:val="tx1"/>
                  </w14:solidFill>
                </w14:textFill>
              </w:rPr>
              <w:drawing>
                <wp:inline distT="0" distB="0" distL="114300" distR="114300">
                  <wp:extent cx="3599815" cy="1619885"/>
                  <wp:effectExtent l="0" t="0" r="635" b="18415"/>
                  <wp:docPr id="18" name="图片 18" descr="45a76076c38c599bb051bf315f4dca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45a76076c38c599bb051bf315f4dca32"/>
                          <pic:cNvPicPr>
                            <a:picLocks noChangeAspect="1"/>
                          </pic:cNvPicPr>
                        </pic:nvPicPr>
                        <pic:blipFill>
                          <a:blip r:embed="rId26"/>
                          <a:stretch>
                            <a:fillRect/>
                          </a:stretch>
                        </pic:blipFill>
                        <pic:spPr>
                          <a:xfrm>
                            <a:off x="0" y="0"/>
                            <a:ext cx="3599815" cy="1619885"/>
                          </a:xfrm>
                          <a:prstGeom prst="rect">
                            <a:avLst/>
                          </a:prstGeom>
                        </pic:spPr>
                      </pic:pic>
                    </a:graphicData>
                  </a:graphic>
                </wp:inline>
              </w:drawing>
            </w:r>
          </w:p>
        </w:tc>
      </w:tr>
      <w:tr w14:paraId="478A20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00" w:type="pct"/>
            <w:tcBorders>
              <w:tl2br w:val="nil"/>
              <w:tr2bl w:val="nil"/>
            </w:tcBorders>
            <w:vAlign w:val="center"/>
          </w:tcPr>
          <w:p w14:paraId="269C6A0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drawing>
                <wp:inline distT="0" distB="0" distL="114300" distR="114300">
                  <wp:extent cx="1979930" cy="1979930"/>
                  <wp:effectExtent l="0" t="0" r="1270" b="1270"/>
                  <wp:docPr id="8" name="图片 8" descr="6c094f0621ce3537694af02754ba9b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6c094f0621ce3537694af02754ba9b9b"/>
                          <pic:cNvPicPr>
                            <a:picLocks noChangeAspect="1"/>
                          </pic:cNvPicPr>
                        </pic:nvPicPr>
                        <pic:blipFill>
                          <a:blip r:embed="rId27"/>
                          <a:stretch>
                            <a:fillRect/>
                          </a:stretch>
                        </pic:blipFill>
                        <pic:spPr>
                          <a:xfrm>
                            <a:off x="0" y="0"/>
                            <a:ext cx="1979930" cy="1979930"/>
                          </a:xfrm>
                          <a:prstGeom prst="rect">
                            <a:avLst/>
                          </a:prstGeom>
                        </pic:spPr>
                      </pic:pic>
                    </a:graphicData>
                  </a:graphic>
                </wp:inline>
              </w:drawing>
            </w:r>
          </w:p>
        </w:tc>
        <w:tc>
          <w:tcPr>
            <w:tcW w:w="2500" w:type="pct"/>
            <w:tcBorders>
              <w:tl2br w:val="nil"/>
              <w:tr2bl w:val="nil"/>
            </w:tcBorders>
            <w:vAlign w:val="center"/>
          </w:tcPr>
          <w:p w14:paraId="5ACA908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drawing>
                <wp:inline distT="0" distB="0" distL="114300" distR="114300">
                  <wp:extent cx="1979930" cy="1979930"/>
                  <wp:effectExtent l="0" t="0" r="1270" b="1270"/>
                  <wp:docPr id="25" name="图片 25" descr="244914275f844e4bfa962cc4c25a53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244914275f844e4bfa962cc4c25a53bb"/>
                          <pic:cNvPicPr>
                            <a:picLocks noChangeAspect="1"/>
                          </pic:cNvPicPr>
                        </pic:nvPicPr>
                        <pic:blipFill>
                          <a:blip r:embed="rId28"/>
                          <a:stretch>
                            <a:fillRect/>
                          </a:stretch>
                        </pic:blipFill>
                        <pic:spPr>
                          <a:xfrm>
                            <a:off x="0" y="0"/>
                            <a:ext cx="1979930" cy="1979930"/>
                          </a:xfrm>
                          <a:prstGeom prst="rect">
                            <a:avLst/>
                          </a:prstGeom>
                        </pic:spPr>
                      </pic:pic>
                    </a:graphicData>
                  </a:graphic>
                </wp:inline>
              </w:drawing>
            </w:r>
          </w:p>
        </w:tc>
      </w:tr>
      <w:tr w14:paraId="435DD8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00" w:type="pct"/>
            <w:tcBorders>
              <w:tl2br w:val="nil"/>
              <w:tr2bl w:val="nil"/>
            </w:tcBorders>
            <w:vAlign w:val="center"/>
          </w:tcPr>
          <w:p w14:paraId="1AA8CA7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drawing>
                <wp:inline distT="0" distB="0" distL="114300" distR="114300">
                  <wp:extent cx="1979930" cy="1979930"/>
                  <wp:effectExtent l="0" t="0" r="1270" b="1270"/>
                  <wp:docPr id="79" name="图片 79" descr="bfa02bcfd1514adbaa44d4a06d3226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bfa02bcfd1514adbaa44d4a06d32262d"/>
                          <pic:cNvPicPr>
                            <a:picLocks noChangeAspect="1"/>
                          </pic:cNvPicPr>
                        </pic:nvPicPr>
                        <pic:blipFill>
                          <a:blip r:embed="rId29"/>
                          <a:stretch>
                            <a:fillRect/>
                          </a:stretch>
                        </pic:blipFill>
                        <pic:spPr>
                          <a:xfrm>
                            <a:off x="0" y="0"/>
                            <a:ext cx="1979930" cy="1979930"/>
                          </a:xfrm>
                          <a:prstGeom prst="rect">
                            <a:avLst/>
                          </a:prstGeom>
                        </pic:spPr>
                      </pic:pic>
                    </a:graphicData>
                  </a:graphic>
                </wp:inline>
              </w:drawing>
            </w:r>
          </w:p>
        </w:tc>
        <w:tc>
          <w:tcPr>
            <w:tcW w:w="2500" w:type="pct"/>
            <w:tcBorders>
              <w:tl2br w:val="nil"/>
              <w:tr2bl w:val="nil"/>
            </w:tcBorders>
            <w:vAlign w:val="center"/>
          </w:tcPr>
          <w:p w14:paraId="429E407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drawing>
                <wp:inline distT="0" distB="0" distL="114300" distR="114300">
                  <wp:extent cx="1979930" cy="1979930"/>
                  <wp:effectExtent l="0" t="0" r="1270" b="1270"/>
                  <wp:docPr id="80" name="图片 80" descr="841c1e91190a167a98af8f0c27c8fb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841c1e91190a167a98af8f0c27c8fb3c"/>
                          <pic:cNvPicPr>
                            <a:picLocks noChangeAspect="1"/>
                          </pic:cNvPicPr>
                        </pic:nvPicPr>
                        <pic:blipFill>
                          <a:blip r:embed="rId30"/>
                          <a:stretch>
                            <a:fillRect/>
                          </a:stretch>
                        </pic:blipFill>
                        <pic:spPr>
                          <a:xfrm>
                            <a:off x="0" y="0"/>
                            <a:ext cx="1979930" cy="1979930"/>
                          </a:xfrm>
                          <a:prstGeom prst="rect">
                            <a:avLst/>
                          </a:prstGeom>
                        </pic:spPr>
                      </pic:pic>
                    </a:graphicData>
                  </a:graphic>
                </wp:inline>
              </w:drawing>
            </w:r>
          </w:p>
        </w:tc>
      </w:tr>
      <w:tr w14:paraId="4395E1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00" w:type="pct"/>
            <w:tcBorders>
              <w:tl2br w:val="nil"/>
              <w:tr2bl w:val="nil"/>
            </w:tcBorders>
            <w:vAlign w:val="center"/>
          </w:tcPr>
          <w:p w14:paraId="3DE170E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t>生化处理区</w:t>
            </w:r>
          </w:p>
        </w:tc>
        <w:tc>
          <w:tcPr>
            <w:tcW w:w="2500" w:type="pct"/>
            <w:tcBorders>
              <w:tl2br w:val="nil"/>
              <w:tr2bl w:val="nil"/>
            </w:tcBorders>
            <w:vAlign w:val="center"/>
          </w:tcPr>
          <w:p w14:paraId="59B4D42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t>生化处理区</w:t>
            </w:r>
          </w:p>
        </w:tc>
      </w:tr>
      <w:tr w14:paraId="26B35B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00" w:type="pct"/>
            <w:tcBorders>
              <w:tl2br w:val="nil"/>
              <w:tr2bl w:val="nil"/>
            </w:tcBorders>
            <w:vAlign w:val="center"/>
          </w:tcPr>
          <w:p w14:paraId="64CF096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drawing>
                <wp:inline distT="0" distB="0" distL="114300" distR="114300">
                  <wp:extent cx="1979930" cy="1979930"/>
                  <wp:effectExtent l="0" t="0" r="1270" b="1270"/>
                  <wp:docPr id="81" name="图片 81" descr="12d5ec84c6d193806146b1320f1e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12d5ec84c6d193806146b1320f1e2803"/>
                          <pic:cNvPicPr>
                            <a:picLocks noChangeAspect="1"/>
                          </pic:cNvPicPr>
                        </pic:nvPicPr>
                        <pic:blipFill>
                          <a:blip r:embed="rId31"/>
                          <a:stretch>
                            <a:fillRect/>
                          </a:stretch>
                        </pic:blipFill>
                        <pic:spPr>
                          <a:xfrm>
                            <a:off x="0" y="0"/>
                            <a:ext cx="1979930" cy="1979930"/>
                          </a:xfrm>
                          <a:prstGeom prst="rect">
                            <a:avLst/>
                          </a:prstGeom>
                        </pic:spPr>
                      </pic:pic>
                    </a:graphicData>
                  </a:graphic>
                </wp:inline>
              </w:drawing>
            </w:r>
          </w:p>
        </w:tc>
        <w:tc>
          <w:tcPr>
            <w:tcW w:w="2500" w:type="pct"/>
            <w:tcBorders>
              <w:tl2br w:val="nil"/>
              <w:tr2bl w:val="nil"/>
            </w:tcBorders>
            <w:vAlign w:val="center"/>
          </w:tcPr>
          <w:p w14:paraId="4A48A24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drawing>
                <wp:inline distT="0" distB="0" distL="114300" distR="114300">
                  <wp:extent cx="1979930" cy="1979930"/>
                  <wp:effectExtent l="0" t="0" r="1270" b="1270"/>
                  <wp:docPr id="82" name="图片 82" descr="fa8d671f0785f6df5408493dc054b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fa8d671f0785f6df5408493dc054b671"/>
                          <pic:cNvPicPr>
                            <a:picLocks noChangeAspect="1"/>
                          </pic:cNvPicPr>
                        </pic:nvPicPr>
                        <pic:blipFill>
                          <a:blip r:embed="rId32"/>
                          <a:stretch>
                            <a:fillRect/>
                          </a:stretch>
                        </pic:blipFill>
                        <pic:spPr>
                          <a:xfrm>
                            <a:off x="0" y="0"/>
                            <a:ext cx="1979930" cy="1979930"/>
                          </a:xfrm>
                          <a:prstGeom prst="rect">
                            <a:avLst/>
                          </a:prstGeom>
                        </pic:spPr>
                      </pic:pic>
                    </a:graphicData>
                  </a:graphic>
                </wp:inline>
              </w:drawing>
            </w:r>
          </w:p>
        </w:tc>
      </w:tr>
      <w:tr w14:paraId="10A639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00" w:type="pct"/>
            <w:tcBorders>
              <w:tl2br w:val="nil"/>
              <w:tr2bl w:val="nil"/>
            </w:tcBorders>
            <w:vAlign w:val="center"/>
          </w:tcPr>
          <w:p w14:paraId="3835AAD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pPr>
            <w:r>
              <w:rPr>
                <w:rFonts w:hint="eastAsia" w:cs="Times New Roman"/>
                <w:b/>
                <w:bCs/>
                <w:snapToGrid w:val="0"/>
                <w:color w:val="000000" w:themeColor="text1"/>
                <w:sz w:val="21"/>
                <w:szCs w:val="21"/>
                <w:highlight w:val="none"/>
                <w:vertAlign w:val="baseline"/>
                <w:lang w:val="en-US" w:eastAsia="zh-CN"/>
                <w14:textFill>
                  <w14:solidFill>
                    <w14:schemeClr w14:val="tx1"/>
                  </w14:solidFill>
                </w14:textFill>
              </w:rPr>
              <w:t>二沉池</w:t>
            </w:r>
          </w:p>
        </w:tc>
        <w:tc>
          <w:tcPr>
            <w:tcW w:w="2500" w:type="pct"/>
            <w:tcBorders>
              <w:tl2br w:val="nil"/>
              <w:tr2bl w:val="nil"/>
            </w:tcBorders>
            <w:vAlign w:val="center"/>
          </w:tcPr>
          <w:p w14:paraId="724FE41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pPr>
            <w:r>
              <w:rPr>
                <w:rFonts w:hint="eastAsia" w:cs="Times New Roman"/>
                <w:b/>
                <w:bCs/>
                <w:snapToGrid w:val="0"/>
                <w:color w:val="000000" w:themeColor="text1"/>
                <w:sz w:val="21"/>
                <w:szCs w:val="21"/>
                <w:highlight w:val="none"/>
                <w:vertAlign w:val="baseline"/>
                <w:lang w:val="en-US" w:eastAsia="zh-CN"/>
                <w14:textFill>
                  <w14:solidFill>
                    <w14:schemeClr w14:val="tx1"/>
                  </w14:solidFill>
                </w14:textFill>
              </w:rPr>
              <w:t>二沉池</w:t>
            </w:r>
          </w:p>
        </w:tc>
      </w:tr>
      <w:tr w14:paraId="0058E8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00" w:type="pct"/>
            <w:tcBorders>
              <w:tl2br w:val="nil"/>
              <w:tr2bl w:val="nil"/>
            </w:tcBorders>
            <w:vAlign w:val="center"/>
          </w:tcPr>
          <w:p w14:paraId="0BCA0F8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drawing>
                <wp:inline distT="0" distB="0" distL="114300" distR="114300">
                  <wp:extent cx="2639695" cy="1979930"/>
                  <wp:effectExtent l="0" t="0" r="8255" b="1270"/>
                  <wp:docPr id="22" name="图片 22" descr="85830dfb7125b28c42c1f20ec4edbe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85830dfb7125b28c42c1f20ec4edbe83"/>
                          <pic:cNvPicPr>
                            <a:picLocks noChangeAspect="1"/>
                          </pic:cNvPicPr>
                        </pic:nvPicPr>
                        <pic:blipFill>
                          <a:blip r:embed="rId33"/>
                          <a:stretch>
                            <a:fillRect/>
                          </a:stretch>
                        </pic:blipFill>
                        <pic:spPr>
                          <a:xfrm>
                            <a:off x="0" y="0"/>
                            <a:ext cx="2639695" cy="1979930"/>
                          </a:xfrm>
                          <a:prstGeom prst="rect">
                            <a:avLst/>
                          </a:prstGeom>
                        </pic:spPr>
                      </pic:pic>
                    </a:graphicData>
                  </a:graphic>
                </wp:inline>
              </w:drawing>
            </w:r>
          </w:p>
        </w:tc>
        <w:tc>
          <w:tcPr>
            <w:tcW w:w="2500" w:type="pct"/>
            <w:tcBorders>
              <w:tl2br w:val="nil"/>
              <w:tr2bl w:val="nil"/>
            </w:tcBorders>
            <w:vAlign w:val="center"/>
          </w:tcPr>
          <w:p w14:paraId="639A51B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drawing>
                <wp:inline distT="0" distB="0" distL="114300" distR="114300">
                  <wp:extent cx="3520440" cy="1979930"/>
                  <wp:effectExtent l="0" t="0" r="3810" b="1270"/>
                  <wp:docPr id="23" name="图片 23" descr="ff5a0713cd5dddd170cf5e487b4f06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ff5a0713cd5dddd170cf5e487b4f069b"/>
                          <pic:cNvPicPr>
                            <a:picLocks noChangeAspect="1"/>
                          </pic:cNvPicPr>
                        </pic:nvPicPr>
                        <pic:blipFill>
                          <a:blip r:embed="rId34"/>
                          <a:stretch>
                            <a:fillRect/>
                          </a:stretch>
                        </pic:blipFill>
                        <pic:spPr>
                          <a:xfrm>
                            <a:off x="0" y="0"/>
                            <a:ext cx="3520440" cy="1979930"/>
                          </a:xfrm>
                          <a:prstGeom prst="rect">
                            <a:avLst/>
                          </a:prstGeom>
                        </pic:spPr>
                      </pic:pic>
                    </a:graphicData>
                  </a:graphic>
                </wp:inline>
              </w:drawing>
            </w:r>
          </w:p>
        </w:tc>
      </w:tr>
      <w:tr w14:paraId="6EE971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00" w:type="pct"/>
            <w:tcBorders>
              <w:tl2br w:val="nil"/>
              <w:tr2bl w:val="nil"/>
            </w:tcBorders>
            <w:vAlign w:val="center"/>
          </w:tcPr>
          <w:p w14:paraId="430D45F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t>厌氧池、缺氧池</w:t>
            </w:r>
          </w:p>
        </w:tc>
        <w:tc>
          <w:tcPr>
            <w:tcW w:w="2500" w:type="pct"/>
            <w:tcBorders>
              <w:tl2br w:val="nil"/>
              <w:tr2bl w:val="nil"/>
            </w:tcBorders>
            <w:vAlign w:val="center"/>
          </w:tcPr>
          <w:p w14:paraId="0676351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t>办公楼</w:t>
            </w:r>
          </w:p>
        </w:tc>
      </w:tr>
      <w:tr w14:paraId="2529E6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00" w:type="pct"/>
            <w:tcBorders>
              <w:tl2br w:val="nil"/>
              <w:tr2bl w:val="nil"/>
            </w:tcBorders>
            <w:vAlign w:val="center"/>
          </w:tcPr>
          <w:p w14:paraId="133D548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drawing>
                <wp:inline distT="0" distB="0" distL="114300" distR="114300">
                  <wp:extent cx="1484630" cy="1979930"/>
                  <wp:effectExtent l="0" t="0" r="1270" b="1270"/>
                  <wp:docPr id="99" name="图片 99" descr="IMG_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IMG_2003"/>
                          <pic:cNvPicPr>
                            <a:picLocks noChangeAspect="1"/>
                          </pic:cNvPicPr>
                        </pic:nvPicPr>
                        <pic:blipFill>
                          <a:blip r:embed="rId35"/>
                          <a:stretch>
                            <a:fillRect/>
                          </a:stretch>
                        </pic:blipFill>
                        <pic:spPr>
                          <a:xfrm>
                            <a:off x="0" y="0"/>
                            <a:ext cx="1484630" cy="1979930"/>
                          </a:xfrm>
                          <a:prstGeom prst="rect">
                            <a:avLst/>
                          </a:prstGeom>
                        </pic:spPr>
                      </pic:pic>
                    </a:graphicData>
                  </a:graphic>
                </wp:inline>
              </w:drawing>
            </w:r>
          </w:p>
        </w:tc>
        <w:tc>
          <w:tcPr>
            <w:tcW w:w="2500" w:type="pct"/>
            <w:tcBorders>
              <w:tl2br w:val="nil"/>
              <w:tr2bl w:val="nil"/>
            </w:tcBorders>
            <w:vAlign w:val="center"/>
          </w:tcPr>
          <w:p w14:paraId="61B22D0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drawing>
                <wp:inline distT="0" distB="0" distL="114300" distR="114300">
                  <wp:extent cx="2640330" cy="1979930"/>
                  <wp:effectExtent l="0" t="0" r="7620" b="1270"/>
                  <wp:docPr id="100" name="图片 100" descr="IMG_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IMG_1994"/>
                          <pic:cNvPicPr>
                            <a:picLocks noChangeAspect="1"/>
                          </pic:cNvPicPr>
                        </pic:nvPicPr>
                        <pic:blipFill>
                          <a:blip r:embed="rId36"/>
                          <a:stretch>
                            <a:fillRect/>
                          </a:stretch>
                        </pic:blipFill>
                        <pic:spPr>
                          <a:xfrm>
                            <a:off x="0" y="0"/>
                            <a:ext cx="2640330" cy="1979930"/>
                          </a:xfrm>
                          <a:prstGeom prst="rect">
                            <a:avLst/>
                          </a:prstGeom>
                        </pic:spPr>
                      </pic:pic>
                    </a:graphicData>
                  </a:graphic>
                </wp:inline>
              </w:drawing>
            </w:r>
          </w:p>
        </w:tc>
      </w:tr>
      <w:tr w14:paraId="236380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00" w:type="pct"/>
            <w:tcBorders>
              <w:tl2br w:val="nil"/>
              <w:tr2bl w:val="nil"/>
            </w:tcBorders>
            <w:vAlign w:val="center"/>
          </w:tcPr>
          <w:p w14:paraId="4CEDD7F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pPr>
            <w:r>
              <w:rPr>
                <w:rFonts w:hint="eastAsia" w:cs="Times New Roman"/>
                <w:b/>
                <w:bCs/>
                <w:snapToGrid w:val="0"/>
                <w:color w:val="000000" w:themeColor="text1"/>
                <w:sz w:val="21"/>
                <w:szCs w:val="21"/>
                <w:highlight w:val="none"/>
                <w:vertAlign w:val="baseline"/>
                <w:lang w:val="en-US" w:eastAsia="zh-CN"/>
                <w14:textFill>
                  <w14:solidFill>
                    <w14:schemeClr w14:val="tx1"/>
                  </w14:solidFill>
                </w14:textFill>
              </w:rPr>
              <w:t>危险废物暂存间</w:t>
            </w:r>
          </w:p>
        </w:tc>
        <w:tc>
          <w:tcPr>
            <w:tcW w:w="2500" w:type="pct"/>
            <w:tcBorders>
              <w:tl2br w:val="nil"/>
              <w:tr2bl w:val="nil"/>
            </w:tcBorders>
            <w:vAlign w:val="center"/>
          </w:tcPr>
          <w:p w14:paraId="6AE13E9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napToGrid w:val="0"/>
                <w:color w:val="000000" w:themeColor="text1"/>
                <w:sz w:val="21"/>
                <w:szCs w:val="21"/>
                <w:highlight w:val="none"/>
                <w:vertAlign w:val="baseline"/>
                <w:lang w:val="en-US" w:eastAsia="zh-CN"/>
                <w14:textFill>
                  <w14:solidFill>
                    <w14:schemeClr w14:val="tx1"/>
                  </w14:solidFill>
                </w14:textFill>
              </w:rPr>
            </w:pPr>
            <w:r>
              <w:rPr>
                <w:rFonts w:hint="eastAsia" w:cs="Times New Roman"/>
                <w:b/>
                <w:bCs/>
                <w:snapToGrid w:val="0"/>
                <w:color w:val="000000" w:themeColor="text1"/>
                <w:sz w:val="21"/>
                <w:szCs w:val="21"/>
                <w:highlight w:val="none"/>
                <w:vertAlign w:val="baseline"/>
                <w:lang w:val="en-US" w:eastAsia="zh-CN"/>
                <w14:textFill>
                  <w14:solidFill>
                    <w14:schemeClr w14:val="tx1"/>
                  </w14:solidFill>
                </w14:textFill>
              </w:rPr>
              <w:t>厌氧池</w:t>
            </w:r>
          </w:p>
        </w:tc>
      </w:tr>
    </w:tbl>
    <w:p w14:paraId="2CFFCCE4">
      <w:pPr>
        <w:pStyle w:val="19"/>
        <w:bidi w:val="0"/>
        <w:rPr>
          <w:rFonts w:hint="default"/>
          <w:color w:val="000000" w:themeColor="text1"/>
          <w:highlight w:val="none"/>
          <w:lang w:val="en-US" w:eastAsia="zh-CN"/>
          <w14:textFill>
            <w14:solidFill>
              <w14:schemeClr w14:val="tx1"/>
            </w14:solidFill>
          </w14:textFill>
        </w:rPr>
        <w:sectPr>
          <w:pgSz w:w="16838" w:h="11906" w:orient="landscape"/>
          <w:pgMar w:top="1440" w:right="1797" w:bottom="1440" w:left="179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color w:val="000000" w:themeColor="text1"/>
          <w:highlight w:val="none"/>
          <w:lang w:val="en-US" w:eastAsia="zh-CN"/>
          <w14:textFill>
            <w14:solidFill>
              <w14:schemeClr w14:val="tx1"/>
            </w14:solidFill>
          </w14:textFill>
        </w:rPr>
        <w:t>图2-2  一期工程现场图</w:t>
      </w:r>
    </w:p>
    <w:tbl>
      <w:tblPr>
        <w:tblStyle w:val="1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74"/>
        <w:gridCol w:w="8154"/>
      </w:tblGrid>
      <w:tr w14:paraId="3E59E9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4" w:hRule="atLeast"/>
          <w:jc w:val="center"/>
        </w:trPr>
        <w:tc>
          <w:tcPr>
            <w:tcW w:w="400" w:type="pct"/>
            <w:noWrap w:val="0"/>
            <w:vAlign w:val="center"/>
          </w:tcPr>
          <w:p w14:paraId="674B36B0">
            <w:pPr>
              <w:adjustRightInd w:val="0"/>
              <w:snapToGrid w:val="0"/>
              <w:spacing w:before="0" w:beforeAutospacing="0" w:after="0" w:afterAutospacing="0"/>
              <w:jc w:val="center"/>
              <w:rPr>
                <w:rFonts w:hint="eastAsia" w:cs="宋体"/>
                <w:color w:val="000000" w:themeColor="text1"/>
                <w:szCs w:val="24"/>
                <w:highlight w:val="none"/>
                <w14:textFill>
                  <w14:solidFill>
                    <w14:schemeClr w14:val="tx1"/>
                  </w14:solidFill>
                </w14:textFill>
              </w:rPr>
            </w:pPr>
            <w:r>
              <w:rPr>
                <w:rFonts w:hint="eastAsia" w:cs="宋体"/>
                <w:color w:val="000000" w:themeColor="text1"/>
                <w:szCs w:val="24"/>
                <w:highlight w:val="none"/>
                <w14:textFill>
                  <w14:solidFill>
                    <w14:schemeClr w14:val="tx1"/>
                  </w14:solidFill>
                </w14:textFill>
              </w:rPr>
              <w:t>建设内容</w:t>
            </w:r>
          </w:p>
        </w:tc>
        <w:tc>
          <w:tcPr>
            <w:tcW w:w="4599" w:type="pct"/>
            <w:noWrap w:val="0"/>
            <w:vAlign w:val="top"/>
          </w:tcPr>
          <w:p w14:paraId="2D7F8A31">
            <w:pPr>
              <w:keepNext w:val="0"/>
              <w:keepLines w:val="0"/>
              <w:pageBreakBefore w:val="0"/>
              <w:widowControl w:val="0"/>
              <w:kinsoku/>
              <w:wordWrap/>
              <w:overflowPunct/>
              <w:topLinePunct w:val="0"/>
              <w:autoSpaceDE/>
              <w:autoSpaceDN/>
              <w:bidi w:val="0"/>
              <w:adjustRightInd w:val="0"/>
              <w:snapToGrid w:val="0"/>
              <w:textAlignment w:val="auto"/>
              <w:rPr>
                <w:rFonts w:hint="eastAsia" w:eastAsia="宋体"/>
                <w:b/>
                <w:bCs/>
                <w:color w:val="000000" w:themeColor="text1"/>
                <w:highlight w:val="none"/>
                <w:lang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5、</w:t>
            </w:r>
            <w:r>
              <w:rPr>
                <w:rFonts w:hint="eastAsia"/>
                <w:b/>
                <w:bCs/>
                <w:color w:val="000000" w:themeColor="text1"/>
                <w:highlight w:val="none"/>
                <w:lang w:eastAsia="zh-CN"/>
                <w14:textFill>
                  <w14:solidFill>
                    <w14:schemeClr w14:val="tx1"/>
                  </w14:solidFill>
                </w14:textFill>
              </w:rPr>
              <w:t>改造工程主要建设内容</w:t>
            </w:r>
          </w:p>
          <w:p w14:paraId="49B19AB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本项目在升级改造施工期间，将采取不停产施工与临时应急处理相结合的方式保障污水全处理：大部分施工工序不影响现有设施正常运行，可实现边施工边运行；仅在管道对接等必要环节短期短时停产时，将污水临时接入二期工程处理，确保施工期无未经处理的污水直接外排。</w:t>
            </w:r>
          </w:p>
          <w:p w14:paraId="559A65F7">
            <w:pPr>
              <w:pStyle w:val="20"/>
              <w:bidi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表2-3  改扩建后一期工程主要设备表</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详细设备清单间附件7</w:t>
            </w:r>
            <w:r>
              <w:rPr>
                <w:rFonts w:hint="eastAsia"/>
                <w:color w:val="000000" w:themeColor="text1"/>
                <w:highlight w:val="none"/>
                <w:lang w:eastAsia="zh-CN"/>
                <w14:textFill>
                  <w14:solidFill>
                    <w14:schemeClr w14:val="tx1"/>
                  </w14:solidFill>
                </w14:textFill>
              </w:rPr>
              <w:t>）</w:t>
            </w:r>
          </w:p>
          <w:tbl>
            <w:tblPr>
              <w:tblStyle w:val="13"/>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50"/>
              <w:gridCol w:w="1574"/>
              <w:gridCol w:w="3268"/>
              <w:gridCol w:w="751"/>
              <w:gridCol w:w="567"/>
              <w:gridCol w:w="1192"/>
            </w:tblGrid>
            <w:tr w14:paraId="0D7615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5CBEF6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序号</w:t>
                  </w:r>
                </w:p>
              </w:tc>
              <w:tc>
                <w:tcPr>
                  <w:tcW w:w="1025" w:type="pct"/>
                  <w:tcBorders>
                    <w:tl2br w:val="nil"/>
                    <w:tr2bl w:val="nil"/>
                  </w:tcBorders>
                  <w:noWrap w:val="0"/>
                  <w:vAlign w:val="center"/>
                </w:tcPr>
                <w:p w14:paraId="204170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名称</w:t>
                  </w:r>
                </w:p>
              </w:tc>
              <w:tc>
                <w:tcPr>
                  <w:tcW w:w="2097" w:type="pct"/>
                  <w:tcBorders>
                    <w:tl2br w:val="nil"/>
                    <w:tr2bl w:val="nil"/>
                  </w:tcBorders>
                  <w:noWrap w:val="0"/>
                  <w:vAlign w:val="center"/>
                </w:tcPr>
                <w:p w14:paraId="4CB3C0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规格参数</w:t>
                  </w:r>
                </w:p>
              </w:tc>
              <w:tc>
                <w:tcPr>
                  <w:tcW w:w="392" w:type="pct"/>
                  <w:tcBorders>
                    <w:tl2br w:val="nil"/>
                    <w:tr2bl w:val="nil"/>
                  </w:tcBorders>
                  <w:noWrap w:val="0"/>
                  <w:vAlign w:val="center"/>
                </w:tcPr>
                <w:p w14:paraId="10F359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单位</w:t>
                  </w:r>
                </w:p>
              </w:tc>
              <w:tc>
                <w:tcPr>
                  <w:tcW w:w="387" w:type="pct"/>
                  <w:tcBorders>
                    <w:tl2br w:val="nil"/>
                    <w:tr2bl w:val="nil"/>
                  </w:tcBorders>
                  <w:noWrap w:val="0"/>
                  <w:vAlign w:val="center"/>
                </w:tcPr>
                <w:p w14:paraId="693A02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数量</w:t>
                  </w:r>
                </w:p>
              </w:tc>
              <w:tc>
                <w:tcPr>
                  <w:tcW w:w="780" w:type="pct"/>
                  <w:tcBorders>
                    <w:tl2br w:val="nil"/>
                    <w:tr2bl w:val="nil"/>
                  </w:tcBorders>
                  <w:noWrap w:val="0"/>
                  <w:vAlign w:val="center"/>
                </w:tcPr>
                <w:p w14:paraId="665E51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备注</w:t>
                  </w:r>
                </w:p>
              </w:tc>
            </w:tr>
            <w:tr w14:paraId="0674C6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center"/>
                </w:tcPr>
                <w:p w14:paraId="3DB78F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1、提升泵房</w:t>
                  </w:r>
                </w:p>
              </w:tc>
            </w:tr>
            <w:tr w14:paraId="1E8B88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7E9E27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p>
              </w:tc>
              <w:tc>
                <w:tcPr>
                  <w:tcW w:w="1025" w:type="pct"/>
                  <w:tcBorders>
                    <w:tl2br w:val="nil"/>
                    <w:tr2bl w:val="nil"/>
                  </w:tcBorders>
                  <w:noWrap w:val="0"/>
                  <w:vAlign w:val="center"/>
                </w:tcPr>
                <w:p w14:paraId="1441D75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提升泵</w:t>
                  </w:r>
                </w:p>
              </w:tc>
              <w:tc>
                <w:tcPr>
                  <w:tcW w:w="2097" w:type="pct"/>
                  <w:tcBorders>
                    <w:tl2br w:val="nil"/>
                    <w:tr2bl w:val="nil"/>
                  </w:tcBorders>
                  <w:noWrap w:val="0"/>
                  <w:vAlign w:val="center"/>
                </w:tcPr>
                <w:p w14:paraId="204DCED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t>立式离心泵，Q=375m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t>/h，H=14m，N=22kw</w:t>
                  </w:r>
                  <w: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t>。</w:t>
                  </w:r>
                </w:p>
              </w:tc>
              <w:tc>
                <w:tcPr>
                  <w:tcW w:w="392" w:type="pct"/>
                  <w:tcBorders>
                    <w:tl2br w:val="nil"/>
                    <w:tr2bl w:val="nil"/>
                  </w:tcBorders>
                  <w:noWrap w:val="0"/>
                  <w:vAlign w:val="center"/>
                </w:tcPr>
                <w:p w14:paraId="24712B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5</w:t>
                  </w:r>
                </w:p>
              </w:tc>
              <w:tc>
                <w:tcPr>
                  <w:tcW w:w="387" w:type="pct"/>
                  <w:tcBorders>
                    <w:tl2br w:val="nil"/>
                    <w:tr2bl w:val="nil"/>
                  </w:tcBorders>
                  <w:noWrap w:val="0"/>
                  <w:vAlign w:val="center"/>
                </w:tcPr>
                <w:p w14:paraId="427A9E5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台</w:t>
                  </w:r>
                </w:p>
              </w:tc>
              <w:tc>
                <w:tcPr>
                  <w:tcW w:w="780" w:type="pct"/>
                  <w:tcBorders>
                    <w:tl2br w:val="nil"/>
                    <w:tr2bl w:val="nil"/>
                  </w:tcBorders>
                  <w:noWrap w:val="0"/>
                  <w:vAlign w:val="center"/>
                </w:tcPr>
                <w:p w14:paraId="0201925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更换3台，预留位置新增2台。</w:t>
                  </w:r>
                </w:p>
              </w:tc>
            </w:tr>
            <w:tr w14:paraId="5BD254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center"/>
                </w:tcPr>
                <w:p w14:paraId="505AC8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2、细栅格间</w:t>
                  </w:r>
                </w:p>
              </w:tc>
            </w:tr>
            <w:tr w14:paraId="67CB0D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0BAB3B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p>
              </w:tc>
              <w:tc>
                <w:tcPr>
                  <w:tcW w:w="1025" w:type="pct"/>
                  <w:tcBorders>
                    <w:tl2br w:val="nil"/>
                    <w:tr2bl w:val="nil"/>
                  </w:tcBorders>
                  <w:noWrap w:val="0"/>
                  <w:vAlign w:val="center"/>
                </w:tcPr>
                <w:p w14:paraId="330827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细栅格</w:t>
                  </w:r>
                </w:p>
              </w:tc>
              <w:tc>
                <w:tcPr>
                  <w:tcW w:w="2097" w:type="pct"/>
                  <w:tcBorders>
                    <w:tl2br w:val="nil"/>
                    <w:tr2bl w:val="nil"/>
                  </w:tcBorders>
                  <w:noWrap w:val="0"/>
                  <w:vAlign w:val="center"/>
                </w:tcPr>
                <w:p w14:paraId="58CFC5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t>转鼓式细格栅，900*2000mm，筛缝</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t>mm，ss316，配套阀门管件</w:t>
                  </w:r>
                  <w: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t>。</w:t>
                  </w:r>
                </w:p>
              </w:tc>
              <w:tc>
                <w:tcPr>
                  <w:tcW w:w="392" w:type="pct"/>
                  <w:tcBorders>
                    <w:tl2br w:val="nil"/>
                    <w:tr2bl w:val="nil"/>
                  </w:tcBorders>
                  <w:noWrap w:val="0"/>
                  <w:vAlign w:val="center"/>
                </w:tcPr>
                <w:p w14:paraId="662BF2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4</w:t>
                  </w:r>
                </w:p>
              </w:tc>
              <w:tc>
                <w:tcPr>
                  <w:tcW w:w="387" w:type="pct"/>
                  <w:tcBorders>
                    <w:tl2br w:val="nil"/>
                    <w:tr2bl w:val="nil"/>
                  </w:tcBorders>
                  <w:noWrap w:val="0"/>
                  <w:vAlign w:val="center"/>
                </w:tcPr>
                <w:p w14:paraId="4EC69C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台</w:t>
                  </w:r>
                </w:p>
              </w:tc>
              <w:tc>
                <w:tcPr>
                  <w:tcW w:w="780" w:type="pct"/>
                  <w:tcBorders>
                    <w:tl2br w:val="nil"/>
                    <w:tr2bl w:val="nil"/>
                  </w:tcBorders>
                  <w:noWrap w:val="0"/>
                  <w:vAlign w:val="center"/>
                </w:tcPr>
                <w:p w14:paraId="1FD89A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拆除2台，安装4台</w:t>
                  </w:r>
                </w:p>
              </w:tc>
            </w:tr>
            <w:tr w14:paraId="58B53B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48C635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w:t>
                  </w:r>
                </w:p>
              </w:tc>
              <w:tc>
                <w:tcPr>
                  <w:tcW w:w="1025" w:type="pct"/>
                  <w:tcBorders>
                    <w:tl2br w:val="nil"/>
                    <w:tr2bl w:val="nil"/>
                  </w:tcBorders>
                  <w:noWrap w:val="0"/>
                  <w:vAlign w:val="center"/>
                </w:tcPr>
                <w:p w14:paraId="140B522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螺旋挤压机</w:t>
                  </w:r>
                </w:p>
              </w:tc>
              <w:tc>
                <w:tcPr>
                  <w:tcW w:w="2097" w:type="pct"/>
                  <w:tcBorders>
                    <w:tl2br w:val="nil"/>
                    <w:tr2bl w:val="nil"/>
                  </w:tcBorders>
                  <w:noWrap w:val="0"/>
                  <w:vAlign w:val="center"/>
                </w:tcPr>
                <w:p w14:paraId="1292ECA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t>lyz-300/6，材质：ss304/1.1</w:t>
                  </w:r>
                  <w: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t>kW</w:t>
                  </w:r>
                </w:p>
              </w:tc>
              <w:tc>
                <w:tcPr>
                  <w:tcW w:w="392" w:type="pct"/>
                  <w:tcBorders>
                    <w:tl2br w:val="nil"/>
                    <w:tr2bl w:val="nil"/>
                  </w:tcBorders>
                  <w:noWrap w:val="0"/>
                  <w:vAlign w:val="center"/>
                </w:tcPr>
                <w:p w14:paraId="32E84F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w:t>
                  </w:r>
                </w:p>
              </w:tc>
              <w:tc>
                <w:tcPr>
                  <w:tcW w:w="387" w:type="pct"/>
                  <w:tcBorders>
                    <w:tl2br w:val="nil"/>
                    <w:tr2bl w:val="nil"/>
                  </w:tcBorders>
                  <w:noWrap w:val="0"/>
                  <w:vAlign w:val="center"/>
                </w:tcPr>
                <w:p w14:paraId="08E1F61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台</w:t>
                  </w:r>
                </w:p>
              </w:tc>
              <w:tc>
                <w:tcPr>
                  <w:tcW w:w="780" w:type="pct"/>
                  <w:tcBorders>
                    <w:tl2br w:val="nil"/>
                    <w:tr2bl w:val="nil"/>
                  </w:tcBorders>
                  <w:noWrap w:val="0"/>
                  <w:vAlign w:val="center"/>
                </w:tcPr>
                <w:p w14:paraId="5F1F7E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w:t>
                  </w:r>
                </w:p>
              </w:tc>
            </w:tr>
            <w:tr w14:paraId="7F1DDE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4CF7D0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w:t>
                  </w:r>
                </w:p>
              </w:tc>
              <w:tc>
                <w:tcPr>
                  <w:tcW w:w="1025" w:type="pct"/>
                  <w:tcBorders>
                    <w:tl2br w:val="nil"/>
                    <w:tr2bl w:val="nil"/>
                  </w:tcBorders>
                  <w:noWrap w:val="0"/>
                  <w:vAlign w:val="center"/>
                </w:tcPr>
                <w:p w14:paraId="7A4D2C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增压清洗泵</w:t>
                  </w:r>
                </w:p>
              </w:tc>
              <w:tc>
                <w:tcPr>
                  <w:tcW w:w="2097" w:type="pct"/>
                  <w:tcBorders>
                    <w:tl2br w:val="nil"/>
                    <w:tr2bl w:val="nil"/>
                  </w:tcBorders>
                  <w:noWrap w:val="0"/>
                  <w:vAlign w:val="center"/>
                </w:tcPr>
                <w:p w14:paraId="37714A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t>供水能力</w:t>
                  </w:r>
                  <w: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t>p=4bar、流量约3m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t>/h</w:t>
                  </w:r>
                </w:p>
              </w:tc>
              <w:tc>
                <w:tcPr>
                  <w:tcW w:w="392" w:type="pct"/>
                  <w:tcBorders>
                    <w:tl2br w:val="nil"/>
                    <w:tr2bl w:val="nil"/>
                  </w:tcBorders>
                  <w:noWrap w:val="0"/>
                  <w:vAlign w:val="center"/>
                </w:tcPr>
                <w:p w14:paraId="79C58E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p>
              </w:tc>
              <w:tc>
                <w:tcPr>
                  <w:tcW w:w="387" w:type="pct"/>
                  <w:tcBorders>
                    <w:tl2br w:val="nil"/>
                    <w:tr2bl w:val="nil"/>
                  </w:tcBorders>
                  <w:noWrap w:val="0"/>
                  <w:vAlign w:val="center"/>
                </w:tcPr>
                <w:p w14:paraId="3CFD273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台</w:t>
                  </w:r>
                </w:p>
              </w:tc>
              <w:tc>
                <w:tcPr>
                  <w:tcW w:w="780" w:type="pct"/>
                  <w:tcBorders>
                    <w:tl2br w:val="nil"/>
                    <w:tr2bl w:val="nil"/>
                  </w:tcBorders>
                  <w:noWrap w:val="0"/>
                  <w:vAlign w:val="center"/>
                </w:tcPr>
                <w:p w14:paraId="25704F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w:t>
                  </w:r>
                </w:p>
              </w:tc>
            </w:tr>
            <w:tr w14:paraId="10E58F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center"/>
                </w:tcPr>
                <w:p w14:paraId="68F6E8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3、沉砂池</w:t>
                  </w:r>
                </w:p>
              </w:tc>
            </w:tr>
            <w:tr w14:paraId="59B296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0CE9949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1025" w:type="pct"/>
                  <w:tcBorders>
                    <w:tl2br w:val="nil"/>
                    <w:tr2bl w:val="nil"/>
                  </w:tcBorders>
                  <w:noWrap w:val="0"/>
                  <w:vAlign w:val="center"/>
                </w:tcPr>
                <w:p w14:paraId="799F4AB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循环式齿耙清污机</w:t>
                  </w:r>
                </w:p>
              </w:tc>
              <w:tc>
                <w:tcPr>
                  <w:tcW w:w="2097" w:type="pct"/>
                  <w:tcBorders>
                    <w:tl2br w:val="nil"/>
                    <w:tr2bl w:val="nil"/>
                  </w:tcBorders>
                  <w:noWrap w:val="0"/>
                  <w:vAlign w:val="center"/>
                </w:tcPr>
                <w:p w14:paraId="5459DB9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型号：XQ1.3x1.8电机功率：1.1kW</w:t>
                  </w:r>
                </w:p>
              </w:tc>
              <w:tc>
                <w:tcPr>
                  <w:tcW w:w="392" w:type="pct"/>
                  <w:tcBorders>
                    <w:tl2br w:val="nil"/>
                    <w:tr2bl w:val="nil"/>
                  </w:tcBorders>
                  <w:noWrap w:val="0"/>
                  <w:vAlign w:val="center"/>
                </w:tcPr>
                <w:p w14:paraId="6F5C09E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387" w:type="pct"/>
                  <w:tcBorders>
                    <w:tl2br w:val="nil"/>
                    <w:tr2bl w:val="nil"/>
                  </w:tcBorders>
                  <w:noWrap w:val="0"/>
                  <w:vAlign w:val="center"/>
                </w:tcPr>
                <w:p w14:paraId="70EEC3B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702B25B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更换1台</w:t>
                  </w:r>
                </w:p>
              </w:tc>
            </w:tr>
            <w:tr w14:paraId="2E822D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7628307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1025" w:type="pct"/>
                  <w:tcBorders>
                    <w:tl2br w:val="nil"/>
                    <w:tr2bl w:val="nil"/>
                  </w:tcBorders>
                  <w:noWrap w:val="0"/>
                  <w:vAlign w:val="center"/>
                </w:tcPr>
                <w:p w14:paraId="67EF6A0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螺旋式给料机</w:t>
                  </w:r>
                </w:p>
              </w:tc>
              <w:tc>
                <w:tcPr>
                  <w:tcW w:w="2097" w:type="pct"/>
                  <w:tcBorders>
                    <w:tl2br w:val="nil"/>
                    <w:tr2bl w:val="nil"/>
                  </w:tcBorders>
                  <w:noWrap w:val="0"/>
                  <w:vAlign w:val="center"/>
                </w:tcPr>
                <w:p w14:paraId="4EE244B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BLEY2718-289-3，电机功率：1.1kW</w:t>
                  </w:r>
                </w:p>
              </w:tc>
              <w:tc>
                <w:tcPr>
                  <w:tcW w:w="392" w:type="pct"/>
                  <w:tcBorders>
                    <w:tl2br w:val="nil"/>
                    <w:tr2bl w:val="nil"/>
                  </w:tcBorders>
                  <w:noWrap w:val="0"/>
                  <w:vAlign w:val="center"/>
                </w:tcPr>
                <w:p w14:paraId="6F35151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387" w:type="pct"/>
                  <w:tcBorders>
                    <w:tl2br w:val="nil"/>
                    <w:tr2bl w:val="nil"/>
                  </w:tcBorders>
                  <w:noWrap w:val="0"/>
                  <w:vAlign w:val="center"/>
                </w:tcPr>
                <w:p w14:paraId="42D77BA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328D30E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更换1台</w:t>
                  </w:r>
                </w:p>
              </w:tc>
            </w:tr>
            <w:tr w14:paraId="2EBCA6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1842ED3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1025" w:type="pct"/>
                  <w:tcBorders>
                    <w:tl2br w:val="nil"/>
                    <w:tr2bl w:val="nil"/>
                  </w:tcBorders>
                  <w:noWrap w:val="0"/>
                  <w:vAlign w:val="center"/>
                </w:tcPr>
                <w:p w14:paraId="32A655B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旋流沉砂器</w:t>
                  </w:r>
                </w:p>
              </w:tc>
              <w:tc>
                <w:tcPr>
                  <w:tcW w:w="2097" w:type="pct"/>
                  <w:tcBorders>
                    <w:tl2br w:val="nil"/>
                    <w:tr2bl w:val="nil"/>
                  </w:tcBorders>
                  <w:noWrap w:val="0"/>
                  <w:vAlign w:val="center"/>
                </w:tcPr>
                <w:p w14:paraId="500BBA9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型号：XLC-720电机功率：1.1kW</w:t>
                  </w:r>
                </w:p>
              </w:tc>
              <w:tc>
                <w:tcPr>
                  <w:tcW w:w="392" w:type="pct"/>
                  <w:tcBorders>
                    <w:tl2br w:val="nil"/>
                    <w:tr2bl w:val="nil"/>
                  </w:tcBorders>
                  <w:noWrap w:val="0"/>
                  <w:vAlign w:val="center"/>
                </w:tcPr>
                <w:p w14:paraId="11EA2CE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387" w:type="pct"/>
                  <w:tcBorders>
                    <w:tl2br w:val="nil"/>
                    <w:tr2bl w:val="nil"/>
                  </w:tcBorders>
                  <w:noWrap w:val="0"/>
                  <w:vAlign w:val="center"/>
                </w:tcPr>
                <w:p w14:paraId="6790777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57947DA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更换2台</w:t>
                  </w:r>
                </w:p>
              </w:tc>
            </w:tr>
            <w:tr w14:paraId="0D51EB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0958900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1025" w:type="pct"/>
                  <w:tcBorders>
                    <w:tl2br w:val="nil"/>
                    <w:tr2bl w:val="nil"/>
                  </w:tcBorders>
                  <w:noWrap w:val="0"/>
                  <w:vAlign w:val="center"/>
                </w:tcPr>
                <w:p w14:paraId="1A50594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旋流沉砂器电机</w:t>
                  </w:r>
                </w:p>
              </w:tc>
              <w:tc>
                <w:tcPr>
                  <w:tcW w:w="2097" w:type="pct"/>
                  <w:tcBorders>
                    <w:tl2br w:val="nil"/>
                    <w:tr2bl w:val="nil"/>
                  </w:tcBorders>
                  <w:noWrap w:val="0"/>
                  <w:vAlign w:val="center"/>
                </w:tcPr>
                <w:p w14:paraId="3C46172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型号：YZ-90S-4功率：1.1kW</w:t>
                  </w:r>
                </w:p>
              </w:tc>
              <w:tc>
                <w:tcPr>
                  <w:tcW w:w="392" w:type="pct"/>
                  <w:tcBorders>
                    <w:tl2br w:val="nil"/>
                    <w:tr2bl w:val="nil"/>
                  </w:tcBorders>
                  <w:noWrap w:val="0"/>
                  <w:vAlign w:val="center"/>
                </w:tcPr>
                <w:p w14:paraId="542A499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387" w:type="pct"/>
                  <w:tcBorders>
                    <w:tl2br w:val="nil"/>
                    <w:tr2bl w:val="nil"/>
                  </w:tcBorders>
                  <w:noWrap w:val="0"/>
                  <w:vAlign w:val="center"/>
                </w:tcPr>
                <w:p w14:paraId="0881A52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0483063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更换2台</w:t>
                  </w:r>
                </w:p>
              </w:tc>
            </w:tr>
            <w:tr w14:paraId="5E5D9E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69CE94B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1025" w:type="pct"/>
                  <w:tcBorders>
                    <w:tl2br w:val="nil"/>
                    <w:tr2bl w:val="nil"/>
                  </w:tcBorders>
                  <w:noWrap w:val="0"/>
                  <w:vAlign w:val="center"/>
                </w:tcPr>
                <w:p w14:paraId="084DCBD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世通三叶风机</w:t>
                  </w:r>
                </w:p>
              </w:tc>
              <w:tc>
                <w:tcPr>
                  <w:tcW w:w="2097" w:type="pct"/>
                  <w:tcBorders>
                    <w:tl2br w:val="nil"/>
                    <w:tr2bl w:val="nil"/>
                  </w:tcBorders>
                  <w:noWrap w:val="0"/>
                  <w:vAlign w:val="center"/>
                </w:tcPr>
                <w:p w14:paraId="47EFA67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型号：ZSSR-80，流量：3.66m</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/min升压：49kpa</w:t>
                  </w:r>
                </w:p>
              </w:tc>
              <w:tc>
                <w:tcPr>
                  <w:tcW w:w="392" w:type="pct"/>
                  <w:tcBorders>
                    <w:tl2br w:val="nil"/>
                    <w:tr2bl w:val="nil"/>
                  </w:tcBorders>
                  <w:noWrap w:val="0"/>
                  <w:vAlign w:val="center"/>
                </w:tcPr>
                <w:p w14:paraId="5881FCD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387" w:type="pct"/>
                  <w:tcBorders>
                    <w:tl2br w:val="nil"/>
                    <w:tr2bl w:val="nil"/>
                  </w:tcBorders>
                  <w:noWrap w:val="0"/>
                  <w:vAlign w:val="center"/>
                </w:tcPr>
                <w:p w14:paraId="73F45A3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41E3DD8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更换2台</w:t>
                  </w:r>
                </w:p>
              </w:tc>
            </w:tr>
            <w:tr w14:paraId="1B460D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0D1AFAF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1025" w:type="pct"/>
                  <w:tcBorders>
                    <w:tl2br w:val="nil"/>
                    <w:tr2bl w:val="nil"/>
                  </w:tcBorders>
                  <w:noWrap w:val="0"/>
                  <w:vAlign w:val="center"/>
                </w:tcPr>
                <w:p w14:paraId="45C2EA0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螺旋式砂水分离器</w:t>
                  </w:r>
                </w:p>
              </w:tc>
              <w:tc>
                <w:tcPr>
                  <w:tcW w:w="2097" w:type="pct"/>
                  <w:tcBorders>
                    <w:tl2br w:val="nil"/>
                    <w:tr2bl w:val="nil"/>
                  </w:tcBorders>
                  <w:noWrap w:val="0"/>
                  <w:vAlign w:val="center"/>
                </w:tcPr>
                <w:p w14:paraId="0446C93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型号：SF260处理量：5-12L/S</w:t>
                  </w:r>
                </w:p>
              </w:tc>
              <w:tc>
                <w:tcPr>
                  <w:tcW w:w="392" w:type="pct"/>
                  <w:tcBorders>
                    <w:tl2br w:val="nil"/>
                    <w:tr2bl w:val="nil"/>
                  </w:tcBorders>
                  <w:noWrap w:val="0"/>
                  <w:vAlign w:val="center"/>
                </w:tcPr>
                <w:p w14:paraId="363E985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387" w:type="pct"/>
                  <w:tcBorders>
                    <w:tl2br w:val="nil"/>
                    <w:tr2bl w:val="nil"/>
                  </w:tcBorders>
                  <w:noWrap w:val="0"/>
                  <w:vAlign w:val="center"/>
                </w:tcPr>
                <w:p w14:paraId="3E9134E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2E8DA3F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更换1台</w:t>
                  </w:r>
                </w:p>
              </w:tc>
            </w:tr>
            <w:tr w14:paraId="5D3A48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0D5A292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c>
                <w:tcPr>
                  <w:tcW w:w="1025" w:type="pct"/>
                  <w:tcBorders>
                    <w:tl2br w:val="nil"/>
                    <w:tr2bl w:val="nil"/>
                  </w:tcBorders>
                  <w:noWrap w:val="0"/>
                  <w:vAlign w:val="center"/>
                </w:tcPr>
                <w:p w14:paraId="369277C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砂水分离器电机</w:t>
                  </w:r>
                </w:p>
              </w:tc>
              <w:tc>
                <w:tcPr>
                  <w:tcW w:w="2097" w:type="pct"/>
                  <w:tcBorders>
                    <w:tl2br w:val="nil"/>
                    <w:tr2bl w:val="nil"/>
                  </w:tcBorders>
                  <w:noWrap w:val="0"/>
                  <w:vAlign w:val="center"/>
                </w:tcPr>
                <w:p w14:paraId="22E82D4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型号：YZ-712-4功率：0.37kW</w:t>
                  </w:r>
                </w:p>
              </w:tc>
              <w:tc>
                <w:tcPr>
                  <w:tcW w:w="392" w:type="pct"/>
                  <w:tcBorders>
                    <w:tl2br w:val="nil"/>
                    <w:tr2bl w:val="nil"/>
                  </w:tcBorders>
                  <w:noWrap w:val="0"/>
                  <w:vAlign w:val="center"/>
                </w:tcPr>
                <w:p w14:paraId="5F51445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387" w:type="pct"/>
                  <w:tcBorders>
                    <w:tl2br w:val="nil"/>
                    <w:tr2bl w:val="nil"/>
                  </w:tcBorders>
                  <w:noWrap w:val="0"/>
                  <w:vAlign w:val="center"/>
                </w:tcPr>
                <w:p w14:paraId="2A3CCF8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21D6FF0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更换1台</w:t>
                  </w:r>
                </w:p>
              </w:tc>
            </w:tr>
            <w:tr w14:paraId="10599E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center"/>
                </w:tcPr>
                <w:p w14:paraId="6052164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4、厌氧、缺氧池</w:t>
                  </w:r>
                </w:p>
              </w:tc>
            </w:tr>
            <w:tr w14:paraId="573CFF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52EE3B3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1025" w:type="pct"/>
                  <w:tcBorders>
                    <w:tl2br w:val="nil"/>
                    <w:tr2bl w:val="nil"/>
                  </w:tcBorders>
                  <w:noWrap w:val="0"/>
                  <w:vAlign w:val="center"/>
                </w:tcPr>
                <w:p w14:paraId="33F92F2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潜水推流器1（厌氧池）</w:t>
                  </w:r>
                </w:p>
              </w:tc>
              <w:tc>
                <w:tcPr>
                  <w:tcW w:w="2097" w:type="pct"/>
                  <w:tcBorders>
                    <w:tl2br w:val="nil"/>
                    <w:tr2bl w:val="nil"/>
                  </w:tcBorders>
                  <w:noWrap w:val="0"/>
                  <w:vAlign w:val="center"/>
                </w:tcPr>
                <w:p w14:paraId="55AEA5D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1.D=2500mm，N=7.5kW，变频，包括提升装置、现场控制箱；2.材质：不锈钢。</w:t>
                  </w:r>
                </w:p>
              </w:tc>
              <w:tc>
                <w:tcPr>
                  <w:tcW w:w="392" w:type="pct"/>
                  <w:tcBorders>
                    <w:tl2br w:val="nil"/>
                    <w:tr2bl w:val="nil"/>
                  </w:tcBorders>
                  <w:noWrap w:val="0"/>
                  <w:vAlign w:val="center"/>
                </w:tcPr>
                <w:p w14:paraId="56E3584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387" w:type="pct"/>
                  <w:tcBorders>
                    <w:tl2br w:val="nil"/>
                    <w:tr2bl w:val="nil"/>
                  </w:tcBorders>
                  <w:noWrap w:val="0"/>
                  <w:vAlign w:val="center"/>
                </w:tcPr>
                <w:p w14:paraId="0EB78DB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台</w:t>
                  </w:r>
                </w:p>
              </w:tc>
              <w:tc>
                <w:tcPr>
                  <w:tcW w:w="780" w:type="pct"/>
                  <w:tcBorders>
                    <w:tl2br w:val="nil"/>
                    <w:tr2bl w:val="nil"/>
                  </w:tcBorders>
                  <w:noWrap w:val="0"/>
                  <w:vAlign w:val="center"/>
                </w:tcPr>
                <w:p w14:paraId="148FE91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5B242E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3614B48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1025" w:type="pct"/>
                  <w:tcBorders>
                    <w:tl2br w:val="nil"/>
                    <w:tr2bl w:val="nil"/>
                  </w:tcBorders>
                  <w:noWrap w:val="0"/>
                  <w:vAlign w:val="center"/>
                </w:tcPr>
                <w:p w14:paraId="1AFEEE1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潜水推流器2（缺氧池）</w:t>
                  </w:r>
                </w:p>
              </w:tc>
              <w:tc>
                <w:tcPr>
                  <w:tcW w:w="2097" w:type="pct"/>
                  <w:tcBorders>
                    <w:tl2br w:val="nil"/>
                    <w:tr2bl w:val="nil"/>
                  </w:tcBorders>
                  <w:noWrap w:val="0"/>
                  <w:vAlign w:val="center"/>
                </w:tcPr>
                <w:p w14:paraId="0D66C34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1.D=2500mm，N=7.5kW，变频，包括提升装置、现场控制箱；2.材质：不锈钢。</w:t>
                  </w:r>
                </w:p>
              </w:tc>
              <w:tc>
                <w:tcPr>
                  <w:tcW w:w="392" w:type="pct"/>
                  <w:tcBorders>
                    <w:tl2br w:val="nil"/>
                    <w:tr2bl w:val="nil"/>
                  </w:tcBorders>
                  <w:noWrap w:val="0"/>
                  <w:vAlign w:val="center"/>
                </w:tcPr>
                <w:p w14:paraId="7BDA54C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387" w:type="pct"/>
                  <w:tcBorders>
                    <w:tl2br w:val="nil"/>
                    <w:tr2bl w:val="nil"/>
                  </w:tcBorders>
                  <w:noWrap w:val="0"/>
                  <w:vAlign w:val="center"/>
                </w:tcPr>
                <w:p w14:paraId="75660A4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台</w:t>
                  </w:r>
                </w:p>
              </w:tc>
              <w:tc>
                <w:tcPr>
                  <w:tcW w:w="780" w:type="pct"/>
                  <w:tcBorders>
                    <w:tl2br w:val="nil"/>
                    <w:tr2bl w:val="nil"/>
                  </w:tcBorders>
                  <w:noWrap w:val="0"/>
                  <w:vAlign w:val="center"/>
                </w:tcPr>
                <w:p w14:paraId="6E3D3EA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00D6C0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1ADDD5C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1025" w:type="pct"/>
                  <w:tcBorders>
                    <w:tl2br w:val="nil"/>
                    <w:tr2bl w:val="nil"/>
                  </w:tcBorders>
                  <w:noWrap w:val="0"/>
                  <w:vAlign w:val="center"/>
                </w:tcPr>
                <w:p w14:paraId="03E6F3A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回流泵（缺氧池至厌氧池）</w:t>
                  </w:r>
                </w:p>
              </w:tc>
              <w:tc>
                <w:tcPr>
                  <w:tcW w:w="2097" w:type="pct"/>
                  <w:tcBorders>
                    <w:tl2br w:val="nil"/>
                    <w:tr2bl w:val="nil"/>
                  </w:tcBorders>
                  <w:noWrap w:val="0"/>
                  <w:vAlign w:val="center"/>
                </w:tcPr>
                <w:p w14:paraId="706DC6B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穿墙泵，Q=1250m³/h，H=1.2m，N=11kW，变频，配套现场控制箱、自耦装置、拍门等。</w:t>
                  </w:r>
                </w:p>
              </w:tc>
              <w:tc>
                <w:tcPr>
                  <w:tcW w:w="392" w:type="pct"/>
                  <w:tcBorders>
                    <w:tl2br w:val="nil"/>
                    <w:tr2bl w:val="nil"/>
                  </w:tcBorders>
                  <w:noWrap w:val="0"/>
                  <w:vAlign w:val="center"/>
                </w:tcPr>
                <w:p w14:paraId="50E1E1C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387" w:type="pct"/>
                  <w:tcBorders>
                    <w:tl2br w:val="nil"/>
                    <w:tr2bl w:val="nil"/>
                  </w:tcBorders>
                  <w:noWrap w:val="0"/>
                  <w:vAlign w:val="center"/>
                </w:tcPr>
                <w:p w14:paraId="1FDDA69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台</w:t>
                  </w:r>
                </w:p>
              </w:tc>
              <w:tc>
                <w:tcPr>
                  <w:tcW w:w="780" w:type="pct"/>
                  <w:tcBorders>
                    <w:tl2br w:val="nil"/>
                    <w:tr2bl w:val="nil"/>
                  </w:tcBorders>
                  <w:noWrap w:val="0"/>
                  <w:vAlign w:val="center"/>
                </w:tcPr>
                <w:p w14:paraId="3550D18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2用1备</w:t>
                  </w:r>
                </w:p>
              </w:tc>
            </w:tr>
            <w:tr w14:paraId="520274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center"/>
                </w:tcPr>
                <w:p w14:paraId="51855A6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5、缺氧池</w:t>
                  </w:r>
                </w:p>
              </w:tc>
            </w:tr>
            <w:tr w14:paraId="60B232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5871659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1025" w:type="pct"/>
                  <w:tcBorders>
                    <w:tl2br w:val="nil"/>
                    <w:tr2bl w:val="nil"/>
                  </w:tcBorders>
                  <w:noWrap w:val="0"/>
                  <w:vAlign w:val="center"/>
                </w:tcPr>
                <w:p w14:paraId="7936B3B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缺氧池（原厌氧池）潜水搅拌器</w:t>
                  </w:r>
                </w:p>
              </w:tc>
              <w:tc>
                <w:tcPr>
                  <w:tcW w:w="2097" w:type="pct"/>
                  <w:tcBorders>
                    <w:tl2br w:val="nil"/>
                    <w:tr2bl w:val="nil"/>
                  </w:tcBorders>
                  <w:noWrap w:val="0"/>
                  <w:vAlign w:val="center"/>
                </w:tcPr>
                <w:p w14:paraId="2EF7177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1.低速大扇叶潜水搅拌器，380V，50Hz，约1.5KW，包括提升装置；2.材质：不锈钢</w:t>
                  </w:r>
                </w:p>
              </w:tc>
              <w:tc>
                <w:tcPr>
                  <w:tcW w:w="392" w:type="pct"/>
                  <w:tcBorders>
                    <w:tl2br w:val="nil"/>
                    <w:tr2bl w:val="nil"/>
                  </w:tcBorders>
                  <w:noWrap w:val="0"/>
                  <w:vAlign w:val="center"/>
                </w:tcPr>
                <w:p w14:paraId="2D66C45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387" w:type="pct"/>
                  <w:tcBorders>
                    <w:tl2br w:val="nil"/>
                    <w:tr2bl w:val="nil"/>
                  </w:tcBorders>
                  <w:noWrap w:val="0"/>
                  <w:vAlign w:val="center"/>
                </w:tcPr>
                <w:p w14:paraId="0DDDEA4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台</w:t>
                  </w:r>
                </w:p>
              </w:tc>
              <w:tc>
                <w:tcPr>
                  <w:tcW w:w="780" w:type="pct"/>
                  <w:tcBorders>
                    <w:tl2br w:val="nil"/>
                    <w:tr2bl w:val="nil"/>
                  </w:tcBorders>
                  <w:noWrap w:val="0"/>
                  <w:vAlign w:val="center"/>
                </w:tcPr>
                <w:p w14:paraId="450DBD1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更换2台</w:t>
                  </w:r>
                </w:p>
              </w:tc>
            </w:tr>
            <w:tr w14:paraId="1FACAB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58C3491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1025" w:type="pct"/>
                  <w:tcBorders>
                    <w:tl2br w:val="nil"/>
                    <w:tr2bl w:val="nil"/>
                  </w:tcBorders>
                  <w:noWrap w:val="0"/>
                  <w:vAlign w:val="center"/>
                </w:tcPr>
                <w:p w14:paraId="5DCD66C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缺氧池潜水搅拌器</w:t>
                  </w:r>
                </w:p>
              </w:tc>
              <w:tc>
                <w:tcPr>
                  <w:tcW w:w="2097" w:type="pct"/>
                  <w:tcBorders>
                    <w:tl2br w:val="nil"/>
                    <w:tr2bl w:val="nil"/>
                  </w:tcBorders>
                  <w:noWrap w:val="0"/>
                  <w:vAlign w:val="center"/>
                </w:tcPr>
                <w:p w14:paraId="7FF4335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1.低速大扇叶潜水搅拌器，380V，50Hz，约1.5KW，包括提升装置；2.材质：不锈钢</w:t>
                  </w:r>
                </w:p>
              </w:tc>
              <w:tc>
                <w:tcPr>
                  <w:tcW w:w="392" w:type="pct"/>
                  <w:tcBorders>
                    <w:tl2br w:val="nil"/>
                    <w:tr2bl w:val="nil"/>
                  </w:tcBorders>
                  <w:noWrap w:val="0"/>
                  <w:vAlign w:val="center"/>
                </w:tcPr>
                <w:p w14:paraId="7FB0EB9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387" w:type="pct"/>
                  <w:tcBorders>
                    <w:tl2br w:val="nil"/>
                    <w:tr2bl w:val="nil"/>
                  </w:tcBorders>
                  <w:noWrap w:val="0"/>
                  <w:vAlign w:val="center"/>
                </w:tcPr>
                <w:p w14:paraId="786340F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台</w:t>
                  </w:r>
                </w:p>
              </w:tc>
              <w:tc>
                <w:tcPr>
                  <w:tcW w:w="780" w:type="pct"/>
                  <w:tcBorders>
                    <w:tl2br w:val="nil"/>
                    <w:tr2bl w:val="nil"/>
                  </w:tcBorders>
                  <w:noWrap w:val="0"/>
                  <w:vAlign w:val="center"/>
                </w:tcPr>
                <w:p w14:paraId="32630CD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更换4台</w:t>
                  </w:r>
                </w:p>
              </w:tc>
            </w:tr>
            <w:tr w14:paraId="7EADDE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446697A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1025" w:type="pct"/>
                  <w:tcBorders>
                    <w:tl2br w:val="nil"/>
                    <w:tr2bl w:val="nil"/>
                  </w:tcBorders>
                  <w:noWrap w:val="0"/>
                  <w:vAlign w:val="center"/>
                </w:tcPr>
                <w:p w14:paraId="33EACD0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选择池潜水搅拌器</w:t>
                  </w:r>
                </w:p>
              </w:tc>
              <w:tc>
                <w:tcPr>
                  <w:tcW w:w="2097" w:type="pct"/>
                  <w:tcBorders>
                    <w:tl2br w:val="nil"/>
                    <w:tr2bl w:val="nil"/>
                  </w:tcBorders>
                  <w:noWrap w:val="0"/>
                  <w:vAlign w:val="center"/>
                </w:tcPr>
                <w:p w14:paraId="5B31D75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型号：AmamixC4135/48UDG，D=410mm，n=700min-1，P2=4，OkW，P1=4，OKW，安装组件立柱尺寸100x100x5mm，长6m。</w:t>
                  </w:r>
                </w:p>
              </w:tc>
              <w:tc>
                <w:tcPr>
                  <w:tcW w:w="392" w:type="pct"/>
                  <w:tcBorders>
                    <w:tl2br w:val="nil"/>
                    <w:tr2bl w:val="nil"/>
                  </w:tcBorders>
                  <w:noWrap w:val="0"/>
                  <w:vAlign w:val="center"/>
                </w:tcPr>
                <w:p w14:paraId="4DAC40E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387" w:type="pct"/>
                  <w:tcBorders>
                    <w:tl2br w:val="nil"/>
                    <w:tr2bl w:val="nil"/>
                  </w:tcBorders>
                  <w:noWrap w:val="0"/>
                  <w:vAlign w:val="center"/>
                </w:tcPr>
                <w:p w14:paraId="7EDC4D3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台</w:t>
                  </w:r>
                </w:p>
              </w:tc>
              <w:tc>
                <w:tcPr>
                  <w:tcW w:w="780" w:type="pct"/>
                  <w:tcBorders>
                    <w:tl2br w:val="nil"/>
                    <w:tr2bl w:val="nil"/>
                  </w:tcBorders>
                  <w:noWrap w:val="0"/>
                  <w:vAlign w:val="center"/>
                </w:tcPr>
                <w:p w14:paraId="04473E5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更换1台</w:t>
                  </w:r>
                </w:p>
              </w:tc>
            </w:tr>
            <w:tr w14:paraId="725A33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center"/>
                </w:tcPr>
                <w:p w14:paraId="524DCC4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6、好氧池</w:t>
                  </w:r>
                </w:p>
              </w:tc>
            </w:tr>
            <w:tr w14:paraId="2BE28C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69A30E0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1025" w:type="pct"/>
                  <w:tcBorders>
                    <w:tl2br w:val="nil"/>
                    <w:tr2bl w:val="nil"/>
                  </w:tcBorders>
                  <w:noWrap w:val="0"/>
                  <w:vAlign w:val="center"/>
                </w:tcPr>
                <w:p w14:paraId="141BF46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拆除原好氧池底部曝气系统</w:t>
                  </w:r>
                </w:p>
              </w:tc>
              <w:tc>
                <w:tcPr>
                  <w:tcW w:w="2097" w:type="pct"/>
                  <w:tcBorders>
                    <w:tl2br w:val="nil"/>
                    <w:tr2bl w:val="nil"/>
                  </w:tcBorders>
                  <w:noWrap w:val="0"/>
                  <w:vAlign w:val="center"/>
                </w:tcPr>
                <w:p w14:paraId="2F2DD39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曝气头及配套管件</w:t>
                  </w:r>
                </w:p>
              </w:tc>
              <w:tc>
                <w:tcPr>
                  <w:tcW w:w="392" w:type="pct"/>
                  <w:tcBorders>
                    <w:tl2br w:val="nil"/>
                    <w:tr2bl w:val="nil"/>
                  </w:tcBorders>
                  <w:noWrap w:val="0"/>
                  <w:vAlign w:val="center"/>
                </w:tcPr>
                <w:p w14:paraId="332614D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387" w:type="pct"/>
                  <w:tcBorders>
                    <w:tl2br w:val="nil"/>
                    <w:tr2bl w:val="nil"/>
                  </w:tcBorders>
                  <w:noWrap w:val="0"/>
                  <w:vAlign w:val="center"/>
                </w:tcPr>
                <w:p w14:paraId="71F96B1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项</w:t>
                  </w:r>
                </w:p>
              </w:tc>
              <w:tc>
                <w:tcPr>
                  <w:tcW w:w="780" w:type="pct"/>
                  <w:tcBorders>
                    <w:tl2br w:val="nil"/>
                    <w:tr2bl w:val="nil"/>
                  </w:tcBorders>
                  <w:noWrap w:val="0"/>
                  <w:vAlign w:val="center"/>
                </w:tcPr>
                <w:p w14:paraId="56A6AE46">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0BD0DA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30D14B2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1025" w:type="pct"/>
                  <w:tcBorders>
                    <w:tl2br w:val="nil"/>
                    <w:tr2bl w:val="nil"/>
                  </w:tcBorders>
                  <w:noWrap w:val="0"/>
                  <w:vAlign w:val="center"/>
                </w:tcPr>
                <w:p w14:paraId="0786E69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拆除原二沉池刮泥机</w:t>
                  </w:r>
                </w:p>
              </w:tc>
              <w:tc>
                <w:tcPr>
                  <w:tcW w:w="2097" w:type="pct"/>
                  <w:tcBorders>
                    <w:tl2br w:val="nil"/>
                    <w:tr2bl w:val="nil"/>
                  </w:tcBorders>
                  <w:noWrap w:val="0"/>
                  <w:vAlign w:val="center"/>
                </w:tcPr>
                <w:p w14:paraId="6259EDA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直径30m，含配套附件</w:t>
                  </w:r>
                </w:p>
              </w:tc>
              <w:tc>
                <w:tcPr>
                  <w:tcW w:w="392" w:type="pct"/>
                  <w:tcBorders>
                    <w:tl2br w:val="nil"/>
                    <w:tr2bl w:val="nil"/>
                  </w:tcBorders>
                  <w:noWrap w:val="0"/>
                  <w:vAlign w:val="center"/>
                </w:tcPr>
                <w:p w14:paraId="30FA0E1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387" w:type="pct"/>
                  <w:tcBorders>
                    <w:tl2br w:val="nil"/>
                    <w:tr2bl w:val="nil"/>
                  </w:tcBorders>
                  <w:noWrap w:val="0"/>
                  <w:vAlign w:val="center"/>
                </w:tcPr>
                <w:p w14:paraId="2BEECCC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台</w:t>
                  </w:r>
                </w:p>
              </w:tc>
              <w:tc>
                <w:tcPr>
                  <w:tcW w:w="780" w:type="pct"/>
                  <w:tcBorders>
                    <w:tl2br w:val="nil"/>
                    <w:tr2bl w:val="nil"/>
                  </w:tcBorders>
                  <w:noWrap w:val="0"/>
                  <w:vAlign w:val="center"/>
                </w:tcPr>
                <w:p w14:paraId="5227B963">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7CD21A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58FD03E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1025" w:type="pct"/>
                  <w:tcBorders>
                    <w:tl2br w:val="nil"/>
                    <w:tr2bl w:val="nil"/>
                  </w:tcBorders>
                  <w:noWrap w:val="0"/>
                  <w:vAlign w:val="center"/>
                </w:tcPr>
                <w:p w14:paraId="5F322B1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管式曝气器（原好氧池）</w:t>
                  </w:r>
                </w:p>
              </w:tc>
              <w:tc>
                <w:tcPr>
                  <w:tcW w:w="2097" w:type="pct"/>
                  <w:tcBorders>
                    <w:tl2br w:val="nil"/>
                    <w:tr2bl w:val="nil"/>
                  </w:tcBorders>
                  <w:noWrap w:val="0"/>
                  <w:vAlign w:val="center"/>
                </w:tcPr>
                <w:p w14:paraId="48BA5EA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膜片规格57*1725、具有止旋功能</w:t>
                  </w:r>
                </w:p>
              </w:tc>
              <w:tc>
                <w:tcPr>
                  <w:tcW w:w="392" w:type="pct"/>
                  <w:tcBorders>
                    <w:tl2br w:val="nil"/>
                    <w:tr2bl w:val="nil"/>
                  </w:tcBorders>
                  <w:noWrap w:val="0"/>
                  <w:vAlign w:val="center"/>
                </w:tcPr>
                <w:p w14:paraId="75176F4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1500</w:t>
                  </w:r>
                </w:p>
              </w:tc>
              <w:tc>
                <w:tcPr>
                  <w:tcW w:w="387" w:type="pct"/>
                  <w:tcBorders>
                    <w:tl2br w:val="nil"/>
                    <w:tr2bl w:val="nil"/>
                  </w:tcBorders>
                  <w:noWrap w:val="0"/>
                  <w:vAlign w:val="center"/>
                </w:tcPr>
                <w:p w14:paraId="5ABCE12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条</w:t>
                  </w:r>
                </w:p>
              </w:tc>
              <w:tc>
                <w:tcPr>
                  <w:tcW w:w="780" w:type="pct"/>
                  <w:tcBorders>
                    <w:tl2br w:val="nil"/>
                    <w:tr2bl w:val="nil"/>
                  </w:tcBorders>
                  <w:noWrap w:val="0"/>
                  <w:vAlign w:val="center"/>
                </w:tcPr>
                <w:p w14:paraId="5AC60FD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原好氧池+二沉池</w:t>
                  </w:r>
                </w:p>
              </w:tc>
            </w:tr>
            <w:tr w14:paraId="555766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center"/>
                </w:tcPr>
                <w:p w14:paraId="19B92F4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7、后缺氧池、MBR膜池及膜车间</w:t>
                  </w:r>
                </w:p>
              </w:tc>
            </w:tr>
            <w:tr w14:paraId="267372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center"/>
                </w:tcPr>
                <w:p w14:paraId="6EFB7BE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（一）膜组器</w:t>
                  </w:r>
                </w:p>
              </w:tc>
            </w:tr>
            <w:tr w14:paraId="131941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4882F72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1025" w:type="pct"/>
                  <w:tcBorders>
                    <w:tl2br w:val="nil"/>
                    <w:tr2bl w:val="nil"/>
                  </w:tcBorders>
                  <w:noWrap w:val="0"/>
                  <w:vAlign w:val="center"/>
                </w:tcPr>
                <w:p w14:paraId="505FC25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MBR膜</w:t>
                  </w:r>
                </w:p>
              </w:tc>
              <w:tc>
                <w:tcPr>
                  <w:tcW w:w="2097" w:type="pct"/>
                  <w:tcBorders>
                    <w:tl2br w:val="nil"/>
                    <w:tr2bl w:val="nil"/>
                  </w:tcBorders>
                  <w:noWrap w:val="0"/>
                  <w:vAlign w:val="center"/>
                </w:tcPr>
                <w:p w14:paraId="7959480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535*45*1950mm，内衬加强型中空纤维膜，进口PVDF材</w:t>
                  </w:r>
                </w:p>
              </w:tc>
              <w:tc>
                <w:tcPr>
                  <w:tcW w:w="392" w:type="pct"/>
                  <w:tcBorders>
                    <w:tl2br w:val="nil"/>
                    <w:tr2bl w:val="nil"/>
                  </w:tcBorders>
                  <w:noWrap w:val="0"/>
                  <w:vAlign w:val="center"/>
                </w:tcPr>
                <w:p w14:paraId="63C76D2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4320</w:t>
                  </w:r>
                </w:p>
              </w:tc>
              <w:tc>
                <w:tcPr>
                  <w:tcW w:w="387" w:type="pct"/>
                  <w:tcBorders>
                    <w:tl2br w:val="nil"/>
                    <w:tr2bl w:val="nil"/>
                  </w:tcBorders>
                  <w:noWrap w:val="0"/>
                  <w:vAlign w:val="center"/>
                </w:tcPr>
                <w:p w14:paraId="2B4302B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帘</w:t>
                  </w:r>
                </w:p>
              </w:tc>
              <w:tc>
                <w:tcPr>
                  <w:tcW w:w="780" w:type="pct"/>
                  <w:tcBorders>
                    <w:tl2br w:val="nil"/>
                    <w:tr2bl w:val="nil"/>
                  </w:tcBorders>
                  <w:noWrap w:val="0"/>
                  <w:vAlign w:val="center"/>
                </w:tcPr>
                <w:p w14:paraId="29026A6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07FAFF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70F806C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1025" w:type="pct"/>
                  <w:tcBorders>
                    <w:tl2br w:val="nil"/>
                    <w:tr2bl w:val="nil"/>
                  </w:tcBorders>
                  <w:noWrap w:val="0"/>
                  <w:vAlign w:val="center"/>
                </w:tcPr>
                <w:p w14:paraId="047F8A5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膜架（60帘/组）</w:t>
                  </w:r>
                </w:p>
              </w:tc>
              <w:tc>
                <w:tcPr>
                  <w:tcW w:w="2097" w:type="pct"/>
                  <w:tcBorders>
                    <w:tl2br w:val="nil"/>
                    <w:tr2bl w:val="nil"/>
                  </w:tcBorders>
                  <w:noWrap w:val="0"/>
                  <w:vAlign w:val="center"/>
                </w:tcPr>
                <w:p w14:paraId="51F2397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3100*1270*2575mm，膜架sus304材质</w:t>
                  </w:r>
                </w:p>
              </w:tc>
              <w:tc>
                <w:tcPr>
                  <w:tcW w:w="392" w:type="pct"/>
                  <w:tcBorders>
                    <w:tl2br w:val="nil"/>
                    <w:tr2bl w:val="nil"/>
                  </w:tcBorders>
                  <w:noWrap w:val="0"/>
                  <w:vAlign w:val="center"/>
                </w:tcPr>
                <w:p w14:paraId="3453491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72</w:t>
                  </w:r>
                </w:p>
              </w:tc>
              <w:tc>
                <w:tcPr>
                  <w:tcW w:w="387" w:type="pct"/>
                  <w:tcBorders>
                    <w:tl2br w:val="nil"/>
                    <w:tr2bl w:val="nil"/>
                  </w:tcBorders>
                  <w:noWrap w:val="0"/>
                  <w:vAlign w:val="center"/>
                </w:tcPr>
                <w:p w14:paraId="48ABF33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组</w:t>
                  </w:r>
                </w:p>
              </w:tc>
              <w:tc>
                <w:tcPr>
                  <w:tcW w:w="780" w:type="pct"/>
                  <w:tcBorders>
                    <w:tl2br w:val="nil"/>
                    <w:tr2bl w:val="nil"/>
                  </w:tcBorders>
                  <w:noWrap w:val="0"/>
                  <w:vAlign w:val="center"/>
                </w:tcPr>
                <w:p w14:paraId="265EDD9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02AAC9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2303450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1025" w:type="pct"/>
                  <w:tcBorders>
                    <w:tl2br w:val="nil"/>
                    <w:tr2bl w:val="nil"/>
                  </w:tcBorders>
                  <w:noWrap w:val="0"/>
                  <w:vAlign w:val="center"/>
                </w:tcPr>
                <w:p w14:paraId="3E7C239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膜池导轨</w:t>
                  </w:r>
                </w:p>
              </w:tc>
              <w:tc>
                <w:tcPr>
                  <w:tcW w:w="2097" w:type="pct"/>
                  <w:tcBorders>
                    <w:tl2br w:val="nil"/>
                    <w:tr2bl w:val="nil"/>
                  </w:tcBorders>
                  <w:noWrap w:val="0"/>
                  <w:vAlign w:val="center"/>
                </w:tcPr>
                <w:p w14:paraId="586F692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φ57钢管，膜池导轨304材质</w:t>
                  </w:r>
                </w:p>
              </w:tc>
              <w:tc>
                <w:tcPr>
                  <w:tcW w:w="392" w:type="pct"/>
                  <w:tcBorders>
                    <w:tl2br w:val="nil"/>
                    <w:tr2bl w:val="nil"/>
                  </w:tcBorders>
                  <w:noWrap w:val="0"/>
                  <w:vAlign w:val="center"/>
                </w:tcPr>
                <w:p w14:paraId="702953B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144</w:t>
                  </w:r>
                </w:p>
              </w:tc>
              <w:tc>
                <w:tcPr>
                  <w:tcW w:w="387" w:type="pct"/>
                  <w:tcBorders>
                    <w:tl2br w:val="nil"/>
                    <w:tr2bl w:val="nil"/>
                  </w:tcBorders>
                  <w:noWrap w:val="0"/>
                  <w:vAlign w:val="center"/>
                </w:tcPr>
                <w:p w14:paraId="32B6CE5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组</w:t>
                  </w:r>
                </w:p>
              </w:tc>
              <w:tc>
                <w:tcPr>
                  <w:tcW w:w="780" w:type="pct"/>
                  <w:tcBorders>
                    <w:tl2br w:val="nil"/>
                    <w:tr2bl w:val="nil"/>
                  </w:tcBorders>
                  <w:noWrap w:val="0"/>
                  <w:vAlign w:val="center"/>
                </w:tcPr>
                <w:p w14:paraId="31C1AAC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45A3F1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0A09969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1025" w:type="pct"/>
                  <w:tcBorders>
                    <w:tl2br w:val="nil"/>
                    <w:tr2bl w:val="nil"/>
                  </w:tcBorders>
                  <w:noWrap w:val="0"/>
                  <w:vAlign w:val="center"/>
                </w:tcPr>
                <w:p w14:paraId="10E759A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电动双梁悬挂式起重机</w:t>
                  </w:r>
                </w:p>
              </w:tc>
              <w:tc>
                <w:tcPr>
                  <w:tcW w:w="2097" w:type="pct"/>
                  <w:tcBorders>
                    <w:tl2br w:val="nil"/>
                    <w:tr2bl w:val="nil"/>
                  </w:tcBorders>
                  <w:noWrap w:val="0"/>
                  <w:vAlign w:val="center"/>
                </w:tcPr>
                <w:p w14:paraId="522E813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LX-3.0T，Lk=13m，起重高度6m</w:t>
                  </w:r>
                </w:p>
              </w:tc>
              <w:tc>
                <w:tcPr>
                  <w:tcW w:w="392" w:type="pct"/>
                  <w:tcBorders>
                    <w:tl2br w:val="nil"/>
                    <w:tr2bl w:val="nil"/>
                  </w:tcBorders>
                  <w:noWrap w:val="0"/>
                  <w:vAlign w:val="center"/>
                </w:tcPr>
                <w:p w14:paraId="498A42E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387" w:type="pct"/>
                  <w:tcBorders>
                    <w:tl2br w:val="nil"/>
                    <w:tr2bl w:val="nil"/>
                  </w:tcBorders>
                  <w:noWrap w:val="0"/>
                  <w:vAlign w:val="center"/>
                </w:tcPr>
                <w:p w14:paraId="0A7FFB6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06BFA4A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63991E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center"/>
                </w:tcPr>
                <w:p w14:paraId="79880BF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（二）产水部分</w:t>
                  </w:r>
                </w:p>
              </w:tc>
            </w:tr>
            <w:tr w14:paraId="464645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3662A6E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1025" w:type="pct"/>
                  <w:tcBorders>
                    <w:tl2br w:val="nil"/>
                    <w:tr2bl w:val="nil"/>
                  </w:tcBorders>
                  <w:noWrap w:val="0"/>
                  <w:vAlign w:val="center"/>
                </w:tcPr>
                <w:p w14:paraId="2D66486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产水泵</w:t>
                  </w:r>
                </w:p>
              </w:tc>
              <w:tc>
                <w:tcPr>
                  <w:tcW w:w="2097" w:type="pct"/>
                  <w:tcBorders>
                    <w:tl2br w:val="nil"/>
                    <w:tr2bl w:val="nil"/>
                  </w:tcBorders>
                  <w:noWrap w:val="0"/>
                  <w:vAlign w:val="center"/>
                </w:tcPr>
                <w:p w14:paraId="7DD753D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Q=200m</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/h，H=38m，N=30KW</w:t>
                  </w:r>
                </w:p>
              </w:tc>
              <w:tc>
                <w:tcPr>
                  <w:tcW w:w="392" w:type="pct"/>
                  <w:tcBorders>
                    <w:tl2br w:val="nil"/>
                    <w:tr2bl w:val="nil"/>
                  </w:tcBorders>
                  <w:noWrap w:val="0"/>
                  <w:vAlign w:val="center"/>
                </w:tcPr>
                <w:p w14:paraId="2D53110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387" w:type="pct"/>
                  <w:tcBorders>
                    <w:tl2br w:val="nil"/>
                    <w:tr2bl w:val="nil"/>
                  </w:tcBorders>
                  <w:noWrap w:val="0"/>
                  <w:vAlign w:val="center"/>
                </w:tcPr>
                <w:p w14:paraId="4492DA0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38A1080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8用2备</w:t>
                  </w:r>
                </w:p>
              </w:tc>
            </w:tr>
            <w:tr w14:paraId="46C9D1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71A3CB8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1025" w:type="pct"/>
                  <w:tcBorders>
                    <w:tl2br w:val="nil"/>
                    <w:tr2bl w:val="nil"/>
                  </w:tcBorders>
                  <w:noWrap w:val="0"/>
                  <w:vAlign w:val="center"/>
                </w:tcPr>
                <w:p w14:paraId="595DB25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引水罐</w:t>
                  </w:r>
                </w:p>
              </w:tc>
              <w:tc>
                <w:tcPr>
                  <w:tcW w:w="2097" w:type="pct"/>
                  <w:tcBorders>
                    <w:tl2br w:val="nil"/>
                    <w:tr2bl w:val="nil"/>
                  </w:tcBorders>
                  <w:noWrap w:val="0"/>
                  <w:vAlign w:val="center"/>
                </w:tcPr>
                <w:p w14:paraId="7DF947A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D=1.3m，H=2.3m，V=3m</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3</w:t>
                  </w:r>
                </w:p>
              </w:tc>
              <w:tc>
                <w:tcPr>
                  <w:tcW w:w="392" w:type="pct"/>
                  <w:tcBorders>
                    <w:tl2br w:val="nil"/>
                    <w:tr2bl w:val="nil"/>
                  </w:tcBorders>
                  <w:noWrap w:val="0"/>
                  <w:vAlign w:val="center"/>
                </w:tcPr>
                <w:p w14:paraId="028DCDD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387" w:type="pct"/>
                  <w:tcBorders>
                    <w:tl2br w:val="nil"/>
                    <w:tr2bl w:val="nil"/>
                  </w:tcBorders>
                  <w:noWrap w:val="0"/>
                  <w:vAlign w:val="center"/>
                </w:tcPr>
                <w:p w14:paraId="3F6756B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780" w:type="pct"/>
                  <w:tcBorders>
                    <w:tl2br w:val="nil"/>
                    <w:tr2bl w:val="nil"/>
                  </w:tcBorders>
                  <w:noWrap w:val="0"/>
                  <w:vAlign w:val="center"/>
                </w:tcPr>
                <w:p w14:paraId="6B8F999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75CE07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center"/>
                </w:tcPr>
                <w:p w14:paraId="4861C6A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（三）反洗部分</w:t>
                  </w:r>
                </w:p>
              </w:tc>
            </w:tr>
            <w:tr w14:paraId="0B952D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34879C9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1025" w:type="pct"/>
                  <w:tcBorders>
                    <w:tl2br w:val="nil"/>
                    <w:tr2bl w:val="nil"/>
                  </w:tcBorders>
                  <w:noWrap w:val="0"/>
                  <w:vAlign w:val="center"/>
                </w:tcPr>
                <w:p w14:paraId="16D32D7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反洗泵</w:t>
                  </w:r>
                </w:p>
              </w:tc>
              <w:tc>
                <w:tcPr>
                  <w:tcW w:w="2097" w:type="pct"/>
                  <w:tcBorders>
                    <w:tl2br w:val="nil"/>
                    <w:tr2bl w:val="nil"/>
                  </w:tcBorders>
                  <w:noWrap w:val="0"/>
                  <w:vAlign w:val="center"/>
                </w:tcPr>
                <w:p w14:paraId="2A6BF22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Q=280m</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/h，H=40m，N=90KW</w:t>
                  </w:r>
                </w:p>
              </w:tc>
              <w:tc>
                <w:tcPr>
                  <w:tcW w:w="392" w:type="pct"/>
                  <w:tcBorders>
                    <w:tl2br w:val="nil"/>
                    <w:tr2bl w:val="nil"/>
                  </w:tcBorders>
                  <w:noWrap w:val="0"/>
                  <w:vAlign w:val="center"/>
                </w:tcPr>
                <w:p w14:paraId="196B674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387" w:type="pct"/>
                  <w:tcBorders>
                    <w:tl2br w:val="nil"/>
                    <w:tr2bl w:val="nil"/>
                  </w:tcBorders>
                  <w:noWrap w:val="0"/>
                  <w:vAlign w:val="center"/>
                </w:tcPr>
                <w:p w14:paraId="5A82C92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517F4E2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1用1备</w:t>
                  </w:r>
                </w:p>
              </w:tc>
            </w:tr>
            <w:tr w14:paraId="4840A8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center"/>
                </w:tcPr>
                <w:p w14:paraId="769CDBC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（四）酸洗部分</w:t>
                  </w:r>
                </w:p>
              </w:tc>
            </w:tr>
            <w:tr w14:paraId="26109B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23F21F3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1025" w:type="pct"/>
                  <w:tcBorders>
                    <w:tl2br w:val="nil"/>
                    <w:tr2bl w:val="nil"/>
                  </w:tcBorders>
                  <w:noWrap w:val="0"/>
                  <w:vAlign w:val="center"/>
                </w:tcPr>
                <w:p w14:paraId="7DD13D3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盐酸卸药泵</w:t>
                  </w:r>
                </w:p>
              </w:tc>
              <w:tc>
                <w:tcPr>
                  <w:tcW w:w="2097" w:type="pct"/>
                  <w:tcBorders>
                    <w:tl2br w:val="nil"/>
                    <w:tr2bl w:val="nil"/>
                  </w:tcBorders>
                  <w:noWrap w:val="0"/>
                  <w:vAlign w:val="center"/>
                </w:tcPr>
                <w:p w14:paraId="29D14C2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Q=10m</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/h，H=30m，N=2.2KW</w:t>
                  </w:r>
                </w:p>
              </w:tc>
              <w:tc>
                <w:tcPr>
                  <w:tcW w:w="392" w:type="pct"/>
                  <w:tcBorders>
                    <w:tl2br w:val="nil"/>
                    <w:tr2bl w:val="nil"/>
                  </w:tcBorders>
                  <w:noWrap w:val="0"/>
                  <w:vAlign w:val="center"/>
                </w:tcPr>
                <w:p w14:paraId="26A720D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387" w:type="pct"/>
                  <w:tcBorders>
                    <w:tl2br w:val="nil"/>
                    <w:tr2bl w:val="nil"/>
                  </w:tcBorders>
                  <w:noWrap w:val="0"/>
                  <w:vAlign w:val="center"/>
                </w:tcPr>
                <w:p w14:paraId="3265616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77FABCE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72255F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2DBE353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1025" w:type="pct"/>
                  <w:tcBorders>
                    <w:tl2br w:val="nil"/>
                    <w:tr2bl w:val="nil"/>
                  </w:tcBorders>
                  <w:noWrap w:val="0"/>
                  <w:vAlign w:val="center"/>
                </w:tcPr>
                <w:p w14:paraId="4F4B654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盐酸储罐</w:t>
                  </w:r>
                </w:p>
              </w:tc>
              <w:tc>
                <w:tcPr>
                  <w:tcW w:w="2097" w:type="pct"/>
                  <w:tcBorders>
                    <w:tl2br w:val="nil"/>
                    <w:tr2bl w:val="nil"/>
                  </w:tcBorders>
                  <w:noWrap w:val="0"/>
                  <w:vAlign w:val="center"/>
                </w:tcPr>
                <w:p w14:paraId="0221B14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V=10m</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3</w:t>
                  </w:r>
                </w:p>
              </w:tc>
              <w:tc>
                <w:tcPr>
                  <w:tcW w:w="392" w:type="pct"/>
                  <w:tcBorders>
                    <w:tl2br w:val="nil"/>
                    <w:tr2bl w:val="nil"/>
                  </w:tcBorders>
                  <w:noWrap w:val="0"/>
                  <w:vAlign w:val="center"/>
                </w:tcPr>
                <w:p w14:paraId="2E28E52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387" w:type="pct"/>
                  <w:tcBorders>
                    <w:tl2br w:val="nil"/>
                    <w:tr2bl w:val="nil"/>
                  </w:tcBorders>
                  <w:noWrap w:val="0"/>
                  <w:vAlign w:val="center"/>
                </w:tcPr>
                <w:p w14:paraId="0B9A709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座</w:t>
                  </w:r>
                </w:p>
              </w:tc>
              <w:tc>
                <w:tcPr>
                  <w:tcW w:w="780" w:type="pct"/>
                  <w:tcBorders>
                    <w:tl2br w:val="nil"/>
                    <w:tr2bl w:val="nil"/>
                  </w:tcBorders>
                  <w:noWrap w:val="0"/>
                  <w:vAlign w:val="center"/>
                </w:tcPr>
                <w:p w14:paraId="44AF992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0AC9F6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02ED70C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1025" w:type="pct"/>
                  <w:tcBorders>
                    <w:tl2br w:val="nil"/>
                    <w:tr2bl w:val="nil"/>
                  </w:tcBorders>
                  <w:noWrap w:val="0"/>
                  <w:vAlign w:val="center"/>
                </w:tcPr>
                <w:p w14:paraId="43F8D8A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盐酸加药泵</w:t>
                  </w:r>
                </w:p>
              </w:tc>
              <w:tc>
                <w:tcPr>
                  <w:tcW w:w="2097" w:type="pct"/>
                  <w:tcBorders>
                    <w:tl2br w:val="nil"/>
                    <w:tr2bl w:val="nil"/>
                  </w:tcBorders>
                  <w:noWrap w:val="0"/>
                  <w:vAlign w:val="center"/>
                </w:tcPr>
                <w:p w14:paraId="0DCCC1F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Q=500L/h，H=70m，N=1.5kW</w:t>
                  </w:r>
                </w:p>
              </w:tc>
              <w:tc>
                <w:tcPr>
                  <w:tcW w:w="392" w:type="pct"/>
                  <w:tcBorders>
                    <w:tl2br w:val="nil"/>
                    <w:tr2bl w:val="nil"/>
                  </w:tcBorders>
                  <w:noWrap w:val="0"/>
                  <w:vAlign w:val="center"/>
                </w:tcPr>
                <w:p w14:paraId="40301FF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387" w:type="pct"/>
                  <w:tcBorders>
                    <w:tl2br w:val="nil"/>
                    <w:tr2bl w:val="nil"/>
                  </w:tcBorders>
                  <w:noWrap w:val="0"/>
                  <w:vAlign w:val="center"/>
                </w:tcPr>
                <w:p w14:paraId="61CF10E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676CDC5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477AE5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center"/>
                </w:tcPr>
                <w:p w14:paraId="4A9E120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（五）反洗部分</w:t>
                  </w:r>
                </w:p>
              </w:tc>
            </w:tr>
            <w:tr w14:paraId="468F73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5914507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1025" w:type="pct"/>
                  <w:tcBorders>
                    <w:tl2br w:val="nil"/>
                    <w:tr2bl w:val="nil"/>
                  </w:tcBorders>
                  <w:noWrap w:val="0"/>
                  <w:vAlign w:val="center"/>
                </w:tcPr>
                <w:p w14:paraId="1D59240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次钠卸药泵</w:t>
                  </w:r>
                </w:p>
              </w:tc>
              <w:tc>
                <w:tcPr>
                  <w:tcW w:w="2097" w:type="pct"/>
                  <w:tcBorders>
                    <w:tl2br w:val="nil"/>
                    <w:tr2bl w:val="nil"/>
                  </w:tcBorders>
                  <w:noWrap w:val="0"/>
                  <w:vAlign w:val="center"/>
                </w:tcPr>
                <w:p w14:paraId="02A69FB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Q=10m</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/h，H=70m，N=2.2KW</w:t>
                  </w:r>
                </w:p>
              </w:tc>
              <w:tc>
                <w:tcPr>
                  <w:tcW w:w="392" w:type="pct"/>
                  <w:tcBorders>
                    <w:tl2br w:val="nil"/>
                    <w:tr2bl w:val="nil"/>
                  </w:tcBorders>
                  <w:noWrap w:val="0"/>
                  <w:vAlign w:val="center"/>
                </w:tcPr>
                <w:p w14:paraId="3B2E74C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387" w:type="pct"/>
                  <w:tcBorders>
                    <w:tl2br w:val="nil"/>
                    <w:tr2bl w:val="nil"/>
                  </w:tcBorders>
                  <w:noWrap w:val="0"/>
                  <w:vAlign w:val="center"/>
                </w:tcPr>
                <w:p w14:paraId="0C5CBDE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1ADE921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2B82AB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5EEC52D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1025" w:type="pct"/>
                  <w:tcBorders>
                    <w:tl2br w:val="nil"/>
                    <w:tr2bl w:val="nil"/>
                  </w:tcBorders>
                  <w:noWrap w:val="0"/>
                  <w:vAlign w:val="center"/>
                </w:tcPr>
                <w:p w14:paraId="1615F20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次钠储罐</w:t>
                  </w:r>
                </w:p>
              </w:tc>
              <w:tc>
                <w:tcPr>
                  <w:tcW w:w="2097" w:type="pct"/>
                  <w:tcBorders>
                    <w:tl2br w:val="nil"/>
                    <w:tr2bl w:val="nil"/>
                  </w:tcBorders>
                  <w:noWrap w:val="0"/>
                  <w:vAlign w:val="center"/>
                </w:tcPr>
                <w:p w14:paraId="5C7996C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V=10m</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3</w:t>
                  </w:r>
                </w:p>
              </w:tc>
              <w:tc>
                <w:tcPr>
                  <w:tcW w:w="392" w:type="pct"/>
                  <w:tcBorders>
                    <w:tl2br w:val="nil"/>
                    <w:tr2bl w:val="nil"/>
                  </w:tcBorders>
                  <w:noWrap w:val="0"/>
                  <w:vAlign w:val="center"/>
                </w:tcPr>
                <w:p w14:paraId="67D5CB0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387" w:type="pct"/>
                  <w:tcBorders>
                    <w:tl2br w:val="nil"/>
                    <w:tr2bl w:val="nil"/>
                  </w:tcBorders>
                  <w:noWrap w:val="0"/>
                  <w:vAlign w:val="center"/>
                </w:tcPr>
                <w:p w14:paraId="0B5432A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座</w:t>
                  </w:r>
                </w:p>
              </w:tc>
              <w:tc>
                <w:tcPr>
                  <w:tcW w:w="780" w:type="pct"/>
                  <w:tcBorders>
                    <w:tl2br w:val="nil"/>
                    <w:tr2bl w:val="nil"/>
                  </w:tcBorders>
                  <w:noWrap w:val="0"/>
                  <w:vAlign w:val="center"/>
                </w:tcPr>
                <w:p w14:paraId="7A13903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40EBF7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29A6D3E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1025" w:type="pct"/>
                  <w:tcBorders>
                    <w:tl2br w:val="nil"/>
                    <w:tr2bl w:val="nil"/>
                  </w:tcBorders>
                  <w:noWrap w:val="0"/>
                  <w:vAlign w:val="center"/>
                </w:tcPr>
                <w:p w14:paraId="66CF3FB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次钠加药泵</w:t>
                  </w:r>
                </w:p>
              </w:tc>
              <w:tc>
                <w:tcPr>
                  <w:tcW w:w="2097" w:type="pct"/>
                  <w:tcBorders>
                    <w:tl2br w:val="nil"/>
                    <w:tr2bl w:val="nil"/>
                  </w:tcBorders>
                  <w:noWrap w:val="0"/>
                  <w:vAlign w:val="center"/>
                </w:tcPr>
                <w:p w14:paraId="62285CA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Q=500L/h，H=70m，N=1.5kW</w:t>
                  </w:r>
                </w:p>
              </w:tc>
              <w:tc>
                <w:tcPr>
                  <w:tcW w:w="392" w:type="pct"/>
                  <w:tcBorders>
                    <w:tl2br w:val="nil"/>
                    <w:tr2bl w:val="nil"/>
                  </w:tcBorders>
                  <w:noWrap w:val="0"/>
                  <w:vAlign w:val="center"/>
                </w:tcPr>
                <w:p w14:paraId="519C451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387" w:type="pct"/>
                  <w:tcBorders>
                    <w:tl2br w:val="nil"/>
                    <w:tr2bl w:val="nil"/>
                  </w:tcBorders>
                  <w:noWrap w:val="0"/>
                  <w:vAlign w:val="center"/>
                </w:tcPr>
                <w:p w14:paraId="6E7C9B0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6D8443A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2764C9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0298AB2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1025" w:type="pct"/>
                  <w:tcBorders>
                    <w:tl2br w:val="nil"/>
                    <w:tr2bl w:val="nil"/>
                  </w:tcBorders>
                  <w:noWrap w:val="0"/>
                  <w:vAlign w:val="center"/>
                </w:tcPr>
                <w:p w14:paraId="3921547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氢氧化钠卸药泵</w:t>
                  </w:r>
                </w:p>
              </w:tc>
              <w:tc>
                <w:tcPr>
                  <w:tcW w:w="2097" w:type="pct"/>
                  <w:tcBorders>
                    <w:tl2br w:val="nil"/>
                    <w:tr2bl w:val="nil"/>
                  </w:tcBorders>
                  <w:noWrap w:val="0"/>
                  <w:vAlign w:val="center"/>
                </w:tcPr>
                <w:p w14:paraId="261939F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Q=10m</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/h，H=30m，N=2.2KW</w:t>
                  </w:r>
                </w:p>
              </w:tc>
              <w:tc>
                <w:tcPr>
                  <w:tcW w:w="392" w:type="pct"/>
                  <w:tcBorders>
                    <w:tl2br w:val="nil"/>
                    <w:tr2bl w:val="nil"/>
                  </w:tcBorders>
                  <w:noWrap w:val="0"/>
                  <w:vAlign w:val="center"/>
                </w:tcPr>
                <w:p w14:paraId="0F9555F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387" w:type="pct"/>
                  <w:tcBorders>
                    <w:tl2br w:val="nil"/>
                    <w:tr2bl w:val="nil"/>
                  </w:tcBorders>
                  <w:noWrap w:val="0"/>
                  <w:vAlign w:val="center"/>
                </w:tcPr>
                <w:p w14:paraId="5135C68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3802679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4C5ED8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58D7C24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1025" w:type="pct"/>
                  <w:tcBorders>
                    <w:tl2br w:val="nil"/>
                    <w:tr2bl w:val="nil"/>
                  </w:tcBorders>
                  <w:noWrap w:val="0"/>
                  <w:vAlign w:val="center"/>
                </w:tcPr>
                <w:p w14:paraId="7725A5B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氢氧化钠储罐</w:t>
                  </w:r>
                </w:p>
              </w:tc>
              <w:tc>
                <w:tcPr>
                  <w:tcW w:w="2097" w:type="pct"/>
                  <w:tcBorders>
                    <w:tl2br w:val="nil"/>
                    <w:tr2bl w:val="nil"/>
                  </w:tcBorders>
                  <w:noWrap w:val="0"/>
                  <w:vAlign w:val="center"/>
                </w:tcPr>
                <w:p w14:paraId="1807199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V=10m</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3</w:t>
                  </w:r>
                </w:p>
              </w:tc>
              <w:tc>
                <w:tcPr>
                  <w:tcW w:w="392" w:type="pct"/>
                  <w:tcBorders>
                    <w:tl2br w:val="nil"/>
                    <w:tr2bl w:val="nil"/>
                  </w:tcBorders>
                  <w:noWrap w:val="0"/>
                  <w:vAlign w:val="center"/>
                </w:tcPr>
                <w:p w14:paraId="05CA386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387" w:type="pct"/>
                  <w:tcBorders>
                    <w:tl2br w:val="nil"/>
                    <w:tr2bl w:val="nil"/>
                  </w:tcBorders>
                  <w:noWrap w:val="0"/>
                  <w:vAlign w:val="center"/>
                </w:tcPr>
                <w:p w14:paraId="063C4C4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座</w:t>
                  </w:r>
                </w:p>
              </w:tc>
              <w:tc>
                <w:tcPr>
                  <w:tcW w:w="780" w:type="pct"/>
                  <w:tcBorders>
                    <w:tl2br w:val="nil"/>
                    <w:tr2bl w:val="nil"/>
                  </w:tcBorders>
                  <w:noWrap w:val="0"/>
                  <w:vAlign w:val="center"/>
                </w:tcPr>
                <w:p w14:paraId="182BC1F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54BE96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0EF5CB2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1025" w:type="pct"/>
                  <w:tcBorders>
                    <w:tl2br w:val="nil"/>
                    <w:tr2bl w:val="nil"/>
                  </w:tcBorders>
                  <w:noWrap w:val="0"/>
                  <w:vAlign w:val="center"/>
                </w:tcPr>
                <w:p w14:paraId="3E5B842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氢氧化钠加药泵</w:t>
                  </w:r>
                </w:p>
              </w:tc>
              <w:tc>
                <w:tcPr>
                  <w:tcW w:w="2097" w:type="pct"/>
                  <w:tcBorders>
                    <w:tl2br w:val="nil"/>
                    <w:tr2bl w:val="nil"/>
                  </w:tcBorders>
                  <w:noWrap w:val="0"/>
                  <w:vAlign w:val="center"/>
                </w:tcPr>
                <w:p w14:paraId="20DB58C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Q=500L/h，H=70m，N=1.5kW</w:t>
                  </w:r>
                </w:p>
              </w:tc>
              <w:tc>
                <w:tcPr>
                  <w:tcW w:w="392" w:type="pct"/>
                  <w:tcBorders>
                    <w:tl2br w:val="nil"/>
                    <w:tr2bl w:val="nil"/>
                  </w:tcBorders>
                  <w:noWrap w:val="0"/>
                  <w:vAlign w:val="center"/>
                </w:tcPr>
                <w:p w14:paraId="4921EFD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387" w:type="pct"/>
                  <w:tcBorders>
                    <w:tl2br w:val="nil"/>
                    <w:tr2bl w:val="nil"/>
                  </w:tcBorders>
                  <w:noWrap w:val="0"/>
                  <w:vAlign w:val="center"/>
                </w:tcPr>
                <w:p w14:paraId="7D68A58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2E3BAB1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54FA99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center"/>
                </w:tcPr>
                <w:p w14:paraId="5BEBDBB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（六）曝气部分</w:t>
                  </w:r>
                </w:p>
              </w:tc>
            </w:tr>
            <w:tr w14:paraId="04050E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02C5708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1025" w:type="pct"/>
                  <w:tcBorders>
                    <w:tl2br w:val="nil"/>
                    <w:tr2bl w:val="nil"/>
                  </w:tcBorders>
                  <w:noWrap w:val="0"/>
                  <w:vAlign w:val="center"/>
                </w:tcPr>
                <w:p w14:paraId="6A7A431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磁悬浮风机</w:t>
                  </w:r>
                </w:p>
              </w:tc>
              <w:tc>
                <w:tcPr>
                  <w:tcW w:w="2097" w:type="pct"/>
                  <w:tcBorders>
                    <w:tl2br w:val="nil"/>
                    <w:tr2bl w:val="nil"/>
                  </w:tcBorders>
                  <w:noWrap w:val="0"/>
                  <w:vAlign w:val="center"/>
                </w:tcPr>
                <w:p w14:paraId="341653A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Q=113m</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/min，30KPa，N=75KW</w:t>
                  </w:r>
                </w:p>
              </w:tc>
              <w:tc>
                <w:tcPr>
                  <w:tcW w:w="392" w:type="pct"/>
                  <w:tcBorders>
                    <w:tl2br w:val="nil"/>
                    <w:tr2bl w:val="nil"/>
                  </w:tcBorders>
                  <w:noWrap w:val="0"/>
                  <w:vAlign w:val="center"/>
                </w:tcPr>
                <w:p w14:paraId="138A31A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387" w:type="pct"/>
                  <w:tcBorders>
                    <w:tl2br w:val="nil"/>
                    <w:tr2bl w:val="nil"/>
                  </w:tcBorders>
                  <w:noWrap w:val="0"/>
                  <w:vAlign w:val="center"/>
                </w:tcPr>
                <w:p w14:paraId="7EDC0B9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004C943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39157C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center"/>
                </w:tcPr>
                <w:p w14:paraId="5FB6B68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（七）污泥回流部分</w:t>
                  </w:r>
                </w:p>
              </w:tc>
            </w:tr>
            <w:tr w14:paraId="3DF2DD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783C58E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1025" w:type="pct"/>
                  <w:tcBorders>
                    <w:tl2br w:val="nil"/>
                    <w:tr2bl w:val="nil"/>
                  </w:tcBorders>
                  <w:noWrap w:val="0"/>
                  <w:vAlign w:val="center"/>
                </w:tcPr>
                <w:p w14:paraId="55DF452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回流泵（膜池至好氧池）</w:t>
                  </w:r>
                </w:p>
              </w:tc>
              <w:tc>
                <w:tcPr>
                  <w:tcW w:w="2097" w:type="pct"/>
                  <w:tcBorders>
                    <w:tl2br w:val="nil"/>
                    <w:tr2bl w:val="nil"/>
                  </w:tcBorders>
                  <w:noWrap w:val="0"/>
                  <w:vAlign w:val="center"/>
                </w:tcPr>
                <w:p w14:paraId="518CE36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Q=1080m</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/h，H=11m，N=55KW</w:t>
                  </w:r>
                </w:p>
              </w:tc>
              <w:tc>
                <w:tcPr>
                  <w:tcW w:w="392" w:type="pct"/>
                  <w:tcBorders>
                    <w:tl2br w:val="nil"/>
                    <w:tr2bl w:val="nil"/>
                  </w:tcBorders>
                  <w:noWrap w:val="0"/>
                  <w:vAlign w:val="center"/>
                </w:tcPr>
                <w:p w14:paraId="00F4A4E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387" w:type="pct"/>
                  <w:tcBorders>
                    <w:tl2br w:val="nil"/>
                    <w:tr2bl w:val="nil"/>
                  </w:tcBorders>
                  <w:noWrap w:val="0"/>
                  <w:vAlign w:val="center"/>
                </w:tcPr>
                <w:p w14:paraId="4E4BDBC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32123C0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6用2备</w:t>
                  </w:r>
                </w:p>
              </w:tc>
            </w:tr>
            <w:tr w14:paraId="683BC3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20E7436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1025" w:type="pct"/>
                  <w:tcBorders>
                    <w:tl2br w:val="nil"/>
                    <w:tr2bl w:val="nil"/>
                  </w:tcBorders>
                  <w:noWrap w:val="0"/>
                  <w:vAlign w:val="center"/>
                </w:tcPr>
                <w:p w14:paraId="09FD1F7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剩余污泥泵</w:t>
                  </w:r>
                </w:p>
              </w:tc>
              <w:tc>
                <w:tcPr>
                  <w:tcW w:w="2097" w:type="pct"/>
                  <w:tcBorders>
                    <w:tl2br w:val="nil"/>
                    <w:tr2bl w:val="nil"/>
                  </w:tcBorders>
                  <w:noWrap w:val="0"/>
                  <w:vAlign w:val="center"/>
                </w:tcPr>
                <w:p w14:paraId="1CD34DF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Q=50m</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/h，H=25m，N=7.5kW</w:t>
                  </w:r>
                </w:p>
              </w:tc>
              <w:tc>
                <w:tcPr>
                  <w:tcW w:w="392" w:type="pct"/>
                  <w:tcBorders>
                    <w:tl2br w:val="nil"/>
                    <w:tr2bl w:val="nil"/>
                  </w:tcBorders>
                  <w:noWrap w:val="0"/>
                  <w:vAlign w:val="center"/>
                </w:tcPr>
                <w:p w14:paraId="1D0C7A2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387" w:type="pct"/>
                  <w:tcBorders>
                    <w:tl2br w:val="nil"/>
                    <w:tr2bl w:val="nil"/>
                  </w:tcBorders>
                  <w:noWrap w:val="0"/>
                  <w:vAlign w:val="center"/>
                </w:tcPr>
                <w:p w14:paraId="132A196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5F2137E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1用1备</w:t>
                  </w:r>
                </w:p>
              </w:tc>
            </w:tr>
            <w:tr w14:paraId="07314C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center"/>
                </w:tcPr>
                <w:p w14:paraId="283553F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（八）后缺氧池部分</w:t>
                  </w:r>
                </w:p>
              </w:tc>
            </w:tr>
            <w:tr w14:paraId="0086B4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7667B2F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1025" w:type="pct"/>
                  <w:tcBorders>
                    <w:tl2br w:val="nil"/>
                    <w:tr2bl w:val="nil"/>
                  </w:tcBorders>
                  <w:noWrap w:val="0"/>
                  <w:vAlign w:val="center"/>
                </w:tcPr>
                <w:p w14:paraId="1D5F482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回流泵（好氧池至缺氧池）</w:t>
                  </w:r>
                </w:p>
              </w:tc>
              <w:tc>
                <w:tcPr>
                  <w:tcW w:w="2097" w:type="pct"/>
                  <w:tcBorders>
                    <w:tl2br w:val="nil"/>
                    <w:tr2bl w:val="nil"/>
                  </w:tcBorders>
                  <w:noWrap w:val="0"/>
                  <w:vAlign w:val="center"/>
                </w:tcPr>
                <w:p w14:paraId="2C05710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潜污泵，Q=1875m</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/h，H=9m，N=75kW，变频，配套现场控制箱、提升装置等</w:t>
                  </w:r>
                </w:p>
              </w:tc>
              <w:tc>
                <w:tcPr>
                  <w:tcW w:w="392" w:type="pct"/>
                  <w:tcBorders>
                    <w:tl2br w:val="nil"/>
                    <w:tr2bl w:val="nil"/>
                  </w:tcBorders>
                  <w:noWrap w:val="0"/>
                  <w:vAlign w:val="center"/>
                </w:tcPr>
                <w:p w14:paraId="62C4311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387" w:type="pct"/>
                  <w:tcBorders>
                    <w:tl2br w:val="nil"/>
                    <w:tr2bl w:val="nil"/>
                  </w:tcBorders>
                  <w:noWrap w:val="0"/>
                  <w:vAlign w:val="center"/>
                </w:tcPr>
                <w:p w14:paraId="68D33DB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48D690F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2用1备</w:t>
                  </w:r>
                </w:p>
              </w:tc>
            </w:tr>
            <w:tr w14:paraId="6F3FC8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76EB011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1025" w:type="pct"/>
                  <w:tcBorders>
                    <w:tl2br w:val="nil"/>
                    <w:tr2bl w:val="nil"/>
                  </w:tcBorders>
                  <w:noWrap w:val="0"/>
                  <w:vAlign w:val="center"/>
                </w:tcPr>
                <w:p w14:paraId="709B6B4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潜水推流器（后缺氧池）</w:t>
                  </w:r>
                </w:p>
              </w:tc>
              <w:tc>
                <w:tcPr>
                  <w:tcW w:w="2097" w:type="pct"/>
                  <w:tcBorders>
                    <w:tl2br w:val="nil"/>
                    <w:tr2bl w:val="nil"/>
                  </w:tcBorders>
                  <w:noWrap w:val="0"/>
                  <w:vAlign w:val="center"/>
                </w:tcPr>
                <w:p w14:paraId="2EA17E9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1.D=2500mm，N=7.5kW，变频，包括提升装置、现场控制箱；2.材质：不锈钢</w:t>
                  </w:r>
                </w:p>
              </w:tc>
              <w:tc>
                <w:tcPr>
                  <w:tcW w:w="392" w:type="pct"/>
                  <w:tcBorders>
                    <w:tl2br w:val="nil"/>
                    <w:tr2bl w:val="nil"/>
                  </w:tcBorders>
                  <w:noWrap w:val="0"/>
                  <w:vAlign w:val="center"/>
                </w:tcPr>
                <w:p w14:paraId="3C1C492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387" w:type="pct"/>
                  <w:tcBorders>
                    <w:tl2br w:val="nil"/>
                    <w:tr2bl w:val="nil"/>
                  </w:tcBorders>
                  <w:noWrap w:val="0"/>
                  <w:vAlign w:val="center"/>
                </w:tcPr>
                <w:p w14:paraId="4A91CA8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659E379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07F337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center"/>
                </w:tcPr>
                <w:p w14:paraId="6D145EE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8、消毒系统</w:t>
                  </w:r>
                </w:p>
              </w:tc>
            </w:tr>
            <w:tr w14:paraId="493BE8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684FF0C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1025" w:type="pct"/>
                  <w:tcBorders>
                    <w:tl2br w:val="nil"/>
                    <w:tr2bl w:val="nil"/>
                  </w:tcBorders>
                  <w:noWrap w:val="0"/>
                  <w:vAlign w:val="center"/>
                </w:tcPr>
                <w:p w14:paraId="403960C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卸药泵</w:t>
                  </w:r>
                </w:p>
              </w:tc>
              <w:tc>
                <w:tcPr>
                  <w:tcW w:w="2097" w:type="pct"/>
                  <w:tcBorders>
                    <w:tl2br w:val="nil"/>
                    <w:tr2bl w:val="nil"/>
                  </w:tcBorders>
                  <w:noWrap w:val="0"/>
                  <w:vAlign w:val="center"/>
                </w:tcPr>
                <w:p w14:paraId="75290E1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Q=10m³/h、H=30m、N=2.2kW</w:t>
                  </w:r>
                </w:p>
              </w:tc>
              <w:tc>
                <w:tcPr>
                  <w:tcW w:w="392" w:type="pct"/>
                  <w:tcBorders>
                    <w:tl2br w:val="nil"/>
                    <w:tr2bl w:val="nil"/>
                  </w:tcBorders>
                  <w:noWrap w:val="0"/>
                  <w:vAlign w:val="center"/>
                </w:tcPr>
                <w:p w14:paraId="24D7EFA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387" w:type="pct"/>
                  <w:tcBorders>
                    <w:tl2br w:val="nil"/>
                    <w:tr2bl w:val="nil"/>
                  </w:tcBorders>
                  <w:noWrap w:val="0"/>
                  <w:vAlign w:val="center"/>
                </w:tcPr>
                <w:p w14:paraId="72A98BB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5AB4EF9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265DB0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6839E73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1025" w:type="pct"/>
                  <w:tcBorders>
                    <w:tl2br w:val="nil"/>
                    <w:tr2bl w:val="nil"/>
                  </w:tcBorders>
                  <w:noWrap w:val="0"/>
                  <w:vAlign w:val="center"/>
                </w:tcPr>
                <w:p w14:paraId="261F163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次氯酸钠储罐</w:t>
                  </w:r>
                </w:p>
              </w:tc>
              <w:tc>
                <w:tcPr>
                  <w:tcW w:w="2097" w:type="pct"/>
                  <w:tcBorders>
                    <w:tl2br w:val="nil"/>
                    <w:tr2bl w:val="nil"/>
                  </w:tcBorders>
                  <w:noWrap w:val="0"/>
                  <w:vAlign w:val="center"/>
                </w:tcPr>
                <w:p w14:paraId="024AAB1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10m</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3</w:t>
                  </w:r>
                </w:p>
              </w:tc>
              <w:tc>
                <w:tcPr>
                  <w:tcW w:w="392" w:type="pct"/>
                  <w:tcBorders>
                    <w:tl2br w:val="nil"/>
                    <w:tr2bl w:val="nil"/>
                  </w:tcBorders>
                  <w:noWrap w:val="0"/>
                  <w:vAlign w:val="center"/>
                </w:tcPr>
                <w:p w14:paraId="776621E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387" w:type="pct"/>
                  <w:tcBorders>
                    <w:tl2br w:val="nil"/>
                    <w:tr2bl w:val="nil"/>
                  </w:tcBorders>
                  <w:noWrap w:val="0"/>
                  <w:vAlign w:val="center"/>
                </w:tcPr>
                <w:p w14:paraId="597B5FF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780" w:type="pct"/>
                  <w:tcBorders>
                    <w:tl2br w:val="nil"/>
                    <w:tr2bl w:val="nil"/>
                  </w:tcBorders>
                  <w:noWrap w:val="0"/>
                  <w:vAlign w:val="center"/>
                </w:tcPr>
                <w:p w14:paraId="6427D69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5166FE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549F605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1025" w:type="pct"/>
                  <w:tcBorders>
                    <w:tl2br w:val="nil"/>
                    <w:tr2bl w:val="nil"/>
                  </w:tcBorders>
                  <w:noWrap w:val="0"/>
                  <w:vAlign w:val="center"/>
                </w:tcPr>
                <w:p w14:paraId="420E894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计量泵</w:t>
                  </w:r>
                </w:p>
              </w:tc>
              <w:tc>
                <w:tcPr>
                  <w:tcW w:w="2097" w:type="pct"/>
                  <w:tcBorders>
                    <w:tl2br w:val="nil"/>
                    <w:tr2bl w:val="nil"/>
                  </w:tcBorders>
                  <w:noWrap w:val="0"/>
                  <w:vAlign w:val="center"/>
                </w:tcPr>
                <w:p w14:paraId="0AB63FD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p=7bar、Q=3001/h</w:t>
                  </w:r>
                </w:p>
              </w:tc>
              <w:tc>
                <w:tcPr>
                  <w:tcW w:w="392" w:type="pct"/>
                  <w:tcBorders>
                    <w:tl2br w:val="nil"/>
                    <w:tr2bl w:val="nil"/>
                  </w:tcBorders>
                  <w:noWrap w:val="0"/>
                  <w:vAlign w:val="center"/>
                </w:tcPr>
                <w:p w14:paraId="180A60E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387" w:type="pct"/>
                  <w:tcBorders>
                    <w:tl2br w:val="nil"/>
                    <w:tr2bl w:val="nil"/>
                  </w:tcBorders>
                  <w:noWrap w:val="0"/>
                  <w:vAlign w:val="center"/>
                </w:tcPr>
                <w:p w14:paraId="2677AB4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4364651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0F3E57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center"/>
                </w:tcPr>
                <w:p w14:paraId="2E0E346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9、加药系统</w:t>
                  </w:r>
                </w:p>
              </w:tc>
            </w:tr>
            <w:tr w14:paraId="71DD31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1E4E4E1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1025" w:type="pct"/>
                  <w:tcBorders>
                    <w:tl2br w:val="nil"/>
                    <w:tr2bl w:val="nil"/>
                  </w:tcBorders>
                  <w:noWrap w:val="0"/>
                  <w:vAlign w:val="center"/>
                </w:tcPr>
                <w:p w14:paraId="745DD37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PAC加药系统</w:t>
                  </w:r>
                </w:p>
              </w:tc>
              <w:tc>
                <w:tcPr>
                  <w:tcW w:w="2097" w:type="pct"/>
                  <w:tcBorders>
                    <w:tl2br w:val="nil"/>
                    <w:tr2bl w:val="nil"/>
                  </w:tcBorders>
                  <w:noWrap w:val="0"/>
                  <w:vAlign w:val="center"/>
                </w:tcPr>
                <w:p w14:paraId="7087C849">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p>
              </w:tc>
              <w:tc>
                <w:tcPr>
                  <w:tcW w:w="392" w:type="pct"/>
                  <w:tcBorders>
                    <w:tl2br w:val="nil"/>
                    <w:tr2bl w:val="nil"/>
                  </w:tcBorders>
                  <w:noWrap w:val="0"/>
                  <w:vAlign w:val="center"/>
                </w:tcPr>
                <w:p w14:paraId="4D02D66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387" w:type="pct"/>
                  <w:tcBorders>
                    <w:tl2br w:val="nil"/>
                    <w:tr2bl w:val="nil"/>
                  </w:tcBorders>
                  <w:noWrap w:val="0"/>
                  <w:vAlign w:val="center"/>
                </w:tcPr>
                <w:p w14:paraId="68D1B30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780" w:type="pct"/>
                  <w:tcBorders>
                    <w:tl2br w:val="nil"/>
                    <w:tr2bl w:val="nil"/>
                  </w:tcBorders>
                  <w:noWrap w:val="0"/>
                  <w:vAlign w:val="center"/>
                </w:tcPr>
                <w:p w14:paraId="0EE83CB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4D8EA3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0D66AE3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w:t>
                  </w:r>
                </w:p>
              </w:tc>
              <w:tc>
                <w:tcPr>
                  <w:tcW w:w="1025" w:type="pct"/>
                  <w:tcBorders>
                    <w:tl2br w:val="nil"/>
                    <w:tr2bl w:val="nil"/>
                  </w:tcBorders>
                  <w:noWrap w:val="0"/>
                  <w:vAlign w:val="center"/>
                </w:tcPr>
                <w:p w14:paraId="584CC09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PAC储罐</w:t>
                  </w:r>
                </w:p>
              </w:tc>
              <w:tc>
                <w:tcPr>
                  <w:tcW w:w="2097" w:type="pct"/>
                  <w:tcBorders>
                    <w:tl2br w:val="nil"/>
                    <w:tr2bl w:val="nil"/>
                  </w:tcBorders>
                  <w:noWrap w:val="0"/>
                  <w:vAlign w:val="center"/>
                </w:tcPr>
                <w:p w14:paraId="21AD004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PE储罐，50m</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，配套液位计、内部管道及阀门等所有安装附件。</w:t>
                  </w:r>
                </w:p>
              </w:tc>
              <w:tc>
                <w:tcPr>
                  <w:tcW w:w="392" w:type="pct"/>
                  <w:tcBorders>
                    <w:tl2br w:val="nil"/>
                    <w:tr2bl w:val="nil"/>
                  </w:tcBorders>
                  <w:noWrap w:val="0"/>
                  <w:vAlign w:val="center"/>
                </w:tcPr>
                <w:p w14:paraId="6B35668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387" w:type="pct"/>
                  <w:tcBorders>
                    <w:tl2br w:val="nil"/>
                    <w:tr2bl w:val="nil"/>
                  </w:tcBorders>
                  <w:noWrap w:val="0"/>
                  <w:vAlign w:val="center"/>
                </w:tcPr>
                <w:p w14:paraId="561FD50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780" w:type="pct"/>
                  <w:tcBorders>
                    <w:tl2br w:val="nil"/>
                    <w:tr2bl w:val="nil"/>
                  </w:tcBorders>
                  <w:noWrap w:val="0"/>
                  <w:vAlign w:val="center"/>
                </w:tcPr>
                <w:p w14:paraId="5D30D61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12152F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3BCF297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w:t>
                  </w:r>
                </w:p>
              </w:tc>
              <w:tc>
                <w:tcPr>
                  <w:tcW w:w="1025" w:type="pct"/>
                  <w:tcBorders>
                    <w:tl2br w:val="nil"/>
                    <w:tr2bl w:val="nil"/>
                  </w:tcBorders>
                  <w:noWrap w:val="0"/>
                  <w:vAlign w:val="center"/>
                </w:tcPr>
                <w:p w14:paraId="0C3CA6D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PAC投加泵（计量泵）</w:t>
                  </w:r>
                </w:p>
              </w:tc>
              <w:tc>
                <w:tcPr>
                  <w:tcW w:w="2097" w:type="pct"/>
                  <w:tcBorders>
                    <w:tl2br w:val="nil"/>
                    <w:tr2bl w:val="nil"/>
                  </w:tcBorders>
                  <w:noWrap w:val="0"/>
                  <w:vAlign w:val="center"/>
                </w:tcPr>
                <w:p w14:paraId="7F6FE40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p=7bar、Q=5001/h，配套Y型过滤器、缓冲器、安全阀、背压阀，以及所有安装附件。</w:t>
                  </w:r>
                </w:p>
              </w:tc>
              <w:tc>
                <w:tcPr>
                  <w:tcW w:w="392" w:type="pct"/>
                  <w:tcBorders>
                    <w:tl2br w:val="nil"/>
                    <w:tr2bl w:val="nil"/>
                  </w:tcBorders>
                  <w:noWrap w:val="0"/>
                  <w:vAlign w:val="center"/>
                </w:tcPr>
                <w:p w14:paraId="6D12F61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387" w:type="pct"/>
                  <w:tcBorders>
                    <w:tl2br w:val="nil"/>
                    <w:tr2bl w:val="nil"/>
                  </w:tcBorders>
                  <w:noWrap w:val="0"/>
                  <w:vAlign w:val="center"/>
                </w:tcPr>
                <w:p w14:paraId="2C8E2EC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2AC2B75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35F4B3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4D53E79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w:t>
                  </w:r>
                </w:p>
              </w:tc>
              <w:tc>
                <w:tcPr>
                  <w:tcW w:w="1025" w:type="pct"/>
                  <w:tcBorders>
                    <w:tl2br w:val="nil"/>
                    <w:tr2bl w:val="nil"/>
                  </w:tcBorders>
                  <w:noWrap w:val="0"/>
                  <w:vAlign w:val="center"/>
                </w:tcPr>
                <w:p w14:paraId="7921182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卸药泵</w:t>
                  </w:r>
                </w:p>
              </w:tc>
              <w:tc>
                <w:tcPr>
                  <w:tcW w:w="2097" w:type="pct"/>
                  <w:tcBorders>
                    <w:tl2br w:val="nil"/>
                    <w:tr2bl w:val="nil"/>
                  </w:tcBorders>
                  <w:noWrap w:val="0"/>
                  <w:vAlign w:val="center"/>
                </w:tcPr>
                <w:p w14:paraId="265C7F0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Q=10m</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/h、H=30m、N=2.2kW</w:t>
                  </w:r>
                </w:p>
              </w:tc>
              <w:tc>
                <w:tcPr>
                  <w:tcW w:w="392" w:type="pct"/>
                  <w:tcBorders>
                    <w:tl2br w:val="nil"/>
                    <w:tr2bl w:val="nil"/>
                  </w:tcBorders>
                  <w:noWrap w:val="0"/>
                  <w:vAlign w:val="center"/>
                </w:tcPr>
                <w:p w14:paraId="145B5FA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387" w:type="pct"/>
                  <w:tcBorders>
                    <w:tl2br w:val="nil"/>
                    <w:tr2bl w:val="nil"/>
                  </w:tcBorders>
                  <w:noWrap w:val="0"/>
                  <w:vAlign w:val="center"/>
                </w:tcPr>
                <w:p w14:paraId="3C353E5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774105C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7AFB6A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081130F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1025" w:type="pct"/>
                  <w:tcBorders>
                    <w:tl2br w:val="nil"/>
                    <w:tr2bl w:val="nil"/>
                  </w:tcBorders>
                  <w:noWrap w:val="0"/>
                  <w:vAlign w:val="center"/>
                </w:tcPr>
                <w:p w14:paraId="2CDE40C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碳源加药系统</w:t>
                  </w:r>
                </w:p>
              </w:tc>
              <w:tc>
                <w:tcPr>
                  <w:tcW w:w="2097" w:type="pct"/>
                  <w:tcBorders>
                    <w:tl2br w:val="nil"/>
                    <w:tr2bl w:val="nil"/>
                  </w:tcBorders>
                  <w:noWrap w:val="0"/>
                  <w:vAlign w:val="center"/>
                </w:tcPr>
                <w:p w14:paraId="18612BB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规格：包括卸药泵、PE储罐（50m³，1个）、超声波液位计、磁翻板液位计、加药泵、控制/plc子站。</w:t>
                  </w:r>
                </w:p>
              </w:tc>
              <w:tc>
                <w:tcPr>
                  <w:tcW w:w="392" w:type="pct"/>
                  <w:tcBorders>
                    <w:tl2br w:val="nil"/>
                    <w:tr2bl w:val="nil"/>
                  </w:tcBorders>
                  <w:noWrap w:val="0"/>
                  <w:vAlign w:val="center"/>
                </w:tcPr>
                <w:p w14:paraId="16C0F07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387" w:type="pct"/>
                  <w:tcBorders>
                    <w:tl2br w:val="nil"/>
                    <w:tr2bl w:val="nil"/>
                  </w:tcBorders>
                  <w:noWrap w:val="0"/>
                  <w:vAlign w:val="center"/>
                </w:tcPr>
                <w:p w14:paraId="0BB4A89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780" w:type="pct"/>
                  <w:tcBorders>
                    <w:tl2br w:val="nil"/>
                    <w:tr2bl w:val="nil"/>
                  </w:tcBorders>
                  <w:noWrap w:val="0"/>
                  <w:vAlign w:val="center"/>
                </w:tcPr>
                <w:p w14:paraId="201E967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6062F7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5C5C535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2.1</w:t>
                  </w:r>
                </w:p>
              </w:tc>
              <w:tc>
                <w:tcPr>
                  <w:tcW w:w="1025" w:type="pct"/>
                  <w:tcBorders>
                    <w:tl2br w:val="nil"/>
                    <w:tr2bl w:val="nil"/>
                  </w:tcBorders>
                  <w:noWrap w:val="0"/>
                  <w:vAlign w:val="center"/>
                </w:tcPr>
                <w:p w14:paraId="75A39AB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碳源储罐</w:t>
                  </w:r>
                </w:p>
              </w:tc>
              <w:tc>
                <w:tcPr>
                  <w:tcW w:w="2097" w:type="pct"/>
                  <w:tcBorders>
                    <w:tl2br w:val="nil"/>
                    <w:tr2bl w:val="nil"/>
                  </w:tcBorders>
                  <w:noWrap w:val="0"/>
                  <w:vAlign w:val="center"/>
                </w:tcPr>
                <w:p w14:paraId="2328BEB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PE储罐，50m</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，配套液位计、内部管道及阀门等所有安装附件。</w:t>
                  </w:r>
                </w:p>
              </w:tc>
              <w:tc>
                <w:tcPr>
                  <w:tcW w:w="392" w:type="pct"/>
                  <w:tcBorders>
                    <w:tl2br w:val="nil"/>
                    <w:tr2bl w:val="nil"/>
                  </w:tcBorders>
                  <w:noWrap w:val="0"/>
                  <w:vAlign w:val="center"/>
                </w:tcPr>
                <w:p w14:paraId="1AABED0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387" w:type="pct"/>
                  <w:tcBorders>
                    <w:tl2br w:val="nil"/>
                    <w:tr2bl w:val="nil"/>
                  </w:tcBorders>
                  <w:noWrap w:val="0"/>
                  <w:vAlign w:val="center"/>
                </w:tcPr>
                <w:p w14:paraId="3EE265D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780" w:type="pct"/>
                  <w:tcBorders>
                    <w:tl2br w:val="nil"/>
                    <w:tr2bl w:val="nil"/>
                  </w:tcBorders>
                  <w:noWrap w:val="0"/>
                  <w:vAlign w:val="center"/>
                </w:tcPr>
                <w:p w14:paraId="312FBEB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44E3E1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196087D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2.2</w:t>
                  </w:r>
                </w:p>
              </w:tc>
              <w:tc>
                <w:tcPr>
                  <w:tcW w:w="1025" w:type="pct"/>
                  <w:tcBorders>
                    <w:tl2br w:val="nil"/>
                    <w:tr2bl w:val="nil"/>
                  </w:tcBorders>
                  <w:noWrap w:val="0"/>
                  <w:vAlign w:val="center"/>
                </w:tcPr>
                <w:p w14:paraId="4111625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碳源投加泵（计量泵）</w:t>
                  </w:r>
                </w:p>
              </w:tc>
              <w:tc>
                <w:tcPr>
                  <w:tcW w:w="2097" w:type="pct"/>
                  <w:tcBorders>
                    <w:tl2br w:val="nil"/>
                    <w:tr2bl w:val="nil"/>
                  </w:tcBorders>
                  <w:noWrap w:val="0"/>
                  <w:vAlign w:val="center"/>
                </w:tcPr>
                <w:p w14:paraId="75ECE6D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p=7bar、Q=5001/h，配套Y型过滤器、缓冲器、安全阀、背压阀，以及所有安装附件。</w:t>
                  </w:r>
                </w:p>
              </w:tc>
              <w:tc>
                <w:tcPr>
                  <w:tcW w:w="392" w:type="pct"/>
                  <w:tcBorders>
                    <w:tl2br w:val="nil"/>
                    <w:tr2bl w:val="nil"/>
                  </w:tcBorders>
                  <w:noWrap w:val="0"/>
                  <w:vAlign w:val="center"/>
                </w:tcPr>
                <w:p w14:paraId="18FF8B5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387" w:type="pct"/>
                  <w:tcBorders>
                    <w:tl2br w:val="nil"/>
                    <w:tr2bl w:val="nil"/>
                  </w:tcBorders>
                  <w:noWrap w:val="0"/>
                  <w:vAlign w:val="center"/>
                </w:tcPr>
                <w:p w14:paraId="70253DF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52C80FA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0E5C4A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1743339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2.3</w:t>
                  </w:r>
                </w:p>
              </w:tc>
              <w:tc>
                <w:tcPr>
                  <w:tcW w:w="1025" w:type="pct"/>
                  <w:tcBorders>
                    <w:tl2br w:val="nil"/>
                    <w:tr2bl w:val="nil"/>
                  </w:tcBorders>
                  <w:noWrap w:val="0"/>
                  <w:vAlign w:val="center"/>
                </w:tcPr>
                <w:p w14:paraId="706A061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卸药泵</w:t>
                  </w:r>
                </w:p>
              </w:tc>
              <w:tc>
                <w:tcPr>
                  <w:tcW w:w="2097" w:type="pct"/>
                  <w:tcBorders>
                    <w:tl2br w:val="nil"/>
                    <w:tr2bl w:val="nil"/>
                  </w:tcBorders>
                  <w:noWrap w:val="0"/>
                  <w:vAlign w:val="center"/>
                </w:tcPr>
                <w:p w14:paraId="152E7E7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Q=10m</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/h、H=30m、N=2.2kW</w:t>
                  </w:r>
                </w:p>
              </w:tc>
              <w:tc>
                <w:tcPr>
                  <w:tcW w:w="392" w:type="pct"/>
                  <w:tcBorders>
                    <w:tl2br w:val="nil"/>
                    <w:tr2bl w:val="nil"/>
                  </w:tcBorders>
                  <w:noWrap w:val="0"/>
                  <w:vAlign w:val="center"/>
                </w:tcPr>
                <w:p w14:paraId="568317F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387" w:type="pct"/>
                  <w:tcBorders>
                    <w:tl2br w:val="nil"/>
                    <w:tr2bl w:val="nil"/>
                  </w:tcBorders>
                  <w:noWrap w:val="0"/>
                  <w:vAlign w:val="center"/>
                </w:tcPr>
                <w:p w14:paraId="6491B4D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059D509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6F6367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center"/>
                </w:tcPr>
                <w:p w14:paraId="6DD372B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10、鼓风机房</w:t>
                  </w:r>
                </w:p>
              </w:tc>
            </w:tr>
            <w:tr w14:paraId="45CAF7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0DCE9CF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1025" w:type="pct"/>
                  <w:tcBorders>
                    <w:tl2br w:val="nil"/>
                    <w:tr2bl w:val="nil"/>
                  </w:tcBorders>
                  <w:noWrap w:val="0"/>
                  <w:vAlign w:val="center"/>
                </w:tcPr>
                <w:p w14:paraId="238C6B0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空气悬浮风机</w:t>
                  </w:r>
                </w:p>
              </w:tc>
              <w:tc>
                <w:tcPr>
                  <w:tcW w:w="2097" w:type="pct"/>
                  <w:tcBorders>
                    <w:tl2br w:val="nil"/>
                    <w:tr2bl w:val="nil"/>
                  </w:tcBorders>
                  <w:noWrap w:val="0"/>
                  <w:vAlign w:val="center"/>
                </w:tcPr>
                <w:p w14:paraId="6840B16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规格型号：Q=165m³/min，p=58.8Kpa，N=220kW</w:t>
                  </w:r>
                </w:p>
              </w:tc>
              <w:tc>
                <w:tcPr>
                  <w:tcW w:w="392" w:type="pct"/>
                  <w:tcBorders>
                    <w:tl2br w:val="nil"/>
                    <w:tr2bl w:val="nil"/>
                  </w:tcBorders>
                  <w:noWrap w:val="0"/>
                  <w:vAlign w:val="center"/>
                </w:tcPr>
                <w:p w14:paraId="16A5E2F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387" w:type="pct"/>
                  <w:tcBorders>
                    <w:tl2br w:val="nil"/>
                    <w:tr2bl w:val="nil"/>
                  </w:tcBorders>
                  <w:noWrap w:val="0"/>
                  <w:vAlign w:val="center"/>
                </w:tcPr>
                <w:p w14:paraId="40FFBB5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3226744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拆除3台罗茨风机，更换为空浮</w:t>
                  </w:r>
                </w:p>
              </w:tc>
            </w:tr>
            <w:tr w14:paraId="124310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center"/>
                </w:tcPr>
                <w:p w14:paraId="5A5ECCC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10、污泥脱水机房</w:t>
                  </w:r>
                </w:p>
              </w:tc>
            </w:tr>
            <w:tr w14:paraId="58A9D5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17A86B9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1025" w:type="pct"/>
                  <w:tcBorders>
                    <w:tl2br w:val="nil"/>
                    <w:tr2bl w:val="nil"/>
                  </w:tcBorders>
                  <w:noWrap w:val="0"/>
                  <w:vAlign w:val="center"/>
                </w:tcPr>
                <w:p w14:paraId="19A0687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污泥脱水机</w:t>
                  </w:r>
                </w:p>
              </w:tc>
              <w:tc>
                <w:tcPr>
                  <w:tcW w:w="2097" w:type="pct"/>
                  <w:tcBorders>
                    <w:tl2br w:val="nil"/>
                    <w:tr2bl w:val="nil"/>
                  </w:tcBorders>
                  <w:noWrap w:val="0"/>
                  <w:vAlign w:val="center"/>
                </w:tcPr>
                <w:p w14:paraId="28F4ABF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处理量：湿污泥=37.5-49m³/h，污泥绝干量150-312kg.ds/h</w:t>
                  </w:r>
                </w:p>
              </w:tc>
              <w:tc>
                <w:tcPr>
                  <w:tcW w:w="392" w:type="pct"/>
                  <w:tcBorders>
                    <w:tl2br w:val="nil"/>
                    <w:tr2bl w:val="nil"/>
                  </w:tcBorders>
                  <w:noWrap w:val="0"/>
                  <w:vAlign w:val="center"/>
                </w:tcPr>
                <w:p w14:paraId="3FCF0D4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387" w:type="pct"/>
                  <w:tcBorders>
                    <w:tl2br w:val="nil"/>
                    <w:tr2bl w:val="nil"/>
                  </w:tcBorders>
                  <w:noWrap w:val="0"/>
                  <w:vAlign w:val="center"/>
                </w:tcPr>
                <w:p w14:paraId="4B26A75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3A949A5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331159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09CF98A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1025" w:type="pct"/>
                  <w:tcBorders>
                    <w:tl2br w:val="nil"/>
                    <w:tr2bl w:val="nil"/>
                  </w:tcBorders>
                  <w:noWrap w:val="0"/>
                  <w:vAlign w:val="center"/>
                </w:tcPr>
                <w:p w14:paraId="139F839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絮凝剂加药装置</w:t>
                  </w:r>
                </w:p>
              </w:tc>
              <w:tc>
                <w:tcPr>
                  <w:tcW w:w="2097" w:type="pct"/>
                  <w:tcBorders>
                    <w:tl2br w:val="nil"/>
                    <w:tr2bl w:val="nil"/>
                  </w:tcBorders>
                  <w:noWrap w:val="0"/>
                  <w:vAlign w:val="center"/>
                </w:tcPr>
                <w:p w14:paraId="6D5C596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泡药量=3500L/h</w:t>
                  </w:r>
                </w:p>
              </w:tc>
              <w:tc>
                <w:tcPr>
                  <w:tcW w:w="392" w:type="pct"/>
                  <w:tcBorders>
                    <w:tl2br w:val="nil"/>
                    <w:tr2bl w:val="nil"/>
                  </w:tcBorders>
                  <w:noWrap w:val="0"/>
                  <w:vAlign w:val="center"/>
                </w:tcPr>
                <w:p w14:paraId="7051A31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387" w:type="pct"/>
                  <w:tcBorders>
                    <w:tl2br w:val="nil"/>
                    <w:tr2bl w:val="nil"/>
                  </w:tcBorders>
                  <w:noWrap w:val="0"/>
                  <w:vAlign w:val="center"/>
                </w:tcPr>
                <w:p w14:paraId="6309C2F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780" w:type="pct"/>
                  <w:tcBorders>
                    <w:tl2br w:val="nil"/>
                    <w:tr2bl w:val="nil"/>
                  </w:tcBorders>
                  <w:noWrap w:val="0"/>
                  <w:vAlign w:val="center"/>
                </w:tcPr>
                <w:p w14:paraId="66ED277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4301DC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16AD91D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1025" w:type="pct"/>
                  <w:tcBorders>
                    <w:tl2br w:val="nil"/>
                    <w:tr2bl w:val="nil"/>
                  </w:tcBorders>
                  <w:noWrap w:val="0"/>
                  <w:vAlign w:val="center"/>
                </w:tcPr>
                <w:p w14:paraId="3DEA8A0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空压机</w:t>
                  </w:r>
                </w:p>
              </w:tc>
              <w:tc>
                <w:tcPr>
                  <w:tcW w:w="2097" w:type="pct"/>
                  <w:tcBorders>
                    <w:tl2br w:val="nil"/>
                    <w:tr2bl w:val="nil"/>
                  </w:tcBorders>
                  <w:noWrap w:val="0"/>
                  <w:vAlign w:val="center"/>
                </w:tcPr>
                <w:p w14:paraId="4DA718C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1HP-70</w:t>
                  </w:r>
                </w:p>
              </w:tc>
              <w:tc>
                <w:tcPr>
                  <w:tcW w:w="392" w:type="pct"/>
                  <w:tcBorders>
                    <w:tl2br w:val="nil"/>
                    <w:tr2bl w:val="nil"/>
                  </w:tcBorders>
                  <w:noWrap w:val="0"/>
                  <w:vAlign w:val="center"/>
                </w:tcPr>
                <w:p w14:paraId="3734606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387" w:type="pct"/>
                  <w:tcBorders>
                    <w:tl2br w:val="nil"/>
                    <w:tr2bl w:val="nil"/>
                  </w:tcBorders>
                  <w:noWrap w:val="0"/>
                  <w:vAlign w:val="center"/>
                </w:tcPr>
                <w:p w14:paraId="68701BC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014B303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318319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1D12750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1025" w:type="pct"/>
                  <w:tcBorders>
                    <w:tl2br w:val="nil"/>
                    <w:tr2bl w:val="nil"/>
                  </w:tcBorders>
                  <w:noWrap w:val="0"/>
                  <w:vAlign w:val="center"/>
                </w:tcPr>
                <w:p w14:paraId="304C274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清洗泵</w:t>
                  </w:r>
                </w:p>
              </w:tc>
              <w:tc>
                <w:tcPr>
                  <w:tcW w:w="2097" w:type="pct"/>
                  <w:tcBorders>
                    <w:tl2br w:val="nil"/>
                    <w:tr2bl w:val="nil"/>
                  </w:tcBorders>
                  <w:noWrap w:val="0"/>
                  <w:vAlign w:val="center"/>
                </w:tcPr>
                <w:p w14:paraId="269F826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G310-50，Q=11m³/h，H=70米</w:t>
                  </w:r>
                </w:p>
              </w:tc>
              <w:tc>
                <w:tcPr>
                  <w:tcW w:w="392" w:type="pct"/>
                  <w:tcBorders>
                    <w:tl2br w:val="nil"/>
                    <w:tr2bl w:val="nil"/>
                  </w:tcBorders>
                  <w:noWrap w:val="0"/>
                  <w:vAlign w:val="center"/>
                </w:tcPr>
                <w:p w14:paraId="62CF28A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387" w:type="pct"/>
                  <w:tcBorders>
                    <w:tl2br w:val="nil"/>
                    <w:tr2bl w:val="nil"/>
                  </w:tcBorders>
                  <w:noWrap w:val="0"/>
                  <w:vAlign w:val="center"/>
                </w:tcPr>
                <w:p w14:paraId="307BA89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17F12E8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2B6A99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162A260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1025" w:type="pct"/>
                  <w:tcBorders>
                    <w:tl2br w:val="nil"/>
                    <w:tr2bl w:val="nil"/>
                  </w:tcBorders>
                  <w:noWrap w:val="0"/>
                  <w:vAlign w:val="center"/>
                </w:tcPr>
                <w:p w14:paraId="45F43C4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加药泵</w:t>
                  </w:r>
                </w:p>
              </w:tc>
              <w:tc>
                <w:tcPr>
                  <w:tcW w:w="2097" w:type="pct"/>
                  <w:tcBorders>
                    <w:tl2br w:val="nil"/>
                    <w:tr2bl w:val="nil"/>
                  </w:tcBorders>
                  <w:noWrap w:val="0"/>
                  <w:vAlign w:val="center"/>
                </w:tcPr>
                <w:p w14:paraId="66E1B9E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1.5kW，3500L/h</w:t>
                  </w:r>
                </w:p>
              </w:tc>
              <w:tc>
                <w:tcPr>
                  <w:tcW w:w="392" w:type="pct"/>
                  <w:tcBorders>
                    <w:tl2br w:val="nil"/>
                    <w:tr2bl w:val="nil"/>
                  </w:tcBorders>
                  <w:noWrap w:val="0"/>
                  <w:vAlign w:val="center"/>
                </w:tcPr>
                <w:p w14:paraId="7896BCA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387" w:type="pct"/>
                  <w:tcBorders>
                    <w:tl2br w:val="nil"/>
                    <w:tr2bl w:val="nil"/>
                  </w:tcBorders>
                  <w:noWrap w:val="0"/>
                  <w:vAlign w:val="center"/>
                </w:tcPr>
                <w:p w14:paraId="57F7B4F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71903BB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46A6EF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6" w:type="pct"/>
                  <w:tcBorders>
                    <w:tl2br w:val="nil"/>
                    <w:tr2bl w:val="nil"/>
                  </w:tcBorders>
                  <w:noWrap w:val="0"/>
                  <w:vAlign w:val="center"/>
                </w:tcPr>
                <w:p w14:paraId="46875EF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1025" w:type="pct"/>
                  <w:tcBorders>
                    <w:tl2br w:val="nil"/>
                    <w:tr2bl w:val="nil"/>
                  </w:tcBorders>
                  <w:noWrap w:val="0"/>
                  <w:vAlign w:val="center"/>
                </w:tcPr>
                <w:p w14:paraId="60FF8D8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污泥泵</w:t>
                  </w:r>
                </w:p>
              </w:tc>
              <w:tc>
                <w:tcPr>
                  <w:tcW w:w="2097" w:type="pct"/>
                  <w:tcBorders>
                    <w:tl2br w:val="nil"/>
                    <w:tr2bl w:val="nil"/>
                  </w:tcBorders>
                  <w:noWrap w:val="0"/>
                  <w:vAlign w:val="center"/>
                </w:tcPr>
                <w:p w14:paraId="4491B26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11kW，45m³/h</w:t>
                  </w:r>
                </w:p>
              </w:tc>
              <w:tc>
                <w:tcPr>
                  <w:tcW w:w="392" w:type="pct"/>
                  <w:tcBorders>
                    <w:tl2br w:val="nil"/>
                    <w:tr2bl w:val="nil"/>
                  </w:tcBorders>
                  <w:noWrap w:val="0"/>
                  <w:vAlign w:val="center"/>
                </w:tcPr>
                <w:p w14:paraId="7321AD6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387" w:type="pct"/>
                  <w:tcBorders>
                    <w:tl2br w:val="nil"/>
                    <w:tr2bl w:val="nil"/>
                  </w:tcBorders>
                  <w:noWrap w:val="0"/>
                  <w:vAlign w:val="center"/>
                </w:tcPr>
                <w:p w14:paraId="58EACF9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780" w:type="pct"/>
                  <w:tcBorders>
                    <w:tl2br w:val="nil"/>
                    <w:tr2bl w:val="nil"/>
                  </w:tcBorders>
                  <w:noWrap w:val="0"/>
                  <w:vAlign w:val="center"/>
                </w:tcPr>
                <w:p w14:paraId="2DD77B1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bl>
          <w:p w14:paraId="1B82C6A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eastAsia="zh-CN"/>
                <w14:textFill>
                  <w14:solidFill>
                    <w14:schemeClr w14:val="tx1"/>
                  </w14:solidFill>
                </w14:textFill>
              </w:rPr>
            </w:pPr>
          </w:p>
          <w:p w14:paraId="7B8F7FD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调节池</w:t>
            </w:r>
            <w:r>
              <w:rPr>
                <w:rFonts w:hint="eastAsia"/>
                <w:color w:val="000000" w:themeColor="text1"/>
                <w:highlight w:val="none"/>
                <w14:textFill>
                  <w14:solidFill>
                    <w14:schemeClr w14:val="tx1"/>
                  </w14:solidFill>
                </w14:textFill>
              </w:rPr>
              <w:t>及提升泵房</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改造</w:t>
            </w:r>
            <w:r>
              <w:rPr>
                <w:rFonts w:hint="eastAsia"/>
                <w:color w:val="000000" w:themeColor="text1"/>
                <w:highlight w:val="none"/>
                <w:lang w:eastAsia="zh-CN"/>
                <w14:textFill>
                  <w14:solidFill>
                    <w14:schemeClr w14:val="tx1"/>
                  </w14:solidFill>
                </w14:textFill>
              </w:rPr>
              <w:t>）</w:t>
            </w:r>
          </w:p>
          <w:p w14:paraId="25E324C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调节池用于均化水质、调节水量，减少原水水质水量冲击负荷对后续处理单元的影响。本污水处理厂来水为城区各中间提升泵站出水，城区污水进入调节池后，通过提升泵加压后进入后续处理构筑物。</w:t>
            </w:r>
          </w:p>
          <w:p w14:paraId="7215A02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污水处理厂现状调节池及提升泵房合建，地下式结构，现状土建规模为3.0万m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/d，设备按1.5万m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/d安装。调节池有效容积V=2475m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，有效水深H=6.5m，提升泵房内已安装3台提升泵，预留2台泵位，单台水泵参数为Q=300m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/h，H=14.0m，N=37kW。提升泵因使用年限较长，设备损坏严重，无法稳定保障污水输送效率，且不满足3.0万</w:t>
            </w:r>
            <w:r>
              <w:rPr>
                <w:rFonts w:hint="eastAsia"/>
                <w:color w:val="000000" w:themeColor="text1"/>
                <w:highlight w:val="none"/>
                <w:lang w:val="en-US" w:eastAsia="zh-CN"/>
                <w14:textFill>
                  <w14:solidFill>
                    <w14:schemeClr w14:val="tx1"/>
                  </w14:solidFill>
                </w14:textFill>
              </w:rPr>
              <w:t>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/d的提升能力要求。</w:t>
            </w:r>
          </w:p>
          <w:p w14:paraId="11B21A8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本次升级改造工程利用现有土建设施，更换现状3台提升泵，并在预留泵位新增2台提升泵，更换后总设计规模为3.0万m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/d，因提升泵前端设置了调节池，故调节池后变化系数按1.20，设计流量1500m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/h，改造后泵房内共设置5台提升泵，4用1备。</w:t>
            </w:r>
          </w:p>
          <w:p w14:paraId="2677311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（2）细栅格间（改造）</w:t>
            </w:r>
          </w:p>
          <w:p w14:paraId="130BC3B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调节池出水由提升泵加压进入细格栅，去除污水中细小颗粒以及粒径&gt;0.2mm的砂粒，使无机砂粒与有机物分离开来，便于后续生化处理。</w:t>
            </w:r>
          </w:p>
          <w:p w14:paraId="2573B8D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污水处理厂现状细格栅间与沉砂间合建，现状规模为3.0万</w:t>
            </w:r>
            <w:r>
              <w:rPr>
                <w:rFonts w:hint="eastAsia"/>
                <w:color w:val="000000" w:themeColor="text1"/>
                <w:highlight w:val="none"/>
                <w:lang w:val="en-US" w:eastAsia="zh-CN"/>
                <w14:textFill>
                  <w14:solidFill>
                    <w14:schemeClr w14:val="tx1"/>
                  </w14:solidFill>
                </w14:textFill>
              </w:rPr>
              <w:t>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d。细格栅渠为地上式构筑物，车间内设2条栅渠，单渠宽度1.1m，现状细格栅为回转式格栅除污机（不锈钢材质），格栅间隙5mm，电机功率0.55kW，安装角度75°。格栅机前后分别装有渠道闸门以便事故检修。细格栅因使用年限较长，设备老化，污水中悬浮物的拦截效果下降，故障率高。</w:t>
            </w:r>
          </w:p>
          <w:p w14:paraId="26667ED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次升级改造工程利用现有土建设施，更换现状细格栅，为满足后续MBR膜使用需求，截留较细的悬浮物、漂浮物，保证后续处理的高效性，将现有间隙5mm的细格栅更换为间隙为1mm的细格栅，为满足安装需求，格栅形式采用转股转鼓式细格栅，每座渠道安装2台，共更换4台，同时为细格栅配套螺旋挤压机及冲洗系统等辅助设备。</w:t>
            </w:r>
          </w:p>
          <w:p w14:paraId="0C8374E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沉砂池</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改造</w:t>
            </w:r>
            <w:r>
              <w:rPr>
                <w:rFonts w:hint="eastAsia"/>
                <w:color w:val="000000" w:themeColor="text1"/>
                <w:highlight w:val="none"/>
                <w:lang w:eastAsia="zh-CN"/>
                <w14:textFill>
                  <w14:solidFill>
                    <w14:schemeClr w14:val="tx1"/>
                  </w14:solidFill>
                </w14:textFill>
              </w:rPr>
              <w:t>）</w:t>
            </w:r>
          </w:p>
          <w:p w14:paraId="69C9D56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细格栅出水进入沉砂池，沉砂池用于去除原水中粒径较大的无机砂粒，以保证后续生物处理流程的正常运行。</w:t>
            </w:r>
          </w:p>
          <w:p w14:paraId="20E2A44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污水处理厂现状沉砂间与细格栅间合建，现状规模为3.0万</w:t>
            </w:r>
            <w:r>
              <w:rPr>
                <w:rFonts w:hint="eastAsia"/>
                <w:color w:val="000000" w:themeColor="text1"/>
                <w:highlight w:val="none"/>
                <w:lang w:val="en-US" w:eastAsia="zh-CN"/>
                <w14:textFill>
                  <w14:solidFill>
                    <w14:schemeClr w14:val="tx1"/>
                  </w14:solidFill>
                </w14:textFill>
              </w:rPr>
              <w:t>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d。沉砂池采用旋流式沉砂池，两座，地上式构筑物，混凝土结构。沉砂用气提方式提至砂水分离器，进行砂水分离，沉砂池直径Φ=2430mm，配套设置砂水分离器等辅助设备。沉砂池设备因使用年限较长，设备老化，急需更换。</w:t>
            </w:r>
          </w:p>
          <w:p w14:paraId="7C34972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本次升级改造工程利用现有土建设施，更换沉砂池内老旧设备，满足其使用需求。</w:t>
            </w:r>
          </w:p>
          <w:p w14:paraId="4061ADB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14:textFill>
                  <w14:solidFill>
                    <w14:schemeClr w14:val="tx1"/>
                  </w14:solidFill>
                </w14:textFill>
              </w:rPr>
              <w:t>厌氧、缺氧池</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新建</w:t>
            </w:r>
            <w:r>
              <w:rPr>
                <w:rFonts w:hint="eastAsia"/>
                <w:color w:val="000000" w:themeColor="text1"/>
                <w:highlight w:val="none"/>
                <w:lang w:eastAsia="zh-CN"/>
                <w14:textFill>
                  <w14:solidFill>
                    <w14:schemeClr w14:val="tx1"/>
                  </w14:solidFill>
                </w14:textFill>
              </w:rPr>
              <w:t>）</w:t>
            </w:r>
          </w:p>
          <w:p w14:paraId="4A2C220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厌氧池功能为利用聚磷厌氧条件下的除磷作用，创造满足聚磷菌生长繁殖的最佳生存环境，最终达到生物除磷的目的。缺氧池功能为通过反硝化菌的反硝化作用，使污水中总氮污物得以有效去除，属于污水生物脱氮工艺的重要阶段。</w:t>
            </w:r>
          </w:p>
          <w:p w14:paraId="4DC16E4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本次升级改造工程在现状好氧池西侧新建厌氧、缺氧池1座，半地下式钢筋混凝土结构，平面总尺寸80.5m</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14:textFill>
                  <w14:solidFill>
                    <w14:schemeClr w14:val="tx1"/>
                  </w14:solidFill>
                </w14:textFill>
              </w:rPr>
              <w:t>14.0m，池内设置推流器及回流泵等设备。主要技术参数如下：</w:t>
            </w:r>
          </w:p>
          <w:p w14:paraId="720F44C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厌氧区平面净尺寸</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24</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14:textFill>
                  <w14:solidFill>
                    <w14:schemeClr w14:val="tx1"/>
                  </w14:solidFill>
                </w14:textFill>
              </w:rPr>
              <w:t>13m（1座，半地下式钢砼结构）</w:t>
            </w:r>
          </w:p>
          <w:p w14:paraId="7644160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厌氧区水力停留时间</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1.67h</w:t>
            </w:r>
          </w:p>
          <w:p w14:paraId="18106FD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缺氧区平面净尺寸</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55</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14:textFill>
                  <w14:solidFill>
                    <w14:schemeClr w14:val="tx1"/>
                  </w14:solidFill>
                </w14:textFill>
              </w:rPr>
              <w:t>13m（1座，半地下式钢砼结构）</w:t>
            </w:r>
          </w:p>
          <w:p w14:paraId="581F4E7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水力停留时间</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3.83h</w:t>
            </w:r>
          </w:p>
          <w:p w14:paraId="2A87841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池深</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7.0m</w:t>
            </w:r>
          </w:p>
          <w:p w14:paraId="7D5B6C5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有效水深</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6.3m</w:t>
            </w:r>
          </w:p>
          <w:p w14:paraId="39E8387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反硝化速率</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0. 031kgNO</w:t>
            </w:r>
            <w:r>
              <w:rPr>
                <w:rFonts w:hint="eastAsia"/>
                <w:color w:val="000000" w:themeColor="text1"/>
                <w:highlight w:val="none"/>
                <w:vertAlign w:val="subscript"/>
                <w14:textFill>
                  <w14:solidFill>
                    <w14:schemeClr w14:val="tx1"/>
                  </w14:solidFill>
                </w14:textFill>
              </w:rPr>
              <w:t>3</w:t>
            </w:r>
            <w:r>
              <w:rPr>
                <w:rFonts w:hint="eastAsia"/>
                <w:color w:val="000000" w:themeColor="text1"/>
                <w:highlight w:val="none"/>
                <w14:textFill>
                  <w14:solidFill>
                    <w14:schemeClr w14:val="tx1"/>
                  </w14:solidFill>
                </w14:textFill>
              </w:rPr>
              <w:t>-N/kgSS.d</w:t>
            </w:r>
          </w:p>
          <w:p w14:paraId="50E56DB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缺氧区污泥回流比</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200%</w:t>
            </w:r>
          </w:p>
          <w:p w14:paraId="6F9D32A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（5）</w:t>
            </w:r>
            <w:r>
              <w:rPr>
                <w:rFonts w:hint="eastAsia"/>
                <w:color w:val="000000" w:themeColor="text1"/>
                <w:highlight w:val="none"/>
                <w14:textFill>
                  <w14:solidFill>
                    <w14:schemeClr w14:val="tx1"/>
                  </w14:solidFill>
                </w14:textFill>
              </w:rPr>
              <w:t>缺氧池</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原厌氧池、缺氧池改造</w:t>
            </w:r>
            <w:r>
              <w:rPr>
                <w:rFonts w:hint="eastAsia"/>
                <w:color w:val="000000" w:themeColor="text1"/>
                <w:highlight w:val="none"/>
                <w:lang w:eastAsia="zh-CN"/>
                <w14:textFill>
                  <w14:solidFill>
                    <w14:schemeClr w14:val="tx1"/>
                  </w14:solidFill>
                </w14:textFill>
              </w:rPr>
              <w:t>）</w:t>
            </w:r>
          </w:p>
          <w:p w14:paraId="4FE00C9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污水处理厂现状厌氧池和缺氧池合建，其中厌氧池1组，有效容积2025m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，总容积2250m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，有效水深4.5m；缺氧池1组，有效容积2376m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，总容积2592m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，有效水深4.4m。厌氧池内设置推流器2台，缺氧池内设置推流器4台，因使用年限较长，设备老化，故障率较高，影响混合效果，急需更换。</w:t>
            </w:r>
          </w:p>
          <w:p w14:paraId="7360853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本次升级改造工程通过调整污泥回流方式，将现状厌氧池、缺氧池改为缺氧池，改造后缺氧池容积为4401m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，停留时间3.52h。改造后缺氧池与新建缺氧池合计有效容积为9192m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，缺氧区总停留时间7.35h。同时更换池内老旧设备，满足其使用需求。</w:t>
            </w:r>
          </w:p>
          <w:p w14:paraId="0B556F2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（6）</w:t>
            </w:r>
            <w:r>
              <w:rPr>
                <w:rFonts w:hint="eastAsia"/>
                <w:color w:val="000000" w:themeColor="text1"/>
                <w:highlight w:val="none"/>
                <w14:textFill>
                  <w14:solidFill>
                    <w14:schemeClr w14:val="tx1"/>
                  </w14:solidFill>
                </w14:textFill>
              </w:rPr>
              <w:t>好氧池</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原好氧池+二沉池改造+回流泵站改造</w:t>
            </w:r>
            <w:r>
              <w:rPr>
                <w:rFonts w:hint="eastAsia"/>
                <w:color w:val="000000" w:themeColor="text1"/>
                <w:highlight w:val="none"/>
                <w:lang w:eastAsia="zh-CN"/>
                <w14:textFill>
                  <w14:solidFill>
                    <w14:schemeClr w14:val="tx1"/>
                  </w14:solidFill>
                </w14:textFill>
              </w:rPr>
              <w:t>）</w:t>
            </w:r>
          </w:p>
          <w:p w14:paraId="5074BE2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好氧池功能：活性污泥中的微生物在有氧的条件下将污水中的一部分有机物用于合成新的细胞，将另一部分有机物进行分解代谢以便获得细胞合成所需的能量，其最终产物是C</w:t>
            </w:r>
            <w:r>
              <w:rPr>
                <w:rFonts w:hint="eastAsia"/>
                <w:color w:val="000000" w:themeColor="text1"/>
                <w:highlight w:val="none"/>
                <w:lang w:val="en-US" w:eastAsia="zh-CN"/>
                <w14:textFill>
                  <w14:solidFill>
                    <w14:schemeClr w14:val="tx1"/>
                  </w14:solidFill>
                </w14:textFill>
              </w:rPr>
              <w:t>O</w:t>
            </w:r>
            <w:r>
              <w:rPr>
                <w:rFonts w:hint="eastAsia"/>
                <w:color w:val="000000" w:themeColor="text1"/>
                <w:highlight w:val="none"/>
                <w:vertAlign w:val="subscript"/>
                <w14:textFill>
                  <w14:solidFill>
                    <w14:schemeClr w14:val="tx1"/>
                  </w14:solidFill>
                </w14:textFill>
              </w:rPr>
              <w:t>2</w:t>
            </w:r>
            <w:r>
              <w:rPr>
                <w:rFonts w:hint="eastAsia"/>
                <w:color w:val="000000" w:themeColor="text1"/>
                <w:highlight w:val="none"/>
                <w14:textFill>
                  <w14:solidFill>
                    <w14:schemeClr w14:val="tx1"/>
                  </w14:solidFill>
                </w14:textFill>
              </w:rPr>
              <w:t>和H</w:t>
            </w:r>
            <w:r>
              <w:rPr>
                <w:rFonts w:hint="eastAsia"/>
                <w:color w:val="000000" w:themeColor="text1"/>
                <w:highlight w:val="none"/>
                <w:vertAlign w:val="subscript"/>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O</w:t>
            </w:r>
            <w:r>
              <w:rPr>
                <w:rFonts w:hint="eastAsia"/>
                <w:color w:val="000000" w:themeColor="text1"/>
                <w:highlight w:val="none"/>
                <w14:textFill>
                  <w14:solidFill>
                    <w14:schemeClr w14:val="tx1"/>
                  </w14:solidFill>
                </w14:textFill>
              </w:rPr>
              <w:t>等稳定物质。</w:t>
            </w:r>
          </w:p>
          <w:p w14:paraId="4F3810C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污水处理厂现状好氧池分为两组并列运行，总有效容积6720m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，有效水深4.7m。现状二沉池型式为辐流式沉淀池，两座，直径=30m，周边深H=4.5m，单座有效容积约2826m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。好氧池曝气设施及二沉池设备因使用年限较长，设备老化，故障率较高，影响正常使用。</w:t>
            </w:r>
          </w:p>
          <w:p w14:paraId="792AA10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次升级改造工程利用好氧池池容的基础上，将现有两个二沉池也改造为好氧池，拆除二沉池刮泥机等设备，在池内安装曝气器，同时更换回流泵站水泵，以弥补二沉池进水管能力不足。改造后好氧池总有效容积为12372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，好氧区总停留时间9.9h。缺氧区出水进入好氧区，同时进入的还有膜池的回流污泥。好氧区中大量繁殖的活性污泥微生物，降解和吸附水中有机污染物质，以达到净化水质的目的。</w:t>
            </w:r>
          </w:p>
          <w:p w14:paraId="7484FDA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好氧区有效容积</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12372m</w:t>
            </w:r>
            <w:r>
              <w:rPr>
                <w:rFonts w:hint="eastAsia"/>
                <w:color w:val="000000" w:themeColor="text1"/>
                <w:highlight w:val="none"/>
                <w:vertAlign w:val="superscript"/>
                <w:lang w:val="en-US" w:eastAsia="zh-CN"/>
                <w14:textFill>
                  <w14:solidFill>
                    <w14:schemeClr w14:val="tx1"/>
                  </w14:solidFill>
                </w14:textFill>
              </w:rPr>
              <w:t>3</w:t>
            </w:r>
          </w:p>
          <w:p w14:paraId="45FCC83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好氧区水力停留时间</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9.9h</w:t>
            </w:r>
          </w:p>
          <w:p w14:paraId="2C4699F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好氧区混合液回流比</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500%</w:t>
            </w:r>
          </w:p>
          <w:p w14:paraId="41AB0AA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BOD</w:t>
            </w:r>
            <w:r>
              <w:rPr>
                <w:rFonts w:hint="eastAsia"/>
                <w:color w:val="000000" w:themeColor="text1"/>
                <w:highlight w:val="none"/>
                <w:vertAlign w:val="subscript"/>
                <w14:textFill>
                  <w14:solidFill>
                    <w14:schemeClr w14:val="tx1"/>
                  </w14:solidFill>
                </w14:textFill>
              </w:rPr>
              <w:t>5</w:t>
            </w:r>
            <w:r>
              <w:rPr>
                <w:rFonts w:hint="eastAsia"/>
                <w:color w:val="000000" w:themeColor="text1"/>
                <w:highlight w:val="none"/>
                <w14:textFill>
                  <w14:solidFill>
                    <w14:schemeClr w14:val="tx1"/>
                  </w14:solidFill>
                </w14:textFill>
              </w:rPr>
              <w:t>污泥负荷</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0.13kgBOD</w:t>
            </w:r>
            <w:r>
              <w:rPr>
                <w:rFonts w:hint="eastAsia"/>
                <w:color w:val="000000" w:themeColor="text1"/>
                <w:highlight w:val="none"/>
                <w:vertAlign w:val="subscript"/>
                <w14:textFill>
                  <w14:solidFill>
                    <w14:schemeClr w14:val="tx1"/>
                  </w14:solidFill>
                </w14:textFill>
              </w:rPr>
              <w:t>5</w:t>
            </w:r>
            <w:r>
              <w:rPr>
                <w:rFonts w:hint="eastAsia"/>
                <w:color w:val="000000" w:themeColor="text1"/>
                <w:highlight w:val="none"/>
                <w14:textFill>
                  <w14:solidFill>
                    <w14:schemeClr w14:val="tx1"/>
                  </w14:solidFill>
                </w14:textFill>
              </w:rPr>
              <w:t>/kgMLSS.d</w:t>
            </w:r>
          </w:p>
          <w:p w14:paraId="528B38C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悬浮固体浓度</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8.3mg/L</w:t>
            </w:r>
          </w:p>
          <w:p w14:paraId="6BCA532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好氧泥齢</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10d</w:t>
            </w:r>
          </w:p>
          <w:p w14:paraId="6D776D8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曝气量</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8095Nm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/h</w:t>
            </w:r>
          </w:p>
          <w:p w14:paraId="6BD8AD1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气水比</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9.7:1</w:t>
            </w:r>
          </w:p>
          <w:p w14:paraId="31D8AFB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好氧区内设曝气器，将好氧池内现有曝气器更换为管式曝气器，微孔管式曝气器的气体扩散膜片是由优质硅胶制成的，硅胶膜片扩散出来的气泡直径小。气液界面面积大，因此具有较高的传质速率，充氧效率高，这样与其他现行曝气装置相比。可以大大节省电耗，降低污水处理的运行成本。硅胶膜片开有大量的自闭孔眼随着充氧和停止运行。孔眼都能自动张开和闭合，污水绝不逆渗</w:t>
            </w:r>
            <w:r>
              <w:rPr>
                <w:rFonts w:hint="eastAsia"/>
                <w:color w:val="000000" w:themeColor="text1"/>
                <w:highlight w:val="none"/>
                <w:lang w:eastAsia="zh-CN"/>
                <w14:textFill>
                  <w14:solidFill>
                    <w14:schemeClr w14:val="tx1"/>
                  </w14:solidFill>
                </w14:textFill>
              </w:rPr>
              <w:t>于</w:t>
            </w:r>
            <w:r>
              <w:rPr>
                <w:rFonts w:hint="eastAsia"/>
                <w:color w:val="000000" w:themeColor="text1"/>
                <w:highlight w:val="none"/>
                <w14:textFill>
                  <w14:solidFill>
                    <w14:schemeClr w14:val="tx1"/>
                  </w14:solidFill>
                </w14:textFill>
              </w:rPr>
              <w:t>曝气管内，当风机启动时膜片释出气泡。同时因膜片的弹动特性将附着的污泥弹开，这项免维修的特点更是活性污泥施工时的独一无二的选择。管式微孔曝气器布满在曝气池底部，在池中溶解氧均匀。膜片材料：硅橡胶、膜片长度：1725mm、膜片内径：57mm，膜片厚度：1.5mm、止旋功能：膜片在内部留有阻止膜片在曝气管上滑动、耐高温，120℃、抗拉强度&gt;11Mpa适用于各种污水处理工艺的池型和深度，使其提高效率。</w:t>
            </w:r>
          </w:p>
          <w:p w14:paraId="20E7C9B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（7）</w:t>
            </w:r>
            <w:r>
              <w:rPr>
                <w:rFonts w:hint="eastAsia"/>
                <w:color w:val="000000" w:themeColor="text1"/>
                <w:highlight w:val="none"/>
                <w14:textFill>
                  <w14:solidFill>
                    <w14:schemeClr w14:val="tx1"/>
                  </w14:solidFill>
                </w14:textFill>
              </w:rPr>
              <w:t>后缺氧池、MBR膜池及膜车间（新建）</w:t>
            </w:r>
          </w:p>
          <w:p w14:paraId="63FB403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本次升级改造工程新建后缺氧池与MBR膜池及膜车间1座，采用合建方式，总尺寸为52.5m</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14:textFill>
                  <w14:solidFill>
                    <w14:schemeClr w14:val="tx1"/>
                  </w14:solidFill>
                </w14:textFill>
              </w:rPr>
              <w:t>43.2m，位于厂区北侧。</w:t>
            </w:r>
          </w:p>
          <w:p w14:paraId="35F68AC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后缺氧区</w:t>
            </w:r>
          </w:p>
          <w:p w14:paraId="65165FE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好氧池出水进入后缺氧区，反硝化菌在缺氧的环境下，利用新投加的碳源，将污水中剩余的硝态氮还原成氮气，完成深度脱氮过程。</w:t>
            </w:r>
          </w:p>
          <w:p w14:paraId="3B13ED7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缺氧区平面净尺寸</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10m</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14:textFill>
                  <w14:solidFill>
                    <w14:schemeClr w14:val="tx1"/>
                  </w14:solidFill>
                </w14:textFill>
              </w:rPr>
              <w:t>42.2m（1座，半地下式钢砼结构）</w:t>
            </w:r>
          </w:p>
          <w:p w14:paraId="7AA48FD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池深</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7.0m</w:t>
            </w:r>
          </w:p>
          <w:p w14:paraId="02BB342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有效水深</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5.8m</w:t>
            </w:r>
          </w:p>
          <w:p w14:paraId="1B7987F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水力停留时间</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1.3h</w:t>
            </w:r>
          </w:p>
          <w:p w14:paraId="2B3A719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反硝化速率</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0.034kgNO</w:t>
            </w:r>
            <w:r>
              <w:rPr>
                <w:rFonts w:hint="eastAsia"/>
                <w:color w:val="000000" w:themeColor="text1"/>
                <w:highlight w:val="none"/>
                <w:vertAlign w:val="subscript"/>
                <w14:textFill>
                  <w14:solidFill>
                    <w14:schemeClr w14:val="tx1"/>
                  </w14:solidFill>
                </w14:textFill>
              </w:rPr>
              <w:t>3</w:t>
            </w:r>
            <w:r>
              <w:rPr>
                <w:rFonts w:hint="eastAsia"/>
                <w:color w:val="000000" w:themeColor="text1"/>
                <w:highlight w:val="none"/>
                <w14:textFill>
                  <w14:solidFill>
                    <w14:schemeClr w14:val="tx1"/>
                  </w14:solidFill>
                </w14:textFill>
              </w:rPr>
              <w:t>-N/kgSS.d</w:t>
            </w:r>
          </w:p>
          <w:p w14:paraId="4AD3942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MBR膜池</w:t>
            </w:r>
          </w:p>
          <w:p w14:paraId="51F438E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MBR膜池是利用膜对反应池内含泥污水进行过滤，实现泥水分离，同时强化系统生化功能。一方面，膜截留了反应池中的微生物，池中的活性污泥浓度大大增加，使降解污水的生化反应进行得更迅速更彻底：另一方面，由于膜的高过滤精度，保证了出水清澈透明，得到高质量的出水。</w:t>
            </w:r>
          </w:p>
          <w:p w14:paraId="206DE0D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新建MBR膜池平面净尺寸20.2m</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14:textFill>
                  <w14:solidFill>
                    <w14:schemeClr w14:val="tx1"/>
                  </w14:solidFill>
                </w14:textFill>
              </w:rPr>
              <w:t>42.2m，1座，半地下式钢砼结构。</w:t>
            </w:r>
          </w:p>
          <w:p w14:paraId="38D9405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A、</w:t>
            </w:r>
            <w:r>
              <w:rPr>
                <w:rFonts w:hint="eastAsia"/>
                <w:color w:val="000000" w:themeColor="text1"/>
                <w:highlight w:val="none"/>
                <w14:textFill>
                  <w14:solidFill>
                    <w14:schemeClr w14:val="tx1"/>
                  </w14:solidFill>
                </w14:textFill>
              </w:rPr>
              <w:t>设计通量选取依据</w:t>
            </w:r>
          </w:p>
          <w:p w14:paraId="19B75B5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基于进水水质特性（SS&lt;400mg/L、COD&lt;500mg/L），并考虑进水中含工业废水成分（间断性）的复杂性，考虑部分安全系数，本项目MBR膜池设计通量取值为13.8L/</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·h</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w:t>
            </w:r>
          </w:p>
          <w:p w14:paraId="738FBDF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B、</w:t>
            </w:r>
            <w:r>
              <w:rPr>
                <w:rFonts w:hint="eastAsia"/>
                <w:color w:val="000000" w:themeColor="text1"/>
                <w:highlight w:val="none"/>
                <w14:textFill>
                  <w14:solidFill>
                    <w14:schemeClr w14:val="tx1"/>
                  </w14:solidFill>
                </w14:textFill>
              </w:rPr>
              <w:t>膜材质选择</w:t>
            </w:r>
          </w:p>
          <w:p w14:paraId="6E29342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为确保系统长期稳定运行，膜组件原材料选用抗污染能力优异的进口品牌PVDF（聚偏氟乙烯），从源头保证产品的质量稳定和可靠，具有卓越的化学稳定性、机械强度和抗污染性能。膜采用持久亲水改性技术、组合致孔等制膜技术，使得膜的亲水性更持久，抗污染性高；且膜功能层为孔径从外向内梯次增加的海绵孔结构，表面孔径小，断面支撑孔径大，可以同时保障膜具有高截留率、</w:t>
            </w:r>
          </w:p>
          <w:p w14:paraId="27F9AC4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高抗污染性，且具有高产水通量。从而对高SS、高有机物污水具有更高的抗污染性</w:t>
            </w:r>
            <w:r>
              <w:rPr>
                <w:rFonts w:hint="eastAsia"/>
                <w:color w:val="000000" w:themeColor="text1"/>
                <w:highlight w:val="none"/>
                <w:lang w:eastAsia="zh-CN"/>
                <w14:textFill>
                  <w14:solidFill>
                    <w14:schemeClr w14:val="tx1"/>
                  </w14:solidFill>
                </w14:textFill>
              </w:rPr>
              <w:t>。</w:t>
            </w:r>
          </w:p>
          <w:p w14:paraId="54B89CE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C、</w:t>
            </w:r>
            <w:r>
              <w:rPr>
                <w:rFonts w:hint="eastAsia"/>
                <w:color w:val="000000" w:themeColor="text1"/>
                <w:highlight w:val="none"/>
                <w14:textFill>
                  <w14:solidFill>
                    <w14:schemeClr w14:val="tx1"/>
                  </w14:solidFill>
                </w14:textFill>
              </w:rPr>
              <w:t>膜清洗周期</w:t>
            </w:r>
          </w:p>
          <w:p w14:paraId="0743AC6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在线清洗频率为14天/次，在线酸洗浓度为300-800ppm；在线</w:t>
            </w:r>
            <w:r>
              <w:rPr>
                <w:rFonts w:hint="eastAsia"/>
                <w:color w:val="000000" w:themeColor="text1"/>
                <w:highlight w:val="none"/>
                <w:lang w:val="en-US" w:eastAsia="zh-CN"/>
                <w14:textFill>
                  <w14:solidFill>
                    <w14:schemeClr w14:val="tx1"/>
                  </w14:solidFill>
                </w14:textFill>
              </w:rPr>
              <w:t>次氯酸钠浓度</w:t>
            </w:r>
            <w:r>
              <w:rPr>
                <w:rFonts w:hint="eastAsia"/>
                <w:color w:val="000000" w:themeColor="text1"/>
                <w:highlight w:val="none"/>
                <w14:textFill>
                  <w14:solidFill>
                    <w14:schemeClr w14:val="tx1"/>
                  </w14:solidFill>
                </w14:textFill>
              </w:rPr>
              <w:t>为3000-5000ppm，单次清洗时间为1</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14:textFill>
                  <w14:solidFill>
                    <w14:schemeClr w14:val="tx1"/>
                  </w14:solidFill>
                </w14:textFill>
              </w:rPr>
              <w:t>4h，基本按照最低浓度及时间。（药剂清洗浓度及时间与膜具体运行时间有关，此浓度及时间为总结</w:t>
            </w:r>
            <w:r>
              <w:rPr>
                <w:rFonts w:hint="eastAsia"/>
                <w:color w:val="000000" w:themeColor="text1"/>
                <w:highlight w:val="none"/>
                <w:lang w:eastAsia="zh-CN"/>
                <w14:textFill>
                  <w14:solidFill>
                    <w14:schemeClr w14:val="tx1"/>
                  </w14:solidFill>
                </w14:textFill>
              </w:rPr>
              <w:t>其他</w:t>
            </w:r>
            <w:r>
              <w:rPr>
                <w:rFonts w:hint="eastAsia"/>
                <w:color w:val="000000" w:themeColor="text1"/>
                <w:highlight w:val="none"/>
                <w14:textFill>
                  <w14:solidFill>
                    <w14:schemeClr w14:val="tx1"/>
                  </w14:solidFill>
                </w14:textFill>
              </w:rPr>
              <w:t>相类似项目运行数据总结，酸为盐酸，若用柠檬酸保证酸度即可）参考大量同类废水处理项目的实际运行数据，膜使用寿命5-8年，通过科学的运行管理和定期维护，可有效延长膜组件的实际使用寿命，根据运行情</w:t>
            </w:r>
            <w:r>
              <w:rPr>
                <w:rFonts w:hint="eastAsia"/>
                <w:color w:val="000000" w:themeColor="text1"/>
                <w:highlight w:val="none"/>
                <w:lang w:eastAsia="zh-CN"/>
                <w14:textFill>
                  <w14:solidFill>
                    <w14:schemeClr w14:val="tx1"/>
                  </w14:solidFill>
                </w14:textFill>
              </w:rPr>
              <w:t>况确</w:t>
            </w:r>
            <w:r>
              <w:rPr>
                <w:rFonts w:hint="eastAsia"/>
                <w:color w:val="000000" w:themeColor="text1"/>
                <w:highlight w:val="none"/>
                <w14:textFill>
                  <w14:solidFill>
                    <w14:schemeClr w14:val="tx1"/>
                  </w14:solidFill>
                </w14:textFill>
              </w:rPr>
              <w:t>定。</w:t>
            </w:r>
          </w:p>
          <w:p w14:paraId="24E5269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D、</w:t>
            </w:r>
            <w:r>
              <w:rPr>
                <w:rFonts w:hint="eastAsia"/>
                <w:color w:val="000000" w:themeColor="text1"/>
                <w:highlight w:val="none"/>
                <w14:textFill>
                  <w14:solidFill>
                    <w14:schemeClr w14:val="tx1"/>
                  </w14:solidFill>
                </w14:textFill>
              </w:rPr>
              <w:t>膜池曝气风量</w:t>
            </w:r>
          </w:p>
          <w:p w14:paraId="7BA02AA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膜池曝气气量按0.2m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/hm</w:t>
            </w:r>
            <w:r>
              <w:rPr>
                <w:rFonts w:hint="eastAsia"/>
                <w:color w:val="000000" w:themeColor="text1"/>
                <w:highlight w:val="none"/>
                <w:vertAlign w:val="superscript"/>
                <w14:textFill>
                  <w14:solidFill>
                    <w14:schemeClr w14:val="tx1"/>
                  </w14:solidFill>
                </w14:textFill>
              </w:rPr>
              <w:t>2</w:t>
            </w:r>
            <w:r>
              <w:rPr>
                <w:rFonts w:hint="eastAsia"/>
                <w:color w:val="000000" w:themeColor="text1"/>
                <w:highlight w:val="none"/>
                <w14:textFill>
                  <w14:solidFill>
                    <w14:schemeClr w14:val="tx1"/>
                  </w14:solidFill>
                </w14:textFill>
              </w:rPr>
              <w:t>计取，充分考虑了曝气方式对膜污染的影响。滤饼层阻力是造成膜污染速率上升的主要因素，可溶解性胞外聚合物及紧密结合胞外聚合物是引起滤饼层阻力增加的主要成分。曝气是控制膜污染的众多手段之一，通过气泡运行产生的表面剪切力可以有效冲刷膜表面的污染物，从而降低滤饼层的增长速度。曝气不足</w:t>
            </w:r>
            <w:r>
              <w:rPr>
                <w:rFonts w:hint="eastAsia"/>
                <w:color w:val="000000" w:themeColor="text1"/>
                <w:highlight w:val="none"/>
                <w:lang w:val="en-US" w:eastAsia="zh-CN"/>
                <w14:textFill>
                  <w14:solidFill>
                    <w14:schemeClr w14:val="tx1"/>
                  </w14:solidFill>
                </w14:textFill>
              </w:rPr>
              <w:t>不足</w:t>
            </w:r>
            <w:r>
              <w:rPr>
                <w:rFonts w:hint="eastAsia"/>
                <w:color w:val="000000" w:themeColor="text1"/>
                <w:highlight w:val="none"/>
                <w14:textFill>
                  <w14:solidFill>
                    <w14:schemeClr w14:val="tx1"/>
                  </w14:solidFill>
                </w14:textFill>
              </w:rPr>
              <w:t>以消除滤饼层的增长速率，膜污染速率增大，清洗频率升高。溶解氧浓度越低，细胞的疏水性越低，导致污泥絮凝物降解，膜污染的可能性就越高。气体作为第二相被引入膜池中，与膜池中混合液形成气液两相流经膜表面，从而增强膜表面剪切力。这有利于提高膜表面污染的冲刷效果，从而控制膜表面的浓度极化和滤饼层的形成，延长膜的过滤周期。剪切力主要由曝气气液运动决定，并受气泡形貌和气泡流态的影响。增大气泡直径有利于强化膜对污水中污染物的截留能力，但过大的气泡直径不利于降低液体阻力并减少能耗。直径&lt;1mm的气泡能够在膜组件之间起更强的多相流动，有利于形成稳定强劲的气液循环，从而产生更强的剪切力，小气泡曝气条件下活性污泥中丝状菌数量明显减少，有效抑制了微生物释放EPS、蛋白质以及高分子溶解性微生物代谢产物的含量，减缓膜污染。大气泡虽然更易在膜池内引起气液絮流，但是对膜池内污泥生长代谢也存在一定负面作用。大气泡曝气使得污泥颗粒集聚能力变差，污泥粒径减小，并促使菌胶团中的EPS释放，反过来对膜污染产生不利影响。</w:t>
            </w:r>
          </w:p>
          <w:p w14:paraId="0D510ED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总产水量</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30000.0吨/天</w:t>
            </w:r>
          </w:p>
          <w:p w14:paraId="3D06028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单个周期产水时间</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7.0分钟/周期</w:t>
            </w:r>
          </w:p>
          <w:p w14:paraId="0F8776B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单个周期停歇时间</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1.0分钟/周期</w:t>
            </w:r>
          </w:p>
          <w:p w14:paraId="0C7D8DD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单个周期总时间</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8.0分钟/周期</w:t>
            </w:r>
          </w:p>
          <w:p w14:paraId="2A7059B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有效产水时间</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21.0小时</w:t>
            </w:r>
          </w:p>
          <w:p w14:paraId="5A2FAE3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平均产水量</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1250.0吨/小时</w:t>
            </w:r>
          </w:p>
          <w:p w14:paraId="64EBF33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瞬时产水量</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1428.6吨/小时</w:t>
            </w:r>
          </w:p>
          <w:p w14:paraId="1F27A37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反洗量系数</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1.5</w:t>
            </w:r>
          </w:p>
          <w:p w14:paraId="2891F5E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反洗水量</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267.9吨/小时</w:t>
            </w:r>
          </w:p>
          <w:p w14:paraId="673A57A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膜瞬时通量</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14.0L/m</w:t>
            </w:r>
            <w:r>
              <w:rPr>
                <w:rFonts w:hint="eastAsia"/>
                <w:color w:val="000000" w:themeColor="text1"/>
                <w:highlight w:val="none"/>
                <w:vertAlign w:val="superscript"/>
                <w14:textFill>
                  <w14:solidFill>
                    <w14:schemeClr w14:val="tx1"/>
                  </w14:solidFill>
                </w14:textFill>
              </w:rPr>
              <w:t>2</w:t>
            </w:r>
            <w:r>
              <w:rPr>
                <w:rFonts w:hint="eastAsia"/>
                <w:color w:val="000000" w:themeColor="text1"/>
                <w:highlight w:val="none"/>
                <w14:textFill>
                  <w14:solidFill>
                    <w14:schemeClr w14:val="tx1"/>
                  </w14:solidFill>
                </w14:textFill>
              </w:rPr>
              <w:t>-h</w:t>
            </w:r>
          </w:p>
          <w:p w14:paraId="488F471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总膜面积</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102040.8m</w:t>
            </w:r>
            <w:r>
              <w:rPr>
                <w:rFonts w:hint="eastAsia"/>
                <w:color w:val="000000" w:themeColor="text1"/>
                <w:highlight w:val="none"/>
                <w:vertAlign w:val="superscript"/>
                <w14:textFill>
                  <w14:solidFill>
                    <w14:schemeClr w14:val="tx1"/>
                  </w14:solidFill>
                </w14:textFill>
              </w:rPr>
              <w:t>2</w:t>
            </w:r>
          </w:p>
          <w:p w14:paraId="296C7C6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单帘膜面积</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24.0m</w:t>
            </w:r>
            <w:r>
              <w:rPr>
                <w:rFonts w:hint="eastAsia"/>
                <w:color w:val="000000" w:themeColor="text1"/>
                <w:highlight w:val="none"/>
                <w:vertAlign w:val="superscript"/>
                <w14:textFill>
                  <w14:solidFill>
                    <w14:schemeClr w14:val="tx1"/>
                  </w14:solidFill>
                </w14:textFill>
              </w:rPr>
              <w:t>2</w:t>
            </w:r>
          </w:p>
          <w:p w14:paraId="2AA4736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膜组件数量</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4251.7帘</w:t>
            </w:r>
          </w:p>
          <w:p w14:paraId="0932574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膜架层数</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1.0层</w:t>
            </w:r>
          </w:p>
          <w:p w14:paraId="72FF095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单层膜组件数量</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60.0帘</w:t>
            </w:r>
          </w:p>
          <w:p w14:paraId="31E5211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膜架数量</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70.9个</w:t>
            </w:r>
          </w:p>
          <w:p w14:paraId="208D2EF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凑</w:t>
            </w:r>
            <w:r>
              <w:rPr>
                <w:rFonts w:hint="eastAsia"/>
                <w:color w:val="000000" w:themeColor="text1"/>
                <w:highlight w:val="none"/>
                <w14:textFill>
                  <w14:solidFill>
                    <w14:schemeClr w14:val="tx1"/>
                  </w14:solidFill>
                </w14:textFill>
              </w:rPr>
              <w:t>整膜数量</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72.0个</w:t>
            </w:r>
          </w:p>
          <w:p w14:paraId="449C307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凑整后膜组件数量</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4320.0帘</w:t>
            </w:r>
          </w:p>
          <w:p w14:paraId="0AF34E5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实际膜面积</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103680.0m</w:t>
            </w:r>
            <w:r>
              <w:rPr>
                <w:rFonts w:hint="eastAsia"/>
                <w:color w:val="000000" w:themeColor="text1"/>
                <w:highlight w:val="none"/>
                <w:vertAlign w:val="superscript"/>
                <w14:textFill>
                  <w14:solidFill>
                    <w14:schemeClr w14:val="tx1"/>
                  </w14:solidFill>
                </w14:textFill>
              </w:rPr>
              <w:t>2</w:t>
            </w:r>
          </w:p>
          <w:p w14:paraId="06F9AC1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实际膜通量</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13.8L/m</w:t>
            </w:r>
            <w:r>
              <w:rPr>
                <w:rFonts w:hint="eastAsia"/>
                <w:color w:val="000000" w:themeColor="text1"/>
                <w:highlight w:val="none"/>
                <w:vertAlign w:val="superscript"/>
                <w14:textFill>
                  <w14:solidFill>
                    <w14:schemeClr w14:val="tx1"/>
                  </w14:solidFill>
                </w14:textFill>
              </w:rPr>
              <w:t>2</w:t>
            </w:r>
            <w:r>
              <w:rPr>
                <w:rFonts w:hint="default" w:ascii="Times New Roman" w:hAnsi="Times New Roman" w:cs="Times New Roman"/>
                <w:color w:val="000000" w:themeColor="text1"/>
                <w:highlight w:val="none"/>
                <w:vertAlign w:val="baseline"/>
                <w14:textFill>
                  <w14:solidFill>
                    <w14:schemeClr w14:val="tx1"/>
                  </w14:solidFill>
                </w14:textFill>
              </w:rPr>
              <w:t>·</w:t>
            </w:r>
            <w:r>
              <w:rPr>
                <w:rFonts w:hint="eastAsia"/>
                <w:color w:val="000000" w:themeColor="text1"/>
                <w:highlight w:val="none"/>
                <w14:textFill>
                  <w14:solidFill>
                    <w14:schemeClr w14:val="tx1"/>
                  </w14:solidFill>
                </w14:textFill>
              </w:rPr>
              <w:t>h</w:t>
            </w:r>
          </w:p>
          <w:p w14:paraId="198DAE1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膜气量系数</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0.2</w:t>
            </w:r>
          </w:p>
          <w:p w14:paraId="7CAC284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每小时用气量</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22809.6m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/h</w:t>
            </w:r>
          </w:p>
          <w:p w14:paraId="73EC075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每分钟用气量</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380.2Nm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/min</w:t>
            </w:r>
          </w:p>
          <w:p w14:paraId="03B9B29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单个膜架产水量</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19.8吨/小时</w:t>
            </w:r>
          </w:p>
          <w:p w14:paraId="6C03EF7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单个膜架进气量</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316.8m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/h</w:t>
            </w:r>
          </w:p>
          <w:p w14:paraId="04BE56F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风机数量</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4.0台</w:t>
            </w:r>
          </w:p>
          <w:p w14:paraId="0E4BE37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风机总风量</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95.0Nm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/min</w:t>
            </w:r>
          </w:p>
          <w:p w14:paraId="507F756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系统运行套数</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8.0套</w:t>
            </w:r>
          </w:p>
          <w:p w14:paraId="7282D52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单套系统瞬时产水量</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178.6吨/小时</w:t>
            </w:r>
          </w:p>
          <w:p w14:paraId="129641F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单套系统进气量</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2851.2m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/h</w:t>
            </w:r>
          </w:p>
          <w:p w14:paraId="400F621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E、</w:t>
            </w:r>
            <w:r>
              <w:rPr>
                <w:rFonts w:hint="eastAsia"/>
                <w:color w:val="000000" w:themeColor="text1"/>
                <w:highlight w:val="none"/>
                <w14:textFill>
                  <w14:solidFill>
                    <w14:schemeClr w14:val="tx1"/>
                  </w14:solidFill>
                </w14:textFill>
              </w:rPr>
              <w:t>MBR膜设备间</w:t>
            </w:r>
          </w:p>
          <w:p w14:paraId="36061FF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MBR膜设备间主要用于放置产水泵、CIP（在线清洗）泵、剩余污泥泵、在线化学清洗加药系统以及其他辅助设备。</w:t>
            </w:r>
          </w:p>
          <w:p w14:paraId="4C92AC4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新建MBR膜设备间平面尺寸43.2m</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14:textFill>
                  <w14:solidFill>
                    <w14:schemeClr w14:val="tx1"/>
                  </w14:solidFill>
                </w14:textFill>
              </w:rPr>
              <w:t>20.8m，1座，为半地下式钢砼+</w:t>
            </w:r>
            <w:r>
              <w:rPr>
                <w:rFonts w:hint="eastAsia"/>
                <w:color w:val="000000" w:themeColor="text1"/>
                <w:highlight w:val="none"/>
                <w:lang w:val="en-US" w:eastAsia="zh-CN"/>
                <w14:textFill>
                  <w14:solidFill>
                    <w14:schemeClr w14:val="tx1"/>
                  </w14:solidFill>
                </w14:textFill>
              </w:rPr>
              <w:t>钢</w:t>
            </w:r>
            <w:r>
              <w:rPr>
                <w:rFonts w:hint="eastAsia"/>
                <w:color w:val="000000" w:themeColor="text1"/>
                <w:highlight w:val="none"/>
                <w14:textFill>
                  <w14:solidFill>
                    <w14:schemeClr w14:val="tx1"/>
                  </w14:solidFill>
                </w14:textFill>
              </w:rPr>
              <w:t>结构。</w:t>
            </w:r>
          </w:p>
          <w:p w14:paraId="25BAE03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F、</w:t>
            </w:r>
            <w:r>
              <w:rPr>
                <w:rFonts w:hint="eastAsia"/>
                <w:color w:val="000000" w:themeColor="text1"/>
                <w:highlight w:val="none"/>
                <w14:textFill>
                  <w14:solidFill>
                    <w14:schemeClr w14:val="tx1"/>
                  </w14:solidFill>
                </w14:textFill>
              </w:rPr>
              <w:t>设备自控要求</w:t>
            </w:r>
          </w:p>
          <w:p w14:paraId="2C12148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MBR膜池及设备间设备采用成套设备，设备自控要求如下：</w:t>
            </w:r>
          </w:p>
          <w:p w14:paraId="636BB27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电气相关要求</w:t>
            </w:r>
          </w:p>
          <w:p w14:paraId="7D97643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eastAsia="宋体"/>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①</w:t>
            </w:r>
            <w:r>
              <w:rPr>
                <w:rFonts w:hint="eastAsia"/>
                <w:color w:val="000000" w:themeColor="text1"/>
                <w:highlight w:val="none"/>
                <w14:textFill>
                  <w14:solidFill>
                    <w14:schemeClr w14:val="tx1"/>
                  </w14:solidFill>
                </w14:textFill>
              </w:rPr>
              <w:t>设备为机电一体品，实现对MBR设备、加药附属设备的供电及控制。电控柜设一套PLC，PLC配置工业以太网接口、光电转换器和跳线等</w:t>
            </w:r>
            <w:r>
              <w:rPr>
                <w:rFonts w:hint="eastAsia"/>
                <w:color w:val="000000" w:themeColor="text1"/>
                <w:highlight w:val="none"/>
                <w:lang w:eastAsia="zh-CN"/>
                <w14:textFill>
                  <w14:solidFill>
                    <w14:schemeClr w14:val="tx1"/>
                  </w14:solidFill>
                </w14:textFill>
              </w:rPr>
              <w:t>；</w:t>
            </w:r>
          </w:p>
          <w:p w14:paraId="4BCCACA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②现场配套高品质触摸屏，显示动态工艺图，可查询故障，历史数据、各类参数设置等，界面友好，操作简单</w:t>
            </w:r>
            <w:r>
              <w:rPr>
                <w:rFonts w:hint="eastAsia"/>
                <w:color w:val="000000" w:themeColor="text1"/>
                <w:highlight w:val="none"/>
                <w:lang w:eastAsia="zh-CN"/>
                <w14:textFill>
                  <w14:solidFill>
                    <w14:schemeClr w14:val="tx1"/>
                  </w14:solidFill>
                </w14:textFill>
              </w:rPr>
              <w:t>；</w:t>
            </w:r>
          </w:p>
          <w:p w14:paraId="3475311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③酸洗药剂、碱洗药剂通过电控柜继电器控制回路控制；</w:t>
            </w:r>
          </w:p>
          <w:p w14:paraId="1C293B5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④电控柜等电气设备按户外型设计，防护等级IP55，配套电机、阀门绝缘等级F级；</w:t>
            </w:r>
          </w:p>
          <w:p w14:paraId="3242F11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电线电缆包括电气室至电控柜的电源电缆、电控柜至加药用电设备的电源电缆、现场仪表到电控柜的信号电缆。</w:t>
            </w:r>
          </w:p>
          <w:p w14:paraId="67C6143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系统自控包括：</w:t>
            </w:r>
          </w:p>
          <w:p w14:paraId="7A14F22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①</w:t>
            </w:r>
            <w:r>
              <w:rPr>
                <w:rFonts w:hint="eastAsia"/>
                <w:color w:val="000000" w:themeColor="text1"/>
                <w:highlight w:val="none"/>
                <w14:textFill>
                  <w14:solidFill>
                    <w14:schemeClr w14:val="tx1"/>
                  </w14:solidFill>
                </w14:textFill>
              </w:rPr>
              <w:t>PLC自动控制系统、远程监控操作；加药装置由PLC远程控制，所有运行状态及参数进入远程控制系统；</w:t>
            </w:r>
          </w:p>
          <w:p w14:paraId="7313A6F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②药剂料位检测装置：酸洗药剂和碱洗药剂物料均采用人工上料，节约成本；</w:t>
            </w:r>
          </w:p>
          <w:p w14:paraId="0EFF652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③药剂精确投加装置；配药及投药量根据出水指标，通过人工进行精准控制投加量；</w:t>
            </w:r>
          </w:p>
          <w:p w14:paraId="3F22F9B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④触摸屏操作显示系统；人机使用高品质触摸屏，直观、动态展示工艺动态图，可直接查阅历史数据，报警记录，参数设置，界面友好，操作简单方便；</w:t>
            </w:r>
          </w:p>
          <w:p w14:paraId="3DF8E30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⑤</w:t>
            </w:r>
            <w:r>
              <w:rPr>
                <w:rFonts w:hint="eastAsia"/>
                <w:color w:val="000000" w:themeColor="text1"/>
                <w:highlight w:val="none"/>
                <w14:textFill>
                  <w14:solidFill>
                    <w14:schemeClr w14:val="tx1"/>
                  </w14:solidFill>
                </w14:textFill>
              </w:rPr>
              <w:t>水质情况监测报告装置（数据监控、数据采集</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配套流量在线检测仪表，进行实时分析：</w:t>
            </w:r>
          </w:p>
          <w:p w14:paraId="2598974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设备控制仪表要求</w:t>
            </w:r>
          </w:p>
          <w:p w14:paraId="066650F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①选用的仪表应具有国内外先进水平，并有类似工程使用业绩；</w:t>
            </w:r>
          </w:p>
          <w:p w14:paraId="683EC8C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②P&amp;ID图上的仪表遵循ISA标准：</w:t>
            </w:r>
          </w:p>
          <w:p w14:paraId="2D18206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③仪表系统配置形式、功能描述、结构特点：</w:t>
            </w:r>
          </w:p>
          <w:p w14:paraId="1154F81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a）户外安装的现场仪表按全天候设计，电子类仪表的防护等级为≥IP65；</w:t>
            </w:r>
          </w:p>
          <w:p w14:paraId="55A1F63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b）水流量的测量采用电磁流量计（精度要求0.5级）；</w:t>
            </w:r>
          </w:p>
          <w:p w14:paraId="560C39E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c</w:t>
            </w:r>
            <w:r>
              <w:rPr>
                <w:rFonts w:hint="eastAsia"/>
                <w:color w:val="000000" w:themeColor="text1"/>
                <w:highlight w:val="none"/>
                <w14:textFill>
                  <w14:solidFill>
                    <w14:schemeClr w14:val="tx1"/>
                  </w14:solidFill>
                </w14:textFill>
              </w:rPr>
              <w:t>）液位计自控选择投入式液位计</w:t>
            </w:r>
            <w:r>
              <w:rPr>
                <w:rFonts w:hint="eastAsia"/>
                <w:color w:val="000000" w:themeColor="text1"/>
                <w:highlight w:val="none"/>
                <w:lang w:eastAsia="zh-CN"/>
                <w14:textFill>
                  <w14:solidFill>
                    <w14:schemeClr w14:val="tx1"/>
                  </w14:solidFill>
                </w14:textFill>
              </w:rPr>
              <w:t>；</w:t>
            </w:r>
          </w:p>
          <w:p w14:paraId="2F8841A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④检测与控制仪表的技术要求：</w:t>
            </w:r>
          </w:p>
          <w:p w14:paraId="5B464A0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本项目配置测量点和在线仪表数量等要满足本系统安全、稳定、可靠运行的需要，并满足远方监视及控制的要求。</w:t>
            </w:r>
          </w:p>
          <w:p w14:paraId="66E6D91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（8）</w:t>
            </w:r>
            <w:r>
              <w:rPr>
                <w:rFonts w:hint="eastAsia"/>
                <w:color w:val="000000" w:themeColor="text1"/>
                <w:highlight w:val="none"/>
                <w14:textFill>
                  <w14:solidFill>
                    <w14:schemeClr w14:val="tx1"/>
                  </w14:solidFill>
                </w14:textFill>
              </w:rPr>
              <w:t>消毒系统</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改造</w:t>
            </w:r>
            <w:r>
              <w:rPr>
                <w:rFonts w:hint="eastAsia"/>
                <w:color w:val="000000" w:themeColor="text1"/>
                <w:highlight w:val="none"/>
                <w:lang w:eastAsia="zh-CN"/>
                <w14:textFill>
                  <w14:solidFill>
                    <w14:schemeClr w14:val="tx1"/>
                  </w14:solidFill>
                </w14:textFill>
              </w:rPr>
              <w:t>）</w:t>
            </w:r>
          </w:p>
          <w:p w14:paraId="050B277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城市污水经过处理后，水质改善，但仍存在大肠杆菌和病毒，因此，排入受纳水体或回用前需进行消毒，根据卫生防疫、环保等监督部门的要求，污水处理厂出水需要消毒，杀灭出厂污水中可能含有的细菌和病毒。</w:t>
            </w:r>
          </w:p>
          <w:p w14:paraId="456A302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现状污水处理厂消毒方式采用次氯酸钠消毒，本次升级改造工程维持现状消毒方式，但因设备因使用年限较长，设备老化，急需更换，故仅考虑更换现状</w:t>
            </w:r>
            <w:r>
              <w:rPr>
                <w:rFonts w:hint="eastAsia"/>
                <w:color w:val="000000" w:themeColor="text1"/>
                <w:highlight w:val="none"/>
                <w:lang w:val="en-US" w:eastAsia="zh-CN"/>
                <w14:textFill>
                  <w14:solidFill>
                    <w14:schemeClr w14:val="tx1"/>
                  </w14:solidFill>
                </w14:textFill>
              </w:rPr>
              <w:t>次氯酸钠</w:t>
            </w:r>
            <w:r>
              <w:rPr>
                <w:rFonts w:hint="eastAsia"/>
                <w:color w:val="000000" w:themeColor="text1"/>
                <w:highlight w:val="none"/>
                <w14:textFill>
                  <w14:solidFill>
                    <w14:schemeClr w14:val="tx1"/>
                  </w14:solidFill>
                </w14:textFill>
              </w:rPr>
              <w:t>消毒设备。</w:t>
            </w:r>
          </w:p>
          <w:p w14:paraId="4CF0271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（9）加药系统（改造）</w:t>
            </w:r>
          </w:p>
          <w:p w14:paraId="18ECBEC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PAC投加系统</w:t>
            </w:r>
          </w:p>
          <w:p w14:paraId="1729671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进水水质、水温的情况，本设计选用混凝剂为聚合氯化铝（PAC），投加浓度按6%，投加量按30mg/L设计，投加点设在MBR膜池前端。投加方式采用计量泵投加，自动控制，按进水流量、温度、浊度参数变化规律，建立数学模型，自动完成药剂量的调节。</w:t>
            </w:r>
          </w:p>
          <w:p w14:paraId="1E8DF41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碳源投加系统</w:t>
            </w:r>
          </w:p>
          <w:p w14:paraId="4DC197B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为保证出水TN稳定达标，应对进水中的C/N比低的工况，设置辅助碳源投加系统，碳源采用乙酸钠碳源，投加点设置于后缺氧池前端，设计投加浓度按130mg/L计，溶液配置浓度按30%计现状污水处理厂加药设备因使用年限较长，设备老化，急需更换，故本次升级改造工程更换现状PAC及碳源投加设备</w:t>
            </w:r>
            <w:r>
              <w:rPr>
                <w:rFonts w:hint="eastAsia"/>
                <w:color w:val="000000" w:themeColor="text1"/>
                <w:highlight w:val="none"/>
                <w:lang w:eastAsia="zh-CN"/>
                <w14:textFill>
                  <w14:solidFill>
                    <w14:schemeClr w14:val="tx1"/>
                  </w14:solidFill>
                </w14:textFill>
              </w:rPr>
              <w:t>。</w:t>
            </w:r>
          </w:p>
          <w:p w14:paraId="3D2BFF9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w:t>
            </w:r>
            <w:r>
              <w:rPr>
                <w:rFonts w:hint="eastAsia"/>
                <w:color w:val="000000" w:themeColor="text1"/>
                <w:highlight w:val="none"/>
                <w14:textFill>
                  <w14:solidFill>
                    <w14:schemeClr w14:val="tx1"/>
                  </w14:solidFill>
                </w14:textFill>
              </w:rPr>
              <w:t>鼓风机房</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改造</w:t>
            </w:r>
            <w:r>
              <w:rPr>
                <w:rFonts w:hint="eastAsia"/>
                <w:color w:val="000000" w:themeColor="text1"/>
                <w:highlight w:val="none"/>
                <w:lang w:eastAsia="zh-CN"/>
                <w14:textFill>
                  <w14:solidFill>
                    <w14:schemeClr w14:val="tx1"/>
                  </w14:solidFill>
                </w14:textFill>
              </w:rPr>
              <w:t>）</w:t>
            </w:r>
          </w:p>
          <w:p w14:paraId="05BD98F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现状鼓风机房配备5台罗茨风机，噪声大、功率大，现该型号不能满足目前环保要求。本次升级改造工程拟将罗茨风机</w:t>
            </w:r>
            <w:r>
              <w:rPr>
                <w:rFonts w:hint="eastAsia" w:eastAsia="宋体"/>
                <w:color w:val="000000" w:themeColor="text1"/>
                <w:highlight w:val="none"/>
                <w:lang w:val="en-US" w:eastAsia="zh-CN"/>
                <w14:textFill>
                  <w14:solidFill>
                    <w14:schemeClr w14:val="tx1"/>
                  </w14:solidFill>
                </w14:textFill>
              </w:rPr>
              <w:t>更换为</w:t>
            </w:r>
            <w:r>
              <w:rPr>
                <w:rFonts w:hint="eastAsia" w:eastAsia="宋体"/>
                <w:color w:val="000000" w:themeColor="text1"/>
                <w:highlight w:val="none"/>
                <w14:textFill>
                  <w14:solidFill>
                    <w14:schemeClr w14:val="tx1"/>
                  </w14:solidFill>
                </w14:textFill>
              </w:rPr>
              <w:t>空</w:t>
            </w:r>
            <w:r>
              <w:rPr>
                <w:rFonts w:hint="eastAsia"/>
                <w:color w:val="000000" w:themeColor="text1"/>
                <w:highlight w:val="none"/>
                <w14:textFill>
                  <w14:solidFill>
                    <w14:schemeClr w14:val="tx1"/>
                  </w14:solidFill>
                </w14:textFill>
              </w:rPr>
              <w:t>气悬浮风机，悬浮风机运行稳定，噪声小，调节风量灵活，同等条件运行比罗茨风机节能30%。</w:t>
            </w:r>
          </w:p>
          <w:p w14:paraId="46EAA5F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11</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污泥脱水机房</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改造</w:t>
            </w:r>
            <w:r>
              <w:rPr>
                <w:rFonts w:hint="eastAsia"/>
                <w:color w:val="000000" w:themeColor="text1"/>
                <w:highlight w:val="none"/>
                <w:lang w:eastAsia="zh-CN"/>
                <w14:textFill>
                  <w14:solidFill>
                    <w14:schemeClr w14:val="tx1"/>
                  </w14:solidFill>
                </w14:textFill>
              </w:rPr>
              <w:t>）</w:t>
            </w:r>
          </w:p>
          <w:p w14:paraId="3A9449C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污水处理厂现状脱水机房配备自动箱带式压滤机3台及相应的加药系统、自控系统。污泥处理量为湿污泥=37.5-49m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h，污泥绝干量150-312kg.ds/h。脱水机房设备老化，已无法满足日常工艺对污泥脱水的处理要求，导致污泥处置效率降低，老化设备伴随“故障频繁、维修次数增多、维修成本高昂等问题，既影响厂区正常运营，又进一步加剧了处理压力。</w:t>
            </w:r>
          </w:p>
          <w:p w14:paraId="1A26A23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本次升级改造工程更换污泥脱水机房内设备。</w:t>
            </w:r>
          </w:p>
          <w:p w14:paraId="179CA01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12</w:t>
            </w:r>
            <w:r>
              <w:rPr>
                <w:rFonts w:hint="eastAsia"/>
                <w:color w:val="000000" w:themeColor="text1"/>
                <w:highlight w:val="none"/>
                <w:lang w:eastAsia="zh-CN"/>
                <w14:textFill>
                  <w14:solidFill>
                    <w14:schemeClr w14:val="tx1"/>
                  </w14:solidFill>
                </w14:textFill>
              </w:rPr>
              <w:t>）改扩建工程A²/O+MBR工艺技术优势及方案确定说明</w:t>
            </w:r>
          </w:p>
          <w:p w14:paraId="6E561AE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改扩建后采用的A²/O+MBR深度处理工艺较现有MBBR工艺，在处理效能与技术适配性上优势显著：一是强化污染物协同去除机制，通过“厌氧释磷+好氧吸磷+缺氧反硝化”生物处理体系，搭配PAC化学辅助除磷与MBR膜高效截留功能，实现对TP、SS、TN、难降解COD及氨氮的深度去除，尤其提升了复杂水质下污染物去除的稳定性；二是优化工艺结构与参数，新增后缺氧池延长水力停留时间，MBR膜池替代传统二沉池，大幅提升固液分离效率，解决现有工艺池容不足、反应不充分的问题；三是适配水质水量波动特征，工艺抗冲击负荷能力更强，可稳定承接30000m³/d设计规模，满足区域污水量季节性增长需求。</w:t>
            </w:r>
          </w:p>
          <w:p w14:paraId="374E045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项目当前面临现状处理规模不足、高峰负荷超载等现实问题，且需满足出水达一级A标准、依托现有构筑物改造以控制占地与投资的核心约束，而A²/O+MBR 艺可精准匹配上述需求——其通过生物协同处理与膜深度分离技术，既能实现30000m³/d规模扩容，又能保障复杂水质下污染物稳定达标，同时可最大化利用现有设施减少新增占地，无需额外突破场地与投资限制；此外，该工艺在同类市政污水处理厂改扩建项目中应用成熟，技术可靠性高，且在资源化潜力、运维效率及长期综合效益上均优于其他备选技术，不存在可同时满足多维度要求的替代方案，因此无需开展方案比选，直接确定其为唯一实施方案。</w:t>
            </w:r>
          </w:p>
          <w:p w14:paraId="137D09EC">
            <w:pPr>
              <w:keepNext w:val="0"/>
              <w:keepLines w:val="0"/>
              <w:pageBreakBefore w:val="0"/>
              <w:widowControl w:val="0"/>
              <w:kinsoku/>
              <w:wordWrap/>
              <w:overflowPunct/>
              <w:topLinePunct w:val="0"/>
              <w:autoSpaceDE/>
              <w:autoSpaceDN/>
              <w:bidi w:val="0"/>
              <w:adjustRightInd w:val="0"/>
              <w:snapToGrid w:val="0"/>
              <w:textAlignment w:val="auto"/>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6、主要原辅材料消耗</w:t>
            </w:r>
          </w:p>
          <w:p w14:paraId="4B86D7A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项目主要原辅材料及能源消耗情况见表2-</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14:textFill>
                  <w14:solidFill>
                    <w14:schemeClr w14:val="tx1"/>
                  </w14:solidFill>
                </w14:textFill>
              </w:rPr>
              <w:t>。</w:t>
            </w:r>
          </w:p>
          <w:p w14:paraId="6BB0CFE0">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表2-4  主要原辅材料及能源消耗一览表</w:t>
            </w:r>
          </w:p>
          <w:tbl>
            <w:tblPr>
              <w:tblStyle w:val="13"/>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34"/>
              <w:gridCol w:w="1518"/>
              <w:gridCol w:w="991"/>
              <w:gridCol w:w="1793"/>
              <w:gridCol w:w="1847"/>
              <w:gridCol w:w="1322"/>
            </w:tblGrid>
            <w:tr w14:paraId="76B8F1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75" w:type="pct"/>
                  <w:tcBorders>
                    <w:tl2br w:val="nil"/>
                    <w:tr2bl w:val="nil"/>
                  </w:tcBorders>
                  <w:noWrap w:val="0"/>
                  <w:vAlign w:val="center"/>
                </w:tcPr>
                <w:p w14:paraId="1926FD3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序号</w:t>
                  </w:r>
                </w:p>
              </w:tc>
              <w:tc>
                <w:tcPr>
                  <w:tcW w:w="960" w:type="pct"/>
                  <w:tcBorders>
                    <w:tl2br w:val="nil"/>
                    <w:tr2bl w:val="nil"/>
                  </w:tcBorders>
                  <w:noWrap w:val="0"/>
                  <w:vAlign w:val="center"/>
                </w:tcPr>
                <w:p w14:paraId="02C15E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原材料名称</w:t>
                  </w:r>
                </w:p>
              </w:tc>
              <w:tc>
                <w:tcPr>
                  <w:tcW w:w="627" w:type="pct"/>
                  <w:tcBorders>
                    <w:tl2br w:val="nil"/>
                    <w:tr2bl w:val="nil"/>
                  </w:tcBorders>
                  <w:noWrap w:val="0"/>
                  <w:vAlign w:val="center"/>
                </w:tcPr>
                <w:p w14:paraId="0A25C0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形态</w:t>
                  </w:r>
                </w:p>
              </w:tc>
              <w:tc>
                <w:tcPr>
                  <w:tcW w:w="1134" w:type="pct"/>
                  <w:tcBorders>
                    <w:tl2br w:val="nil"/>
                    <w:tr2bl w:val="nil"/>
                  </w:tcBorders>
                  <w:noWrap w:val="0"/>
                  <w:vAlign w:val="center"/>
                </w:tcPr>
                <w:p w14:paraId="7F3A19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现有工程用量t/a</w:t>
                  </w:r>
                </w:p>
              </w:tc>
              <w:tc>
                <w:tcPr>
                  <w:tcW w:w="1168" w:type="pct"/>
                  <w:tcBorders>
                    <w:tl2br w:val="nil"/>
                    <w:tr2bl w:val="nil"/>
                  </w:tcBorders>
                  <w:noWrap w:val="0"/>
                  <w:vAlign w:val="center"/>
                </w:tcPr>
                <w:p w14:paraId="2B9364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改扩建后用量t/a</w:t>
                  </w:r>
                </w:p>
              </w:tc>
              <w:tc>
                <w:tcPr>
                  <w:tcW w:w="833" w:type="pct"/>
                  <w:tcBorders>
                    <w:tl2br w:val="nil"/>
                    <w:tr2bl w:val="nil"/>
                  </w:tcBorders>
                  <w:noWrap w:val="0"/>
                  <w:vAlign w:val="center"/>
                </w:tcPr>
                <w:p w14:paraId="3578B6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最大存量（t）</w:t>
                  </w:r>
                </w:p>
              </w:tc>
            </w:tr>
            <w:tr w14:paraId="37EF16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center"/>
                </w:tcPr>
                <w:p w14:paraId="12CEA8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原辅料</w:t>
                  </w:r>
                </w:p>
              </w:tc>
            </w:tr>
            <w:tr w14:paraId="173AD9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75" w:type="pct"/>
                  <w:tcBorders>
                    <w:tl2br w:val="nil"/>
                    <w:tr2bl w:val="nil"/>
                  </w:tcBorders>
                  <w:noWrap w:val="0"/>
                  <w:vAlign w:val="center"/>
                </w:tcPr>
                <w:p w14:paraId="06D4E7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1</w:t>
                  </w:r>
                </w:p>
              </w:tc>
              <w:tc>
                <w:tcPr>
                  <w:tcW w:w="960" w:type="pct"/>
                  <w:tcBorders>
                    <w:tl2br w:val="nil"/>
                    <w:tr2bl w:val="nil"/>
                  </w:tcBorders>
                  <w:noWrap w:val="0"/>
                  <w:vAlign w:val="center"/>
                </w:tcPr>
                <w:p w14:paraId="716502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次氯酸钠</w:t>
                  </w:r>
                </w:p>
              </w:tc>
              <w:tc>
                <w:tcPr>
                  <w:tcW w:w="627" w:type="pct"/>
                  <w:tcBorders>
                    <w:tl2br w:val="nil"/>
                    <w:tr2bl w:val="nil"/>
                  </w:tcBorders>
                  <w:noWrap w:val="0"/>
                  <w:vAlign w:val="center"/>
                </w:tcPr>
                <w:p w14:paraId="074BAE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液体</w:t>
                  </w:r>
                </w:p>
              </w:tc>
              <w:tc>
                <w:tcPr>
                  <w:tcW w:w="1134" w:type="pct"/>
                  <w:tcBorders>
                    <w:tl2br w:val="nil"/>
                    <w:tr2bl w:val="nil"/>
                  </w:tcBorders>
                  <w:noWrap w:val="0"/>
                  <w:vAlign w:val="center"/>
                </w:tcPr>
                <w:p w14:paraId="270EFE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27.7</w:t>
                  </w:r>
                </w:p>
              </w:tc>
              <w:tc>
                <w:tcPr>
                  <w:tcW w:w="1168" w:type="pct"/>
                  <w:tcBorders>
                    <w:tl2br w:val="nil"/>
                    <w:tr2bl w:val="nil"/>
                  </w:tcBorders>
                  <w:noWrap w:val="0"/>
                  <w:vAlign w:val="center"/>
                </w:tcPr>
                <w:p w14:paraId="10CF00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55.3</w:t>
                  </w:r>
                </w:p>
              </w:tc>
              <w:tc>
                <w:tcPr>
                  <w:tcW w:w="833" w:type="pct"/>
                  <w:tcBorders>
                    <w:tl2br w:val="nil"/>
                    <w:tr2bl w:val="nil"/>
                  </w:tcBorders>
                  <w:noWrap w:val="0"/>
                  <w:vAlign w:val="center"/>
                </w:tcPr>
                <w:p w14:paraId="7B9380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w:t>
                  </w:r>
                </w:p>
              </w:tc>
            </w:tr>
            <w:tr w14:paraId="245106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75" w:type="pct"/>
                  <w:tcBorders>
                    <w:tl2br w:val="nil"/>
                    <w:tr2bl w:val="nil"/>
                  </w:tcBorders>
                  <w:noWrap w:val="0"/>
                  <w:vAlign w:val="center"/>
                </w:tcPr>
                <w:p w14:paraId="4071940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2</w:t>
                  </w:r>
                </w:p>
              </w:tc>
              <w:tc>
                <w:tcPr>
                  <w:tcW w:w="960" w:type="pct"/>
                  <w:tcBorders>
                    <w:tl2br w:val="nil"/>
                    <w:tr2bl w:val="nil"/>
                  </w:tcBorders>
                  <w:noWrap w:val="0"/>
                  <w:vAlign w:val="center"/>
                </w:tcPr>
                <w:p w14:paraId="377280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聚合氯化（PAC）</w:t>
                  </w:r>
                </w:p>
              </w:tc>
              <w:tc>
                <w:tcPr>
                  <w:tcW w:w="627" w:type="pct"/>
                  <w:tcBorders>
                    <w:tl2br w:val="nil"/>
                    <w:tr2bl w:val="nil"/>
                  </w:tcBorders>
                  <w:noWrap w:val="0"/>
                  <w:vAlign w:val="center"/>
                </w:tcPr>
                <w:p w14:paraId="13784F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固体</w:t>
                  </w:r>
                </w:p>
              </w:tc>
              <w:tc>
                <w:tcPr>
                  <w:tcW w:w="1134" w:type="pct"/>
                  <w:tcBorders>
                    <w:tl2br w:val="nil"/>
                    <w:tr2bl w:val="nil"/>
                  </w:tcBorders>
                  <w:noWrap w:val="0"/>
                  <w:vAlign w:val="center"/>
                </w:tcPr>
                <w:p w14:paraId="73FE3E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165.8</w:t>
                  </w:r>
                </w:p>
              </w:tc>
              <w:tc>
                <w:tcPr>
                  <w:tcW w:w="1168" w:type="pct"/>
                  <w:tcBorders>
                    <w:tl2br w:val="nil"/>
                    <w:tr2bl w:val="nil"/>
                  </w:tcBorders>
                  <w:noWrap w:val="0"/>
                  <w:vAlign w:val="center"/>
                </w:tcPr>
                <w:p w14:paraId="16A2B2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331.7</w:t>
                  </w:r>
                </w:p>
              </w:tc>
              <w:tc>
                <w:tcPr>
                  <w:tcW w:w="833" w:type="pct"/>
                  <w:tcBorders>
                    <w:tl2br w:val="nil"/>
                    <w:tr2bl w:val="nil"/>
                  </w:tcBorders>
                  <w:noWrap w:val="0"/>
                  <w:vAlign w:val="center"/>
                </w:tcPr>
                <w:p w14:paraId="6BF56E2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10</w:t>
                  </w:r>
                </w:p>
              </w:tc>
            </w:tr>
            <w:tr w14:paraId="79C440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75" w:type="pct"/>
                  <w:tcBorders>
                    <w:tl2br w:val="nil"/>
                    <w:tr2bl w:val="nil"/>
                  </w:tcBorders>
                  <w:noWrap w:val="0"/>
                  <w:vAlign w:val="center"/>
                </w:tcPr>
                <w:p w14:paraId="3AAA06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3</w:t>
                  </w:r>
                </w:p>
              </w:tc>
              <w:tc>
                <w:tcPr>
                  <w:tcW w:w="960" w:type="pct"/>
                  <w:tcBorders>
                    <w:tl2br w:val="nil"/>
                    <w:tr2bl w:val="nil"/>
                  </w:tcBorders>
                  <w:noWrap w:val="0"/>
                  <w:vAlign w:val="center"/>
                </w:tcPr>
                <w:p w14:paraId="595CB8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乙酸钠</w:t>
                  </w:r>
                </w:p>
              </w:tc>
              <w:tc>
                <w:tcPr>
                  <w:tcW w:w="627" w:type="pct"/>
                  <w:tcBorders>
                    <w:tl2br w:val="nil"/>
                    <w:tr2bl w:val="nil"/>
                  </w:tcBorders>
                  <w:noWrap w:val="0"/>
                  <w:vAlign w:val="center"/>
                </w:tcPr>
                <w:p w14:paraId="4744F9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固体</w:t>
                  </w:r>
                </w:p>
              </w:tc>
              <w:tc>
                <w:tcPr>
                  <w:tcW w:w="1134" w:type="pct"/>
                  <w:tcBorders>
                    <w:tl2br w:val="nil"/>
                    <w:tr2bl w:val="nil"/>
                  </w:tcBorders>
                  <w:noWrap w:val="0"/>
                  <w:vAlign w:val="center"/>
                </w:tcPr>
                <w:p w14:paraId="310027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w:t>
                  </w:r>
                </w:p>
              </w:tc>
              <w:tc>
                <w:tcPr>
                  <w:tcW w:w="1168" w:type="pct"/>
                  <w:tcBorders>
                    <w:tl2br w:val="nil"/>
                    <w:tr2bl w:val="nil"/>
                  </w:tcBorders>
                  <w:noWrap w:val="0"/>
                  <w:vAlign w:val="center"/>
                </w:tcPr>
                <w:p w14:paraId="4F1CFA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1437.3</w:t>
                  </w:r>
                </w:p>
              </w:tc>
              <w:tc>
                <w:tcPr>
                  <w:tcW w:w="833" w:type="pct"/>
                  <w:tcBorders>
                    <w:tl2br w:val="nil"/>
                    <w:tr2bl w:val="nil"/>
                  </w:tcBorders>
                  <w:noWrap w:val="0"/>
                  <w:vAlign w:val="center"/>
                </w:tcPr>
                <w:p w14:paraId="0E07C7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27</w:t>
                  </w:r>
                </w:p>
              </w:tc>
            </w:tr>
            <w:tr w14:paraId="0D3EB3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75" w:type="pct"/>
                  <w:tcBorders>
                    <w:tl2br w:val="nil"/>
                    <w:tr2bl w:val="nil"/>
                  </w:tcBorders>
                  <w:noWrap w:val="0"/>
                  <w:vAlign w:val="center"/>
                </w:tcPr>
                <w:p w14:paraId="5A4687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4</w:t>
                  </w:r>
                </w:p>
              </w:tc>
              <w:tc>
                <w:tcPr>
                  <w:tcW w:w="960" w:type="pct"/>
                  <w:tcBorders>
                    <w:tl2br w:val="nil"/>
                    <w:tr2bl w:val="nil"/>
                  </w:tcBorders>
                  <w:noWrap w:val="0"/>
                  <w:vAlign w:val="center"/>
                </w:tcPr>
                <w:p w14:paraId="49B92B2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盐酸</w:t>
                  </w:r>
                </w:p>
              </w:tc>
              <w:tc>
                <w:tcPr>
                  <w:tcW w:w="627" w:type="pct"/>
                  <w:tcBorders>
                    <w:tl2br w:val="nil"/>
                    <w:tr2bl w:val="nil"/>
                  </w:tcBorders>
                  <w:noWrap w:val="0"/>
                  <w:vAlign w:val="center"/>
                </w:tcPr>
                <w:p w14:paraId="37DD9CA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液体</w:t>
                  </w:r>
                </w:p>
              </w:tc>
              <w:tc>
                <w:tcPr>
                  <w:tcW w:w="1134" w:type="pct"/>
                  <w:tcBorders>
                    <w:tl2br w:val="nil"/>
                    <w:tr2bl w:val="nil"/>
                  </w:tcBorders>
                  <w:noWrap w:val="0"/>
                  <w:vAlign w:val="center"/>
                </w:tcPr>
                <w:p w14:paraId="5F33FA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w:t>
                  </w:r>
                </w:p>
              </w:tc>
              <w:tc>
                <w:tcPr>
                  <w:tcW w:w="1168" w:type="pct"/>
                  <w:tcBorders>
                    <w:tl2br w:val="nil"/>
                    <w:tr2bl w:val="nil"/>
                  </w:tcBorders>
                  <w:noWrap w:val="0"/>
                  <w:vAlign w:val="center"/>
                </w:tcPr>
                <w:p w14:paraId="459307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7.83</w:t>
                  </w:r>
                </w:p>
              </w:tc>
              <w:tc>
                <w:tcPr>
                  <w:tcW w:w="833" w:type="pct"/>
                  <w:tcBorders>
                    <w:tl2br w:val="nil"/>
                    <w:tr2bl w:val="nil"/>
                  </w:tcBorders>
                  <w:noWrap w:val="0"/>
                  <w:vAlign w:val="center"/>
                </w:tcPr>
                <w:p w14:paraId="4A3C7B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0.5</w:t>
                  </w:r>
                </w:p>
              </w:tc>
            </w:tr>
            <w:tr w14:paraId="1E9844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75" w:type="pct"/>
                  <w:tcBorders>
                    <w:tl2br w:val="nil"/>
                    <w:tr2bl w:val="nil"/>
                  </w:tcBorders>
                  <w:noWrap w:val="0"/>
                  <w:vAlign w:val="center"/>
                </w:tcPr>
                <w:p w14:paraId="0D2B2DE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5</w:t>
                  </w:r>
                </w:p>
              </w:tc>
              <w:tc>
                <w:tcPr>
                  <w:tcW w:w="960" w:type="pct"/>
                  <w:tcBorders>
                    <w:tl2br w:val="nil"/>
                    <w:tr2bl w:val="nil"/>
                  </w:tcBorders>
                  <w:noWrap w:val="0"/>
                  <w:vAlign w:val="center"/>
                </w:tcPr>
                <w:p w14:paraId="2E6461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氢氧化钠</w:t>
                  </w:r>
                </w:p>
              </w:tc>
              <w:tc>
                <w:tcPr>
                  <w:tcW w:w="627" w:type="pct"/>
                  <w:tcBorders>
                    <w:tl2br w:val="nil"/>
                    <w:tr2bl w:val="nil"/>
                  </w:tcBorders>
                  <w:noWrap w:val="0"/>
                  <w:vAlign w:val="center"/>
                </w:tcPr>
                <w:p w14:paraId="5B97D47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液体</w:t>
                  </w:r>
                </w:p>
              </w:tc>
              <w:tc>
                <w:tcPr>
                  <w:tcW w:w="1134" w:type="pct"/>
                  <w:tcBorders>
                    <w:tl2br w:val="nil"/>
                    <w:tr2bl w:val="nil"/>
                  </w:tcBorders>
                  <w:noWrap w:val="0"/>
                  <w:vAlign w:val="center"/>
                </w:tcPr>
                <w:p w14:paraId="5FF3A4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w:t>
                  </w:r>
                </w:p>
              </w:tc>
              <w:tc>
                <w:tcPr>
                  <w:tcW w:w="1168" w:type="pct"/>
                  <w:tcBorders>
                    <w:tl2br w:val="nil"/>
                    <w:tr2bl w:val="nil"/>
                  </w:tcBorders>
                  <w:noWrap w:val="0"/>
                  <w:vAlign w:val="center"/>
                </w:tcPr>
                <w:p w14:paraId="74BEFB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7.83</w:t>
                  </w:r>
                </w:p>
              </w:tc>
              <w:tc>
                <w:tcPr>
                  <w:tcW w:w="833" w:type="pct"/>
                  <w:tcBorders>
                    <w:tl2br w:val="nil"/>
                    <w:tr2bl w:val="nil"/>
                  </w:tcBorders>
                  <w:noWrap w:val="0"/>
                  <w:vAlign w:val="center"/>
                </w:tcPr>
                <w:p w14:paraId="7C9BE62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0.5</w:t>
                  </w:r>
                </w:p>
              </w:tc>
            </w:tr>
            <w:tr w14:paraId="7C3BC9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center"/>
                </w:tcPr>
                <w:p w14:paraId="7EED24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能源</w:t>
                  </w:r>
                </w:p>
              </w:tc>
            </w:tr>
            <w:tr w14:paraId="65A6AA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75" w:type="pct"/>
                  <w:tcBorders>
                    <w:tl2br w:val="nil"/>
                    <w:tr2bl w:val="nil"/>
                  </w:tcBorders>
                  <w:noWrap w:val="0"/>
                  <w:vAlign w:val="center"/>
                </w:tcPr>
                <w:p w14:paraId="354755B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w:t>
                  </w:r>
                </w:p>
              </w:tc>
              <w:tc>
                <w:tcPr>
                  <w:tcW w:w="960" w:type="pct"/>
                  <w:tcBorders>
                    <w:tl2br w:val="nil"/>
                    <w:tr2bl w:val="nil"/>
                  </w:tcBorders>
                  <w:noWrap w:val="0"/>
                  <w:vAlign w:val="center"/>
                </w:tcPr>
                <w:p w14:paraId="0379BF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电</w:t>
                  </w:r>
                </w:p>
              </w:tc>
              <w:tc>
                <w:tcPr>
                  <w:tcW w:w="627" w:type="pct"/>
                  <w:tcBorders>
                    <w:tl2br w:val="nil"/>
                    <w:tr2bl w:val="nil"/>
                  </w:tcBorders>
                  <w:noWrap w:val="0"/>
                  <w:vAlign w:val="center"/>
                </w:tcPr>
                <w:p w14:paraId="6EF1F4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宋体" w:hAnsi="宋体" w:eastAsia="宋体" w:cs="宋体"/>
                      <w:b w:val="0"/>
                      <w:bCs w:val="0"/>
                      <w:color w:val="000000" w:themeColor="text1"/>
                      <w:sz w:val="18"/>
                      <w:szCs w:val="18"/>
                      <w:highlight w:val="none"/>
                      <w14:textFill>
                        <w14:solidFill>
                          <w14:schemeClr w14:val="tx1"/>
                        </w14:solidFill>
                      </w14:textFill>
                    </w:rPr>
                    <w:t>万</w:t>
                  </w:r>
                  <w:r>
                    <w:rPr>
                      <w:rFonts w:hint="default" w:ascii="Times New Roman" w:hAnsi="Times New Roman" w:eastAsia="宋体" w:cs="Times New Roman"/>
                      <w:b w:val="0"/>
                      <w:bCs w:val="0"/>
                      <w:color w:val="000000" w:themeColor="text1"/>
                      <w:sz w:val="18"/>
                      <w:szCs w:val="18"/>
                      <w:highlight w:val="none"/>
                      <w14:textFill>
                        <w14:solidFill>
                          <w14:schemeClr w14:val="tx1"/>
                        </w14:solidFill>
                      </w14:textFill>
                    </w:rPr>
                    <w:t>kW·h</w:t>
                  </w:r>
                </w:p>
              </w:tc>
              <w:tc>
                <w:tcPr>
                  <w:tcW w:w="1134" w:type="pct"/>
                  <w:tcBorders>
                    <w:tl2br w:val="nil"/>
                    <w:tr2bl w:val="nil"/>
                  </w:tcBorders>
                  <w:noWrap w:val="0"/>
                  <w:vAlign w:val="center"/>
                </w:tcPr>
                <w:p w14:paraId="6FFC1F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400.88</w:t>
                  </w:r>
                </w:p>
              </w:tc>
              <w:tc>
                <w:tcPr>
                  <w:tcW w:w="1168" w:type="pct"/>
                  <w:tcBorders>
                    <w:tl2br w:val="nil"/>
                    <w:tr2bl w:val="nil"/>
                  </w:tcBorders>
                  <w:noWrap w:val="0"/>
                  <w:vAlign w:val="center"/>
                </w:tcPr>
                <w:p w14:paraId="57FF8B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637.90</w:t>
                  </w:r>
                </w:p>
              </w:tc>
              <w:tc>
                <w:tcPr>
                  <w:tcW w:w="833" w:type="pct"/>
                  <w:tcBorders>
                    <w:tl2br w:val="nil"/>
                    <w:tr2bl w:val="nil"/>
                  </w:tcBorders>
                  <w:noWrap w:val="0"/>
                  <w:vAlign w:val="center"/>
                </w:tcPr>
                <w:p w14:paraId="6BA5CF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w:t>
                  </w:r>
                </w:p>
              </w:tc>
            </w:tr>
            <w:tr w14:paraId="156240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75" w:type="pct"/>
                  <w:tcBorders>
                    <w:tl2br w:val="nil"/>
                    <w:tr2bl w:val="nil"/>
                  </w:tcBorders>
                  <w:noWrap w:val="0"/>
                  <w:vAlign w:val="center"/>
                </w:tcPr>
                <w:p w14:paraId="2159D5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w:t>
                  </w:r>
                </w:p>
              </w:tc>
              <w:tc>
                <w:tcPr>
                  <w:tcW w:w="960" w:type="pct"/>
                  <w:tcBorders>
                    <w:tl2br w:val="nil"/>
                    <w:tr2bl w:val="nil"/>
                  </w:tcBorders>
                  <w:noWrap w:val="0"/>
                  <w:vAlign w:val="center"/>
                </w:tcPr>
                <w:p w14:paraId="39CAA7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自来水</w:t>
                  </w:r>
                </w:p>
              </w:tc>
              <w:tc>
                <w:tcPr>
                  <w:tcW w:w="627" w:type="pct"/>
                  <w:tcBorders>
                    <w:tl2br w:val="nil"/>
                    <w:tr2bl w:val="nil"/>
                  </w:tcBorders>
                  <w:noWrap w:val="0"/>
                  <w:vAlign w:val="center"/>
                </w:tcPr>
                <w:p w14:paraId="1A5DF3D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m</w:t>
                  </w:r>
                  <w:r>
                    <w:rPr>
                      <w:rFonts w:hint="eastAsia" w:cs="Times New Roman"/>
                      <w:color w:val="000000" w:themeColor="text1"/>
                      <w:sz w:val="21"/>
                      <w:szCs w:val="21"/>
                      <w:highlight w:val="none"/>
                      <w:vertAlign w:val="superscript"/>
                      <w:lang w:val="en-US" w:eastAsia="zh-CN"/>
                      <w14:textFill>
                        <w14:solidFill>
                          <w14:schemeClr w14:val="tx1"/>
                        </w14:solidFill>
                      </w14:textFill>
                    </w:rPr>
                    <w:t>3</w:t>
                  </w:r>
                  <w:r>
                    <w:rPr>
                      <w:rFonts w:hint="eastAsia" w:cs="Times New Roman"/>
                      <w:color w:val="000000" w:themeColor="text1"/>
                      <w:sz w:val="21"/>
                      <w:szCs w:val="21"/>
                      <w:highlight w:val="none"/>
                      <w:vertAlign w:val="baseline"/>
                      <w:lang w:val="en-US" w:eastAsia="zh-CN"/>
                      <w14:textFill>
                        <w14:solidFill>
                          <w14:schemeClr w14:val="tx1"/>
                        </w14:solidFill>
                      </w14:textFill>
                    </w:rPr>
                    <w:t>/a</w:t>
                  </w:r>
                </w:p>
              </w:tc>
              <w:tc>
                <w:tcPr>
                  <w:tcW w:w="1134" w:type="pct"/>
                  <w:tcBorders>
                    <w:tl2br w:val="nil"/>
                    <w:tr2bl w:val="nil"/>
                  </w:tcBorders>
                  <w:noWrap w:val="0"/>
                  <w:vAlign w:val="center"/>
                </w:tcPr>
                <w:p w14:paraId="13588B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182.5</w:t>
                  </w:r>
                </w:p>
              </w:tc>
              <w:tc>
                <w:tcPr>
                  <w:tcW w:w="1168" w:type="pct"/>
                  <w:tcBorders>
                    <w:tl2br w:val="nil"/>
                    <w:tr2bl w:val="nil"/>
                  </w:tcBorders>
                  <w:noWrap w:val="0"/>
                  <w:vAlign w:val="center"/>
                </w:tcPr>
                <w:p w14:paraId="723642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182.5</w:t>
                  </w:r>
                </w:p>
              </w:tc>
              <w:tc>
                <w:tcPr>
                  <w:tcW w:w="833" w:type="pct"/>
                  <w:tcBorders>
                    <w:tl2br w:val="nil"/>
                    <w:tr2bl w:val="nil"/>
                  </w:tcBorders>
                  <w:noWrap w:val="0"/>
                  <w:vAlign w:val="center"/>
                </w:tcPr>
                <w:p w14:paraId="2EF7D1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w:t>
                  </w:r>
                </w:p>
              </w:tc>
            </w:tr>
          </w:tbl>
          <w:p w14:paraId="656489E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14:textFill>
                  <w14:solidFill>
                    <w14:schemeClr w14:val="tx1"/>
                  </w14:solidFill>
                </w14:textFill>
              </w:rPr>
            </w:pPr>
          </w:p>
          <w:p w14:paraId="7124B98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本项目使用的主要原料理化性质如下：</w:t>
            </w:r>
          </w:p>
          <w:p w14:paraId="1C270B0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（1）聚合氯化铝</w:t>
            </w:r>
          </w:p>
          <w:p w14:paraId="78933CF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聚合氯化铝（</w:t>
            </w:r>
            <w:r>
              <w:rPr>
                <w:rFonts w:hint="default"/>
                <w:i/>
                <w:iCs/>
                <w:color w:val="000000" w:themeColor="text1"/>
                <w:highlight w:val="none"/>
                <w14:textFill>
                  <w14:solidFill>
                    <w14:schemeClr w14:val="tx1"/>
                  </w14:solidFill>
                </w14:textFill>
              </w:rPr>
              <w:t>Polyaluminium Chloride</w:t>
            </w:r>
            <w:r>
              <w:rPr>
                <w:rFonts w:hint="default"/>
                <w:color w:val="000000" w:themeColor="text1"/>
                <w:highlight w:val="none"/>
                <w14:textFill>
                  <w14:solidFill>
                    <w14:schemeClr w14:val="tx1"/>
                  </w14:solidFill>
                </w14:textFill>
              </w:rPr>
              <w:t>）简称PAC。通常也称作碱式氯化铝或混凝剂等，它是介于AlCl</w:t>
            </w:r>
            <w:r>
              <w:rPr>
                <w:rFonts w:hint="default"/>
                <w:color w:val="000000" w:themeColor="text1"/>
                <w:highlight w:val="none"/>
                <w:vertAlign w:val="subscript"/>
                <w14:textFill>
                  <w14:solidFill>
                    <w14:schemeClr w14:val="tx1"/>
                  </w14:solidFill>
                </w14:textFill>
              </w:rPr>
              <w:t>3</w:t>
            </w:r>
            <w:r>
              <w:rPr>
                <w:rFonts w:hint="default"/>
                <w:color w:val="000000" w:themeColor="text1"/>
                <w:highlight w:val="none"/>
                <w14:textFill>
                  <w14:solidFill>
                    <w14:schemeClr w14:val="tx1"/>
                  </w14:solidFill>
                </w14:textFill>
              </w:rPr>
              <w:t>和Al</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OH</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vertAlign w:val="subscript"/>
                <w14:textFill>
                  <w14:solidFill>
                    <w14:schemeClr w14:val="tx1"/>
                  </w14:solidFill>
                </w14:textFill>
              </w:rPr>
              <w:t>3</w:t>
            </w:r>
            <w:r>
              <w:rPr>
                <w:rFonts w:hint="default"/>
                <w:color w:val="000000" w:themeColor="text1"/>
                <w:highlight w:val="none"/>
                <w14:textFill>
                  <w14:solidFill>
                    <w14:schemeClr w14:val="tx1"/>
                  </w14:solidFill>
                </w14:textFill>
              </w:rPr>
              <w:t>之间的一种水溶性无机高分子聚合物。颜色呈黄色或淡黄色、深褐色、深灰色树脂状固体。该产</w:t>
            </w:r>
            <w:r>
              <w:rPr>
                <w:rFonts w:hint="eastAsia"/>
                <w:color w:val="000000" w:themeColor="text1"/>
                <w:highlight w:val="none"/>
                <w:lang w:eastAsia="zh-CN"/>
                <w14:textFill>
                  <w14:solidFill>
                    <w14:schemeClr w14:val="tx1"/>
                  </w14:solidFill>
                </w14:textFill>
              </w:rPr>
              <w:t>品具</w:t>
            </w:r>
            <w:r>
              <w:rPr>
                <w:rFonts w:hint="default"/>
                <w:color w:val="000000" w:themeColor="text1"/>
                <w:highlight w:val="none"/>
                <w14:textFill>
                  <w14:solidFill>
                    <w14:schemeClr w14:val="tx1"/>
                  </w14:solidFill>
                </w14:textFill>
              </w:rPr>
              <w:t>有较强的架桥</w:t>
            </w:r>
            <w:r>
              <w:rPr>
                <w:rFonts w:hint="eastAsia"/>
                <w:color w:val="000000" w:themeColor="text1"/>
                <w:highlight w:val="none"/>
                <w:lang w:eastAsia="zh-CN"/>
                <w14:textFill>
                  <w14:solidFill>
                    <w14:schemeClr w14:val="tx1"/>
                  </w14:solidFill>
                </w14:textFill>
              </w:rPr>
              <w:t>吸附</w:t>
            </w:r>
            <w:r>
              <w:rPr>
                <w:rFonts w:hint="default"/>
                <w:color w:val="000000" w:themeColor="text1"/>
                <w:highlight w:val="none"/>
                <w14:textFill>
                  <w14:solidFill>
                    <w14:schemeClr w14:val="tx1"/>
                  </w14:solidFill>
                </w14:textFill>
              </w:rPr>
              <w:t>性能，在水解过程中，伴随发生凝聚，吸附和沉淀等物理化学过程，对水中胶体和颗粒物具有高度电中和及桥联作用，并可强力去除微有毒物及重金属离子，性状稳定。本项目PAC投放在磁混凝沉淀池中，作为混凝沉淀的前提，辅助生物除磷。</w:t>
            </w:r>
          </w:p>
          <w:p w14:paraId="2055257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乙酸钠</w:t>
            </w:r>
          </w:p>
          <w:p w14:paraId="6A16364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外观为白色结晶粉末或无色透明液体（30%溶液），易溶于水，微溶于乙醇；无臭，味咸，具有吸湿性；水溶液呈弱碱性，稳定性强，不易分解。</w:t>
            </w:r>
          </w:p>
          <w:p w14:paraId="7D5F0A7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次氯酸钠</w:t>
            </w:r>
          </w:p>
          <w:p w14:paraId="7612E3C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外观为淡黄色透明液体，有刺激性氯味；易溶于水，具有强氧化性和腐蚀性；不稳定，遇光、热或有机物易分解产生氯气，需避光密封储存。</w:t>
            </w:r>
          </w:p>
          <w:p w14:paraId="62A1977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盐酸</w:t>
            </w:r>
          </w:p>
          <w:p w14:paraId="48F4EC8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外观为无色透明液体（31%工业级），有强烈刺激性气味；易挥发，腐蚀性极强，能与多数金属、氧化物反应；水溶液呈强酸性，接触皮肤会造成灼伤。</w:t>
            </w:r>
          </w:p>
          <w:p w14:paraId="3A11E18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5</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氢氧化钠</w:t>
            </w:r>
          </w:p>
          <w:p w14:paraId="645449F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外观为无色透明液体（40%溶液）或白色片状固体，易溶于水且放热；具有强腐蚀性和强碱性，能腐蚀皮肤、衣物及金属；吸湿性强，易与空气中二氧化碳反应变质。</w:t>
            </w:r>
          </w:p>
          <w:p w14:paraId="479A325B">
            <w:pPr>
              <w:keepNext w:val="0"/>
              <w:keepLines w:val="0"/>
              <w:pageBreakBefore w:val="0"/>
              <w:widowControl w:val="0"/>
              <w:kinsoku/>
              <w:wordWrap/>
              <w:overflowPunct/>
              <w:topLinePunct w:val="0"/>
              <w:autoSpaceDE/>
              <w:autoSpaceDN/>
              <w:bidi w:val="0"/>
              <w:adjustRightInd w:val="0"/>
              <w:snapToGrid w:val="0"/>
              <w:textAlignment w:val="auto"/>
              <w:rPr>
                <w:rFonts w:hint="eastAsia"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7、项目设计进、出水水质及接纳标准</w:t>
            </w:r>
          </w:p>
          <w:p w14:paraId="50B5C44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进水水质</w:t>
            </w:r>
          </w:p>
          <w:p w14:paraId="6E79245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根据污水处理厂的实际进水情况，进水设计指标确定如下。</w:t>
            </w:r>
          </w:p>
          <w:p w14:paraId="6B19E711">
            <w:pPr>
              <w:pStyle w:val="20"/>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表2-15  </w:t>
            </w:r>
            <w:r>
              <w:rPr>
                <w:rFonts w:hint="eastAsia"/>
                <w:color w:val="000000" w:themeColor="text1"/>
                <w:highlight w:val="none"/>
                <w14:textFill>
                  <w14:solidFill>
                    <w14:schemeClr w14:val="tx1"/>
                  </w14:solidFill>
                </w14:textFill>
              </w:rPr>
              <w:t>污水处理厂设计进水水质表</w:t>
            </w:r>
          </w:p>
          <w:tbl>
            <w:tblPr>
              <w:tblStyle w:val="12"/>
              <w:tblW w:w="4996" w:type="pct"/>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2372"/>
              <w:gridCol w:w="1399"/>
              <w:gridCol w:w="1063"/>
              <w:gridCol w:w="947"/>
              <w:gridCol w:w="881"/>
              <w:gridCol w:w="579"/>
              <w:gridCol w:w="661"/>
            </w:tblGrid>
            <w:tr w14:paraId="1B3B1C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502" w:type="pct"/>
                  <w:tcBorders>
                    <w:tl2br w:val="nil"/>
                    <w:tr2bl w:val="nil"/>
                  </w:tcBorders>
                  <w:noWrap w:val="0"/>
                  <w:vAlign w:val="center"/>
                </w:tcPr>
                <w:p w14:paraId="61A26D0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污染物名称</w:t>
                  </w:r>
                </w:p>
              </w:tc>
              <w:tc>
                <w:tcPr>
                  <w:tcW w:w="887" w:type="pct"/>
                  <w:tcBorders>
                    <w:tl2br w:val="nil"/>
                    <w:tr2bl w:val="nil"/>
                  </w:tcBorders>
                  <w:noWrap w:val="0"/>
                  <w:vAlign w:val="center"/>
                </w:tcPr>
                <w:p w14:paraId="73D41C6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CODcr</w:t>
                  </w:r>
                </w:p>
              </w:tc>
              <w:tc>
                <w:tcPr>
                  <w:tcW w:w="674" w:type="pct"/>
                  <w:tcBorders>
                    <w:tl2br w:val="nil"/>
                    <w:tr2bl w:val="nil"/>
                  </w:tcBorders>
                  <w:noWrap w:val="0"/>
                  <w:vAlign w:val="center"/>
                </w:tcPr>
                <w:p w14:paraId="1868969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SS</w:t>
                  </w:r>
                </w:p>
              </w:tc>
              <w:tc>
                <w:tcPr>
                  <w:tcW w:w="601" w:type="pct"/>
                  <w:tcBorders>
                    <w:tl2br w:val="nil"/>
                    <w:tr2bl w:val="nil"/>
                  </w:tcBorders>
                  <w:noWrap w:val="0"/>
                  <w:vAlign w:val="center"/>
                </w:tcPr>
                <w:p w14:paraId="733DE2A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BOD</w:t>
                  </w:r>
                  <w:r>
                    <w:rPr>
                      <w:rFonts w:hint="default"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5</w:t>
                  </w:r>
                </w:p>
              </w:tc>
              <w:tc>
                <w:tcPr>
                  <w:tcW w:w="559" w:type="pct"/>
                  <w:tcBorders>
                    <w:tl2br w:val="nil"/>
                    <w:tr2bl w:val="nil"/>
                  </w:tcBorders>
                  <w:noWrap w:val="0"/>
                  <w:vAlign w:val="center"/>
                </w:tcPr>
                <w:p w14:paraId="45F0696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氨氮</w:t>
                  </w:r>
                </w:p>
              </w:tc>
              <w:tc>
                <w:tcPr>
                  <w:tcW w:w="368" w:type="pct"/>
                  <w:tcBorders>
                    <w:tl2br w:val="nil"/>
                    <w:tr2bl w:val="nil"/>
                  </w:tcBorders>
                  <w:noWrap w:val="0"/>
                  <w:vAlign w:val="center"/>
                </w:tcPr>
                <w:p w14:paraId="1786128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TP</w:t>
                  </w:r>
                </w:p>
              </w:tc>
              <w:tc>
                <w:tcPr>
                  <w:tcW w:w="407" w:type="pct"/>
                  <w:tcBorders>
                    <w:tl2br w:val="nil"/>
                    <w:tr2bl w:val="nil"/>
                  </w:tcBorders>
                  <w:noWrap w:val="0"/>
                  <w:vAlign w:val="center"/>
                </w:tcPr>
                <w:p w14:paraId="613AA01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TN</w:t>
                  </w:r>
                </w:p>
              </w:tc>
            </w:tr>
            <w:tr w14:paraId="7BA3F4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502" w:type="pct"/>
                  <w:tcBorders>
                    <w:tl2br w:val="nil"/>
                    <w:tr2bl w:val="nil"/>
                  </w:tcBorders>
                  <w:noWrap w:val="0"/>
                  <w:vAlign w:val="center"/>
                </w:tcPr>
                <w:p w14:paraId="6AE4B03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水质参数</w:t>
                  </w:r>
                  <w:r>
                    <w:rPr>
                      <w:rFonts w:hint="eastAsia"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mg/L</w:t>
                  </w:r>
                  <w:r>
                    <w:rPr>
                      <w:rFonts w:hint="eastAsia" w:eastAsia="宋体" w:cs="Times New Roman"/>
                      <w:color w:val="000000" w:themeColor="text1"/>
                      <w:sz w:val="21"/>
                      <w:szCs w:val="21"/>
                      <w:highlight w:val="none"/>
                      <w:lang w:val="en-US" w:eastAsia="zh-CN"/>
                      <w14:textFill>
                        <w14:solidFill>
                          <w14:schemeClr w14:val="tx1"/>
                        </w14:solidFill>
                      </w14:textFill>
                    </w:rPr>
                    <w:t>）</w:t>
                  </w:r>
                </w:p>
              </w:tc>
              <w:tc>
                <w:tcPr>
                  <w:tcW w:w="887" w:type="pct"/>
                  <w:tcBorders>
                    <w:tl2br w:val="nil"/>
                    <w:tr2bl w:val="nil"/>
                  </w:tcBorders>
                  <w:noWrap w:val="0"/>
                  <w:vAlign w:val="center"/>
                </w:tcPr>
                <w:p w14:paraId="235624F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≤500</w:t>
                  </w:r>
                </w:p>
              </w:tc>
              <w:tc>
                <w:tcPr>
                  <w:tcW w:w="674" w:type="pct"/>
                  <w:tcBorders>
                    <w:tl2br w:val="nil"/>
                    <w:tr2bl w:val="nil"/>
                  </w:tcBorders>
                  <w:noWrap w:val="0"/>
                  <w:vAlign w:val="center"/>
                </w:tcPr>
                <w:p w14:paraId="21AB576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≤400</w:t>
                  </w:r>
                </w:p>
              </w:tc>
              <w:tc>
                <w:tcPr>
                  <w:tcW w:w="601" w:type="pct"/>
                  <w:tcBorders>
                    <w:tl2br w:val="nil"/>
                    <w:tr2bl w:val="nil"/>
                  </w:tcBorders>
                  <w:noWrap w:val="0"/>
                  <w:vAlign w:val="center"/>
                </w:tcPr>
                <w:p w14:paraId="1FE1EC8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≤350</w:t>
                  </w:r>
                </w:p>
              </w:tc>
              <w:tc>
                <w:tcPr>
                  <w:tcW w:w="559" w:type="pct"/>
                  <w:tcBorders>
                    <w:tl2br w:val="nil"/>
                    <w:tr2bl w:val="nil"/>
                  </w:tcBorders>
                  <w:noWrap w:val="0"/>
                  <w:vAlign w:val="center"/>
                </w:tcPr>
                <w:p w14:paraId="0EFA1A5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≤45</w:t>
                  </w:r>
                </w:p>
              </w:tc>
              <w:tc>
                <w:tcPr>
                  <w:tcW w:w="368" w:type="pct"/>
                  <w:tcBorders>
                    <w:tl2br w:val="nil"/>
                    <w:tr2bl w:val="nil"/>
                  </w:tcBorders>
                  <w:noWrap w:val="0"/>
                  <w:vAlign w:val="center"/>
                </w:tcPr>
                <w:p w14:paraId="3193206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≤8</w:t>
                  </w:r>
                </w:p>
              </w:tc>
              <w:tc>
                <w:tcPr>
                  <w:tcW w:w="407" w:type="pct"/>
                  <w:tcBorders>
                    <w:tl2br w:val="nil"/>
                    <w:tr2bl w:val="nil"/>
                  </w:tcBorders>
                  <w:noWrap w:val="0"/>
                  <w:vAlign w:val="center"/>
                </w:tcPr>
                <w:p w14:paraId="50E8828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≤70</w:t>
                  </w:r>
                </w:p>
              </w:tc>
            </w:tr>
          </w:tbl>
          <w:p w14:paraId="705F325B">
            <w:pPr>
              <w:keepNext w:val="0"/>
              <w:keepLines w:val="0"/>
              <w:pageBreakBefore w:val="0"/>
              <w:widowControl w:val="0"/>
              <w:kinsoku/>
              <w:wordWrap/>
              <w:overflowPunct/>
              <w:topLinePunct w:val="0"/>
              <w:autoSpaceDE/>
              <w:autoSpaceDN/>
              <w:bidi w:val="0"/>
              <w:adjustRightInd w:val="0"/>
              <w:snapToGrid w:val="0"/>
              <w:textAlignment w:val="auto"/>
              <w:rPr>
                <w:color w:val="000000" w:themeColor="text1"/>
                <w:highlight w:val="none"/>
                <w14:textFill>
                  <w14:solidFill>
                    <w14:schemeClr w14:val="tx1"/>
                  </w14:solidFill>
                </w14:textFill>
              </w:rPr>
            </w:pPr>
          </w:p>
          <w:p w14:paraId="73CC18C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出水标准</w:t>
            </w:r>
          </w:p>
          <w:p w14:paraId="5C23BE3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根据《城镇污水处理厂污染物排放标准》（GB18918-2002）</w:t>
            </w:r>
            <w:r>
              <w:rPr>
                <w:rFonts w:hint="eastAsia"/>
                <w:color w:val="000000" w:themeColor="text1"/>
                <w:highlight w:val="none"/>
                <w:lang w:val="en-US" w:eastAsia="zh-CN"/>
                <w14:textFill>
                  <w14:solidFill>
                    <w14:schemeClr w14:val="tx1"/>
                  </w14:solidFill>
                </w14:textFill>
              </w:rPr>
              <w:t>（含2006年、2025年修改单）</w:t>
            </w:r>
            <w:r>
              <w:rPr>
                <w:rFonts w:hint="eastAsia"/>
                <w:color w:val="000000" w:themeColor="text1"/>
                <w:highlight w:val="none"/>
                <w14:textFill>
                  <w14:solidFill>
                    <w14:schemeClr w14:val="tx1"/>
                  </w14:solidFill>
                </w14:textFill>
              </w:rPr>
              <w:t>中“基本控制项目最高允许排放浓度（日均值）”表，确定本污水处理厂处理后出水水质达到国家“一级A”排放标准，处理后出水进入后续湿地进一步处理，湿地出水主控指标pH、溶解氧、高锰酸盐指数、氨氮、总磷、BOD</w:t>
            </w:r>
            <w:r>
              <w:rPr>
                <w:rFonts w:hint="eastAsia"/>
                <w:color w:val="000000" w:themeColor="text1"/>
                <w:highlight w:val="none"/>
                <w:vertAlign w:val="subscript"/>
                <w14:textFill>
                  <w14:solidFill>
                    <w14:schemeClr w14:val="tx1"/>
                  </w14:solidFill>
                </w14:textFill>
              </w:rPr>
              <w:t>5</w:t>
            </w:r>
            <w:r>
              <w:rPr>
                <w:rFonts w:hint="eastAsia"/>
                <w:color w:val="000000" w:themeColor="text1"/>
                <w:highlight w:val="none"/>
                <w14:textFill>
                  <w14:solidFill>
                    <w14:schemeClr w14:val="tx1"/>
                  </w14:solidFill>
                </w14:textFill>
              </w:rPr>
              <w:t>、COD达到《地表水环境质量标准》（GB3838-2002）V类标准</w:t>
            </w:r>
            <w:r>
              <w:rPr>
                <w:rFonts w:hint="eastAsia"/>
                <w:color w:val="000000" w:themeColor="text1"/>
                <w:highlight w:val="none"/>
                <w:lang w:eastAsia="zh-CN"/>
                <w14:textFill>
                  <w14:solidFill>
                    <w14:schemeClr w14:val="tx1"/>
                  </w14:solidFill>
                </w14:textFill>
              </w:rPr>
              <w:t>。</w:t>
            </w:r>
          </w:p>
          <w:p w14:paraId="49843591">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表2-16  污水处理厂设计出水水质表</w:t>
            </w:r>
          </w:p>
          <w:tbl>
            <w:tblPr>
              <w:tblStyle w:val="12"/>
              <w:tblW w:w="499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2531"/>
              <w:gridCol w:w="1359"/>
              <w:gridCol w:w="923"/>
              <w:gridCol w:w="842"/>
              <w:gridCol w:w="829"/>
              <w:gridCol w:w="726"/>
              <w:gridCol w:w="692"/>
            </w:tblGrid>
            <w:tr w14:paraId="58971B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611" w:type="pct"/>
                  <w:tcBorders>
                    <w:tl2br w:val="nil"/>
                    <w:tr2bl w:val="nil"/>
                  </w:tcBorders>
                  <w:noWrap w:val="0"/>
                  <w:vAlign w:val="center"/>
                </w:tcPr>
                <w:p w14:paraId="1A1AA39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污染物名称</w:t>
                  </w:r>
                </w:p>
              </w:tc>
              <w:tc>
                <w:tcPr>
                  <w:tcW w:w="869" w:type="pct"/>
                  <w:tcBorders>
                    <w:tl2br w:val="nil"/>
                    <w:tr2bl w:val="nil"/>
                  </w:tcBorders>
                  <w:noWrap w:val="0"/>
                  <w:vAlign w:val="center"/>
                </w:tcPr>
                <w:p w14:paraId="4FA56B5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CODcr</w:t>
                  </w:r>
                </w:p>
              </w:tc>
              <w:tc>
                <w:tcPr>
                  <w:tcW w:w="593" w:type="pct"/>
                  <w:tcBorders>
                    <w:tl2br w:val="nil"/>
                    <w:tr2bl w:val="nil"/>
                  </w:tcBorders>
                  <w:noWrap w:val="0"/>
                  <w:vAlign w:val="center"/>
                </w:tcPr>
                <w:p w14:paraId="6D53F67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SS</w:t>
                  </w:r>
                </w:p>
              </w:tc>
              <w:tc>
                <w:tcPr>
                  <w:tcW w:w="542" w:type="pct"/>
                  <w:tcBorders>
                    <w:tl2br w:val="nil"/>
                    <w:tr2bl w:val="nil"/>
                  </w:tcBorders>
                  <w:noWrap w:val="0"/>
                  <w:vAlign w:val="center"/>
                </w:tcPr>
                <w:p w14:paraId="262B90B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BOD</w:t>
                  </w:r>
                  <w:r>
                    <w:rPr>
                      <w:rFonts w:hint="default"/>
                      <w:color w:val="000000" w:themeColor="text1"/>
                      <w:sz w:val="21"/>
                      <w:szCs w:val="21"/>
                      <w:highlight w:val="none"/>
                      <w:vertAlign w:val="subscript"/>
                      <w:lang w:val="en-US" w:eastAsia="zh-CN"/>
                      <w14:textFill>
                        <w14:solidFill>
                          <w14:schemeClr w14:val="tx1"/>
                        </w14:solidFill>
                      </w14:textFill>
                    </w:rPr>
                    <w:t>5</w:t>
                  </w:r>
                </w:p>
              </w:tc>
              <w:tc>
                <w:tcPr>
                  <w:tcW w:w="534" w:type="pct"/>
                  <w:tcBorders>
                    <w:tl2br w:val="nil"/>
                    <w:tr2bl w:val="nil"/>
                  </w:tcBorders>
                  <w:noWrap w:val="0"/>
                  <w:vAlign w:val="center"/>
                </w:tcPr>
                <w:p w14:paraId="3C1EA00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氨氮</w:t>
                  </w:r>
                </w:p>
              </w:tc>
              <w:tc>
                <w:tcPr>
                  <w:tcW w:w="402" w:type="pct"/>
                  <w:tcBorders>
                    <w:tl2br w:val="nil"/>
                    <w:tr2bl w:val="nil"/>
                  </w:tcBorders>
                  <w:noWrap w:val="0"/>
                  <w:vAlign w:val="center"/>
                </w:tcPr>
                <w:p w14:paraId="14BD1BF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TP</w:t>
                  </w:r>
                </w:p>
              </w:tc>
              <w:tc>
                <w:tcPr>
                  <w:tcW w:w="446" w:type="pct"/>
                  <w:tcBorders>
                    <w:tl2br w:val="nil"/>
                    <w:tr2bl w:val="nil"/>
                  </w:tcBorders>
                  <w:noWrap w:val="0"/>
                  <w:vAlign w:val="center"/>
                </w:tcPr>
                <w:p w14:paraId="6B69D73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TN</w:t>
                  </w:r>
                </w:p>
              </w:tc>
            </w:tr>
            <w:tr w14:paraId="73DCE1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611" w:type="pct"/>
                  <w:tcBorders>
                    <w:tl2br w:val="nil"/>
                    <w:tr2bl w:val="nil"/>
                  </w:tcBorders>
                  <w:noWrap w:val="0"/>
                  <w:vAlign w:val="center"/>
                </w:tcPr>
                <w:p w14:paraId="59656BB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水质参数</w:t>
                  </w:r>
                  <w:r>
                    <w:rPr>
                      <w:rFonts w:hint="eastAsia"/>
                      <w:color w:val="000000" w:themeColor="text1"/>
                      <w:sz w:val="21"/>
                      <w:szCs w:val="21"/>
                      <w:highlight w:val="none"/>
                      <w:lang w:val="en-US" w:eastAsia="zh-CN"/>
                      <w14:textFill>
                        <w14:solidFill>
                          <w14:schemeClr w14:val="tx1"/>
                        </w14:solidFill>
                      </w14:textFill>
                    </w:rPr>
                    <w:t>（</w:t>
                  </w:r>
                  <w:r>
                    <w:rPr>
                      <w:rFonts w:hint="default"/>
                      <w:color w:val="000000" w:themeColor="text1"/>
                      <w:sz w:val="21"/>
                      <w:szCs w:val="21"/>
                      <w:highlight w:val="none"/>
                      <w:lang w:val="en-US" w:eastAsia="zh-CN"/>
                      <w14:textFill>
                        <w14:solidFill>
                          <w14:schemeClr w14:val="tx1"/>
                        </w14:solidFill>
                      </w14:textFill>
                    </w:rPr>
                    <w:t>mg/L</w:t>
                  </w:r>
                  <w:r>
                    <w:rPr>
                      <w:rFonts w:hint="eastAsia"/>
                      <w:color w:val="000000" w:themeColor="text1"/>
                      <w:sz w:val="21"/>
                      <w:szCs w:val="21"/>
                      <w:highlight w:val="none"/>
                      <w:lang w:val="en-US" w:eastAsia="zh-CN"/>
                      <w14:textFill>
                        <w14:solidFill>
                          <w14:schemeClr w14:val="tx1"/>
                        </w14:solidFill>
                      </w14:textFill>
                    </w:rPr>
                    <w:t>）</w:t>
                  </w:r>
                </w:p>
              </w:tc>
              <w:tc>
                <w:tcPr>
                  <w:tcW w:w="869" w:type="pct"/>
                  <w:tcBorders>
                    <w:tl2br w:val="nil"/>
                    <w:tr2bl w:val="nil"/>
                  </w:tcBorders>
                  <w:noWrap w:val="0"/>
                  <w:vAlign w:val="center"/>
                </w:tcPr>
                <w:p w14:paraId="514FD3B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≤50</w:t>
                  </w:r>
                </w:p>
              </w:tc>
              <w:tc>
                <w:tcPr>
                  <w:tcW w:w="593" w:type="pct"/>
                  <w:tcBorders>
                    <w:tl2br w:val="nil"/>
                    <w:tr2bl w:val="nil"/>
                  </w:tcBorders>
                  <w:noWrap w:val="0"/>
                  <w:vAlign w:val="center"/>
                </w:tcPr>
                <w:p w14:paraId="45B900A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color w:val="000000" w:themeColor="text1"/>
                      <w:sz w:val="21"/>
                      <w:szCs w:val="21"/>
                      <w:highlight w:val="none"/>
                      <w:lang w:val="en-US"/>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10</w:t>
                  </w:r>
                </w:p>
              </w:tc>
              <w:tc>
                <w:tcPr>
                  <w:tcW w:w="542" w:type="pct"/>
                  <w:tcBorders>
                    <w:tl2br w:val="nil"/>
                    <w:tr2bl w:val="nil"/>
                  </w:tcBorders>
                  <w:noWrap w:val="0"/>
                  <w:vAlign w:val="center"/>
                </w:tcPr>
                <w:p w14:paraId="083A973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color w:val="000000" w:themeColor="text1"/>
                      <w:sz w:val="21"/>
                      <w:szCs w:val="21"/>
                      <w:highlight w:val="none"/>
                      <w:lang w:val="en-US"/>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10</w:t>
                  </w:r>
                </w:p>
              </w:tc>
              <w:tc>
                <w:tcPr>
                  <w:tcW w:w="534" w:type="pct"/>
                  <w:tcBorders>
                    <w:tl2br w:val="nil"/>
                    <w:tr2bl w:val="nil"/>
                  </w:tcBorders>
                  <w:noWrap w:val="0"/>
                  <w:vAlign w:val="center"/>
                </w:tcPr>
                <w:p w14:paraId="2EAB003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eastAsia" w:eastAsia="宋体"/>
                      <w:color w:val="000000" w:themeColor="text1"/>
                      <w:sz w:val="21"/>
                      <w:szCs w:val="21"/>
                      <w:highlight w:val="none"/>
                      <w:lang w:eastAsia="zh-CN"/>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≤5</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8</w:t>
                  </w:r>
                  <w:r>
                    <w:rPr>
                      <w:rFonts w:hint="eastAsia"/>
                      <w:color w:val="000000" w:themeColor="text1"/>
                      <w:sz w:val="21"/>
                      <w:szCs w:val="21"/>
                      <w:highlight w:val="none"/>
                      <w:lang w:eastAsia="zh-CN"/>
                      <w14:textFill>
                        <w14:solidFill>
                          <w14:schemeClr w14:val="tx1"/>
                        </w14:solidFill>
                      </w14:textFill>
                    </w:rPr>
                    <w:t>）</w:t>
                  </w:r>
                </w:p>
              </w:tc>
              <w:tc>
                <w:tcPr>
                  <w:tcW w:w="402" w:type="pct"/>
                  <w:tcBorders>
                    <w:tl2br w:val="nil"/>
                    <w:tr2bl w:val="nil"/>
                  </w:tcBorders>
                  <w:noWrap w:val="0"/>
                  <w:vAlign w:val="center"/>
                </w:tcPr>
                <w:p w14:paraId="0D2DF5B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color w:val="000000" w:themeColor="text1"/>
                      <w:sz w:val="21"/>
                      <w:szCs w:val="21"/>
                      <w:highlight w:val="none"/>
                      <w:lang w:val="en-US"/>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0.5</w:t>
                  </w:r>
                </w:p>
              </w:tc>
              <w:tc>
                <w:tcPr>
                  <w:tcW w:w="446" w:type="pct"/>
                  <w:tcBorders>
                    <w:tl2br w:val="nil"/>
                    <w:tr2bl w:val="nil"/>
                  </w:tcBorders>
                  <w:noWrap w:val="0"/>
                  <w:vAlign w:val="center"/>
                </w:tcPr>
                <w:p w14:paraId="2C8E632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color w:val="000000" w:themeColor="text1"/>
                      <w:sz w:val="21"/>
                      <w:szCs w:val="21"/>
                      <w:highlight w:val="none"/>
                      <w:lang w:val="en-US"/>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15</w:t>
                  </w:r>
                </w:p>
              </w:tc>
            </w:tr>
            <w:tr w14:paraId="38BD18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611" w:type="pct"/>
                  <w:tcBorders>
                    <w:tl2br w:val="nil"/>
                    <w:tr2bl w:val="nil"/>
                  </w:tcBorders>
                  <w:noWrap w:val="0"/>
                  <w:vAlign w:val="center"/>
                </w:tcPr>
                <w:p w14:paraId="5FC78D4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污染物名称</w:t>
                  </w:r>
                </w:p>
              </w:tc>
              <w:tc>
                <w:tcPr>
                  <w:tcW w:w="869" w:type="pct"/>
                  <w:tcBorders>
                    <w:tl2br w:val="nil"/>
                    <w:tr2bl w:val="nil"/>
                  </w:tcBorders>
                  <w:noWrap w:val="0"/>
                  <w:vAlign w:val="center"/>
                </w:tcPr>
                <w:p w14:paraId="62DF350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动植物油</w:t>
                  </w:r>
                </w:p>
              </w:tc>
              <w:tc>
                <w:tcPr>
                  <w:tcW w:w="593" w:type="pct"/>
                  <w:tcBorders>
                    <w:tl2br w:val="nil"/>
                    <w:tr2bl w:val="nil"/>
                  </w:tcBorders>
                  <w:noWrap w:val="0"/>
                  <w:vAlign w:val="center"/>
                </w:tcPr>
                <w:p w14:paraId="5D65AC5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石油类</w:t>
                  </w:r>
                </w:p>
              </w:tc>
              <w:tc>
                <w:tcPr>
                  <w:tcW w:w="1925" w:type="pct"/>
                  <w:gridSpan w:val="4"/>
                  <w:tcBorders>
                    <w:tl2br w:val="nil"/>
                    <w:tr2bl w:val="nil"/>
                  </w:tcBorders>
                  <w:noWrap w:val="0"/>
                  <w:vAlign w:val="center"/>
                </w:tcPr>
                <w:p w14:paraId="6091E3B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阴离子表面活性剂</w:t>
                  </w:r>
                </w:p>
              </w:tc>
            </w:tr>
            <w:tr w14:paraId="4EF18B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611" w:type="pct"/>
                  <w:tcBorders>
                    <w:tl2br w:val="nil"/>
                    <w:tr2bl w:val="nil"/>
                  </w:tcBorders>
                  <w:noWrap w:val="0"/>
                  <w:vAlign w:val="center"/>
                </w:tcPr>
                <w:p w14:paraId="5388ABA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highlight w:val="none"/>
                      <w:lang w:val="en-US" w:eastAsia="zh-CN"/>
                      <w14:textFill>
                        <w14:solidFill>
                          <w14:schemeClr w14:val="tx1"/>
                        </w14:solidFill>
                      </w14:textFill>
                    </w:rPr>
                    <w:t>水质参数</w:t>
                  </w:r>
                  <w:r>
                    <w:rPr>
                      <w:rFonts w:hint="eastAsia"/>
                      <w:color w:val="000000" w:themeColor="text1"/>
                      <w:sz w:val="21"/>
                      <w:szCs w:val="21"/>
                      <w:highlight w:val="none"/>
                      <w:lang w:val="en-US" w:eastAsia="zh-CN"/>
                      <w14:textFill>
                        <w14:solidFill>
                          <w14:schemeClr w14:val="tx1"/>
                        </w14:solidFill>
                      </w14:textFill>
                    </w:rPr>
                    <w:t>（</w:t>
                  </w:r>
                  <w:r>
                    <w:rPr>
                      <w:rFonts w:hint="default"/>
                      <w:color w:val="000000" w:themeColor="text1"/>
                      <w:sz w:val="21"/>
                      <w:szCs w:val="21"/>
                      <w:highlight w:val="none"/>
                      <w:lang w:val="en-US" w:eastAsia="zh-CN"/>
                      <w14:textFill>
                        <w14:solidFill>
                          <w14:schemeClr w14:val="tx1"/>
                        </w14:solidFill>
                      </w14:textFill>
                    </w:rPr>
                    <w:t>mg/L</w:t>
                  </w:r>
                  <w:r>
                    <w:rPr>
                      <w:rFonts w:hint="eastAsia"/>
                      <w:color w:val="000000" w:themeColor="text1"/>
                      <w:sz w:val="21"/>
                      <w:szCs w:val="21"/>
                      <w:highlight w:val="none"/>
                      <w:lang w:val="en-US" w:eastAsia="zh-CN"/>
                      <w14:textFill>
                        <w14:solidFill>
                          <w14:schemeClr w14:val="tx1"/>
                        </w14:solidFill>
                      </w14:textFill>
                    </w:rPr>
                    <w:t>）</w:t>
                  </w:r>
                </w:p>
              </w:tc>
              <w:tc>
                <w:tcPr>
                  <w:tcW w:w="869" w:type="pct"/>
                  <w:tcBorders>
                    <w:tl2br w:val="nil"/>
                    <w:tr2bl w:val="nil"/>
                  </w:tcBorders>
                  <w:noWrap w:val="0"/>
                  <w:vAlign w:val="center"/>
                </w:tcPr>
                <w:p w14:paraId="7E5BFB6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593" w:type="pct"/>
                  <w:tcBorders>
                    <w:tl2br w:val="nil"/>
                    <w:tr2bl w:val="nil"/>
                  </w:tcBorders>
                  <w:noWrap w:val="0"/>
                  <w:vAlign w:val="center"/>
                </w:tcPr>
                <w:p w14:paraId="5981D2F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1925" w:type="pct"/>
                  <w:gridSpan w:val="4"/>
                  <w:tcBorders>
                    <w:tl2br w:val="nil"/>
                    <w:tr2bl w:val="nil"/>
                  </w:tcBorders>
                  <w:noWrap w:val="0"/>
                  <w:vAlign w:val="center"/>
                </w:tcPr>
                <w:p w14:paraId="4AC3AAB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≤0.5</w:t>
                  </w:r>
                </w:p>
              </w:tc>
            </w:tr>
          </w:tbl>
          <w:p w14:paraId="1E4F8208">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续表2-16  污水处理厂设计出水水质表（各处理单元分述）</w:t>
            </w:r>
          </w:p>
          <w:tbl>
            <w:tblPr>
              <w:tblStyle w:val="12"/>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15" w:type="dxa"/>
                <w:left w:w="15" w:type="dxa"/>
                <w:bottom w:w="15" w:type="dxa"/>
                <w:right w:w="15" w:type="dxa"/>
              </w:tblCellMar>
            </w:tblPr>
            <w:tblGrid>
              <w:gridCol w:w="712"/>
              <w:gridCol w:w="1090"/>
              <w:gridCol w:w="1220"/>
              <w:gridCol w:w="1220"/>
              <w:gridCol w:w="1220"/>
              <w:gridCol w:w="1220"/>
              <w:gridCol w:w="1220"/>
            </w:tblGrid>
            <w:tr w14:paraId="53E628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412" w:type="pct"/>
                  <w:tcBorders>
                    <w:tl2br w:val="nil"/>
                    <w:tr2bl w:val="nil"/>
                  </w:tcBorders>
                  <w:shd w:val="clear" w:color="auto" w:fill="auto"/>
                  <w:tcMar>
                    <w:top w:w="120" w:type="dxa"/>
                    <w:left w:w="120" w:type="dxa"/>
                    <w:bottom w:w="120" w:type="dxa"/>
                    <w:right w:w="120" w:type="dxa"/>
                  </w:tcMar>
                  <w:vAlign w:val="center"/>
                </w:tcPr>
                <w:p w14:paraId="55D45FA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工艺单元</w:t>
                  </w:r>
                </w:p>
              </w:tc>
              <w:tc>
                <w:tcPr>
                  <w:tcW w:w="696" w:type="pct"/>
                  <w:tcBorders>
                    <w:tl2br w:val="nil"/>
                    <w:tr2bl w:val="nil"/>
                  </w:tcBorders>
                  <w:shd w:val="clear" w:color="auto" w:fill="auto"/>
                  <w:tcMar>
                    <w:top w:w="120" w:type="dxa"/>
                    <w:left w:w="120" w:type="dxa"/>
                    <w:bottom w:w="120" w:type="dxa"/>
                    <w:right w:w="120" w:type="dxa"/>
                  </w:tcMar>
                  <w:vAlign w:val="center"/>
                </w:tcPr>
                <w:p w14:paraId="61B31B4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水质标准</w:t>
                  </w:r>
                </w:p>
              </w:tc>
              <w:tc>
                <w:tcPr>
                  <w:tcW w:w="778" w:type="pct"/>
                  <w:tcBorders>
                    <w:tl2br w:val="nil"/>
                    <w:tr2bl w:val="nil"/>
                  </w:tcBorders>
                  <w:shd w:val="clear" w:color="auto" w:fill="auto"/>
                  <w:tcMar>
                    <w:top w:w="120" w:type="dxa"/>
                    <w:left w:w="120" w:type="dxa"/>
                    <w:bottom w:w="120" w:type="dxa"/>
                    <w:right w:w="120" w:type="dxa"/>
                  </w:tcMar>
                  <w:vAlign w:val="center"/>
                </w:tcPr>
                <w:p w14:paraId="3A17B4D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COD（mg/L）</w:t>
                  </w:r>
                </w:p>
              </w:tc>
              <w:tc>
                <w:tcPr>
                  <w:tcW w:w="778" w:type="pct"/>
                  <w:tcBorders>
                    <w:tl2br w:val="nil"/>
                    <w:tr2bl w:val="nil"/>
                  </w:tcBorders>
                  <w:shd w:val="clear" w:color="auto" w:fill="auto"/>
                  <w:tcMar>
                    <w:top w:w="120" w:type="dxa"/>
                    <w:left w:w="120" w:type="dxa"/>
                    <w:bottom w:w="120" w:type="dxa"/>
                    <w:right w:w="120" w:type="dxa"/>
                  </w:tcMar>
                  <w:vAlign w:val="center"/>
                </w:tcPr>
                <w:p w14:paraId="2B39D31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BOD</w:t>
                  </w:r>
                  <w:r>
                    <w:rPr>
                      <w:rFonts w:hint="eastAsia" w:ascii="Times New Roman" w:hAnsi="Times New Roman" w:eastAsia="宋体" w:cs="Times New Roman"/>
                      <w:b w:val="0"/>
                      <w:bCs w:val="0"/>
                      <w:color w:val="000000" w:themeColor="text1"/>
                      <w:kern w:val="0"/>
                      <w:sz w:val="21"/>
                      <w:szCs w:val="21"/>
                      <w:highlight w:val="none"/>
                      <w:vertAlign w:val="subscript"/>
                      <w:lang w:val="en-US" w:eastAsia="zh-CN" w:bidi="ar"/>
                      <w14:textFill>
                        <w14:solidFill>
                          <w14:schemeClr w14:val="tx1"/>
                        </w14:solidFill>
                      </w14:textFill>
                    </w:rPr>
                    <w:t>5</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（mg/L）</w:t>
                  </w:r>
                </w:p>
              </w:tc>
              <w:tc>
                <w:tcPr>
                  <w:tcW w:w="778" w:type="pct"/>
                  <w:tcBorders>
                    <w:tl2br w:val="nil"/>
                    <w:tr2bl w:val="nil"/>
                  </w:tcBorders>
                  <w:shd w:val="clear" w:color="auto" w:fill="auto"/>
                  <w:tcMar>
                    <w:top w:w="120" w:type="dxa"/>
                    <w:left w:w="120" w:type="dxa"/>
                    <w:bottom w:w="120" w:type="dxa"/>
                    <w:right w:w="120" w:type="dxa"/>
                  </w:tcMar>
                  <w:vAlign w:val="center"/>
                </w:tcPr>
                <w:p w14:paraId="7F4D7F1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氨氮（mg/L）</w:t>
                  </w:r>
                </w:p>
              </w:tc>
              <w:tc>
                <w:tcPr>
                  <w:tcW w:w="778" w:type="pct"/>
                  <w:tcBorders>
                    <w:tl2br w:val="nil"/>
                    <w:tr2bl w:val="nil"/>
                  </w:tcBorders>
                  <w:shd w:val="clear" w:color="auto" w:fill="auto"/>
                  <w:tcMar>
                    <w:top w:w="120" w:type="dxa"/>
                    <w:left w:w="120" w:type="dxa"/>
                    <w:bottom w:w="120" w:type="dxa"/>
                    <w:right w:w="120" w:type="dxa"/>
                  </w:tcMar>
                  <w:vAlign w:val="center"/>
                </w:tcPr>
                <w:p w14:paraId="5DBF4A9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TN（mg/L）</w:t>
                  </w:r>
                </w:p>
              </w:tc>
              <w:tc>
                <w:tcPr>
                  <w:tcW w:w="778" w:type="pct"/>
                  <w:tcBorders>
                    <w:tl2br w:val="nil"/>
                    <w:tr2bl w:val="nil"/>
                  </w:tcBorders>
                  <w:shd w:val="clear" w:color="auto" w:fill="auto"/>
                  <w:tcMar>
                    <w:top w:w="120" w:type="dxa"/>
                    <w:left w:w="120" w:type="dxa"/>
                    <w:bottom w:w="120" w:type="dxa"/>
                    <w:right w:w="120" w:type="dxa"/>
                  </w:tcMar>
                  <w:vAlign w:val="center"/>
                </w:tcPr>
                <w:p w14:paraId="7E3B8B9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TP（mg/L）</w:t>
                  </w:r>
                </w:p>
              </w:tc>
            </w:tr>
            <w:tr w14:paraId="097D82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trPr>
              <w:tc>
                <w:tcPr>
                  <w:tcW w:w="412" w:type="pct"/>
                  <w:vMerge w:val="restart"/>
                  <w:tcBorders>
                    <w:tl2br w:val="nil"/>
                    <w:tr2bl w:val="nil"/>
                  </w:tcBorders>
                  <w:shd w:val="clear" w:color="auto" w:fill="auto"/>
                  <w:tcMar>
                    <w:top w:w="120" w:type="dxa"/>
                    <w:left w:w="120" w:type="dxa"/>
                    <w:bottom w:w="120" w:type="dxa"/>
                    <w:right w:w="120" w:type="dxa"/>
                  </w:tcMar>
                  <w:vAlign w:val="center"/>
                </w:tcPr>
                <w:p w14:paraId="28D62D2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细格栅及沉砂池</w:t>
                  </w:r>
                </w:p>
              </w:tc>
              <w:tc>
                <w:tcPr>
                  <w:tcW w:w="696" w:type="pct"/>
                  <w:tcBorders>
                    <w:tl2br w:val="nil"/>
                    <w:tr2bl w:val="nil"/>
                  </w:tcBorders>
                  <w:shd w:val="clear" w:color="auto" w:fill="auto"/>
                  <w:tcMar>
                    <w:top w:w="120" w:type="dxa"/>
                    <w:left w:w="120" w:type="dxa"/>
                    <w:bottom w:w="120" w:type="dxa"/>
                    <w:right w:w="120" w:type="dxa"/>
                  </w:tcMar>
                  <w:vAlign w:val="center"/>
                </w:tcPr>
                <w:p w14:paraId="45E757B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进水</w:t>
                  </w:r>
                </w:p>
              </w:tc>
              <w:tc>
                <w:tcPr>
                  <w:tcW w:w="778" w:type="pct"/>
                  <w:tcBorders>
                    <w:tl2br w:val="nil"/>
                    <w:tr2bl w:val="nil"/>
                  </w:tcBorders>
                  <w:shd w:val="clear" w:color="auto" w:fill="auto"/>
                  <w:tcMar>
                    <w:top w:w="120" w:type="dxa"/>
                    <w:left w:w="120" w:type="dxa"/>
                    <w:bottom w:w="120" w:type="dxa"/>
                    <w:right w:w="120" w:type="dxa"/>
                  </w:tcMar>
                  <w:vAlign w:val="center"/>
                </w:tcPr>
                <w:p w14:paraId="6184DB5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500.0</w:t>
                  </w:r>
                </w:p>
              </w:tc>
              <w:tc>
                <w:tcPr>
                  <w:tcW w:w="778" w:type="pct"/>
                  <w:tcBorders>
                    <w:tl2br w:val="nil"/>
                    <w:tr2bl w:val="nil"/>
                  </w:tcBorders>
                  <w:shd w:val="clear" w:color="auto" w:fill="auto"/>
                  <w:tcMar>
                    <w:top w:w="120" w:type="dxa"/>
                    <w:left w:w="120" w:type="dxa"/>
                    <w:bottom w:w="120" w:type="dxa"/>
                    <w:right w:w="120" w:type="dxa"/>
                  </w:tcMar>
                  <w:vAlign w:val="center"/>
                </w:tcPr>
                <w:p w14:paraId="2E086A6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350.0</w:t>
                  </w:r>
                </w:p>
              </w:tc>
              <w:tc>
                <w:tcPr>
                  <w:tcW w:w="778" w:type="pct"/>
                  <w:tcBorders>
                    <w:tl2br w:val="nil"/>
                    <w:tr2bl w:val="nil"/>
                  </w:tcBorders>
                  <w:shd w:val="clear" w:color="auto" w:fill="auto"/>
                  <w:tcMar>
                    <w:top w:w="120" w:type="dxa"/>
                    <w:left w:w="120" w:type="dxa"/>
                    <w:bottom w:w="120" w:type="dxa"/>
                    <w:right w:w="120" w:type="dxa"/>
                  </w:tcMar>
                  <w:vAlign w:val="center"/>
                </w:tcPr>
                <w:p w14:paraId="70E936B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45.0</w:t>
                  </w:r>
                </w:p>
              </w:tc>
              <w:tc>
                <w:tcPr>
                  <w:tcW w:w="778" w:type="pct"/>
                  <w:tcBorders>
                    <w:tl2br w:val="nil"/>
                    <w:tr2bl w:val="nil"/>
                  </w:tcBorders>
                  <w:shd w:val="clear" w:color="auto" w:fill="auto"/>
                  <w:tcMar>
                    <w:top w:w="120" w:type="dxa"/>
                    <w:left w:w="120" w:type="dxa"/>
                    <w:bottom w:w="120" w:type="dxa"/>
                    <w:right w:w="120" w:type="dxa"/>
                  </w:tcMar>
                  <w:vAlign w:val="center"/>
                </w:tcPr>
                <w:p w14:paraId="7BA7D4A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70.0</w:t>
                  </w:r>
                </w:p>
              </w:tc>
              <w:tc>
                <w:tcPr>
                  <w:tcW w:w="778" w:type="pct"/>
                  <w:tcBorders>
                    <w:tl2br w:val="nil"/>
                    <w:tr2bl w:val="nil"/>
                  </w:tcBorders>
                  <w:shd w:val="clear" w:color="auto" w:fill="auto"/>
                  <w:tcMar>
                    <w:top w:w="120" w:type="dxa"/>
                    <w:left w:w="120" w:type="dxa"/>
                    <w:bottom w:w="120" w:type="dxa"/>
                    <w:right w:w="120" w:type="dxa"/>
                  </w:tcMar>
                  <w:vAlign w:val="center"/>
                </w:tcPr>
                <w:p w14:paraId="5700E17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8.0</w:t>
                  </w:r>
                </w:p>
              </w:tc>
            </w:tr>
            <w:tr w14:paraId="757649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trPr>
              <w:tc>
                <w:tcPr>
                  <w:tcW w:w="412" w:type="pct"/>
                  <w:vMerge w:val="continue"/>
                  <w:tcBorders>
                    <w:tl2br w:val="nil"/>
                    <w:tr2bl w:val="nil"/>
                  </w:tcBorders>
                  <w:shd w:val="clear" w:color="auto" w:fill="auto"/>
                  <w:tcMar>
                    <w:top w:w="120" w:type="dxa"/>
                    <w:left w:w="120" w:type="dxa"/>
                    <w:bottom w:w="120" w:type="dxa"/>
                    <w:right w:w="120" w:type="dxa"/>
                  </w:tcMar>
                  <w:vAlign w:val="center"/>
                </w:tcPr>
                <w:p w14:paraId="5D976EF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96" w:type="pct"/>
                  <w:tcBorders>
                    <w:tl2br w:val="nil"/>
                    <w:tr2bl w:val="nil"/>
                  </w:tcBorders>
                  <w:shd w:val="clear" w:color="auto" w:fill="auto"/>
                  <w:tcMar>
                    <w:top w:w="120" w:type="dxa"/>
                    <w:left w:w="120" w:type="dxa"/>
                    <w:bottom w:w="120" w:type="dxa"/>
                    <w:right w:w="120" w:type="dxa"/>
                  </w:tcMar>
                  <w:vAlign w:val="center"/>
                </w:tcPr>
                <w:p w14:paraId="4C0ACE7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出水</w:t>
                  </w:r>
                </w:p>
              </w:tc>
              <w:tc>
                <w:tcPr>
                  <w:tcW w:w="778" w:type="pct"/>
                  <w:tcBorders>
                    <w:tl2br w:val="nil"/>
                    <w:tr2bl w:val="nil"/>
                  </w:tcBorders>
                  <w:shd w:val="clear" w:color="auto" w:fill="auto"/>
                  <w:tcMar>
                    <w:top w:w="120" w:type="dxa"/>
                    <w:left w:w="120" w:type="dxa"/>
                    <w:bottom w:w="120" w:type="dxa"/>
                    <w:right w:w="120" w:type="dxa"/>
                  </w:tcMar>
                  <w:vAlign w:val="center"/>
                </w:tcPr>
                <w:p w14:paraId="66E28EF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475.0</w:t>
                  </w:r>
                </w:p>
              </w:tc>
              <w:tc>
                <w:tcPr>
                  <w:tcW w:w="778" w:type="pct"/>
                  <w:tcBorders>
                    <w:tl2br w:val="nil"/>
                    <w:tr2bl w:val="nil"/>
                  </w:tcBorders>
                  <w:shd w:val="clear" w:color="auto" w:fill="auto"/>
                  <w:tcMar>
                    <w:top w:w="120" w:type="dxa"/>
                    <w:left w:w="120" w:type="dxa"/>
                    <w:bottom w:w="120" w:type="dxa"/>
                    <w:right w:w="120" w:type="dxa"/>
                  </w:tcMar>
                  <w:vAlign w:val="center"/>
                </w:tcPr>
                <w:p w14:paraId="6712450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332.5</w:t>
                  </w:r>
                </w:p>
              </w:tc>
              <w:tc>
                <w:tcPr>
                  <w:tcW w:w="778" w:type="pct"/>
                  <w:tcBorders>
                    <w:tl2br w:val="nil"/>
                    <w:tr2bl w:val="nil"/>
                  </w:tcBorders>
                  <w:shd w:val="clear" w:color="auto" w:fill="auto"/>
                  <w:tcMar>
                    <w:top w:w="120" w:type="dxa"/>
                    <w:left w:w="120" w:type="dxa"/>
                    <w:bottom w:w="120" w:type="dxa"/>
                    <w:right w:w="120" w:type="dxa"/>
                  </w:tcMar>
                  <w:vAlign w:val="center"/>
                </w:tcPr>
                <w:p w14:paraId="79473CD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45.0</w:t>
                  </w:r>
                </w:p>
              </w:tc>
              <w:tc>
                <w:tcPr>
                  <w:tcW w:w="778" w:type="pct"/>
                  <w:tcBorders>
                    <w:tl2br w:val="nil"/>
                    <w:tr2bl w:val="nil"/>
                  </w:tcBorders>
                  <w:shd w:val="clear" w:color="auto" w:fill="auto"/>
                  <w:tcMar>
                    <w:top w:w="120" w:type="dxa"/>
                    <w:left w:w="120" w:type="dxa"/>
                    <w:bottom w:w="120" w:type="dxa"/>
                    <w:right w:w="120" w:type="dxa"/>
                  </w:tcMar>
                  <w:vAlign w:val="center"/>
                </w:tcPr>
                <w:p w14:paraId="5BDA52F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70.0</w:t>
                  </w:r>
                </w:p>
              </w:tc>
              <w:tc>
                <w:tcPr>
                  <w:tcW w:w="778" w:type="pct"/>
                  <w:tcBorders>
                    <w:tl2br w:val="nil"/>
                    <w:tr2bl w:val="nil"/>
                  </w:tcBorders>
                  <w:shd w:val="clear" w:color="auto" w:fill="auto"/>
                  <w:tcMar>
                    <w:top w:w="120" w:type="dxa"/>
                    <w:left w:w="120" w:type="dxa"/>
                    <w:bottom w:w="120" w:type="dxa"/>
                    <w:right w:w="120" w:type="dxa"/>
                  </w:tcMar>
                  <w:vAlign w:val="center"/>
                </w:tcPr>
                <w:p w14:paraId="361016E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8.0</w:t>
                  </w:r>
                </w:p>
              </w:tc>
            </w:tr>
            <w:tr w14:paraId="5178FB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trPr>
              <w:tc>
                <w:tcPr>
                  <w:tcW w:w="412" w:type="pct"/>
                  <w:vMerge w:val="continue"/>
                  <w:tcBorders>
                    <w:tl2br w:val="nil"/>
                    <w:tr2bl w:val="nil"/>
                  </w:tcBorders>
                  <w:shd w:val="clear" w:color="auto" w:fill="auto"/>
                  <w:tcMar>
                    <w:top w:w="120" w:type="dxa"/>
                    <w:left w:w="120" w:type="dxa"/>
                    <w:bottom w:w="120" w:type="dxa"/>
                    <w:right w:w="120" w:type="dxa"/>
                  </w:tcMar>
                  <w:vAlign w:val="center"/>
                </w:tcPr>
                <w:p w14:paraId="47B363E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96" w:type="pct"/>
                  <w:tcBorders>
                    <w:tl2br w:val="nil"/>
                    <w:tr2bl w:val="nil"/>
                  </w:tcBorders>
                  <w:shd w:val="clear" w:color="auto" w:fill="auto"/>
                  <w:tcMar>
                    <w:top w:w="120" w:type="dxa"/>
                    <w:left w:w="120" w:type="dxa"/>
                    <w:bottom w:w="120" w:type="dxa"/>
                    <w:right w:w="120" w:type="dxa"/>
                  </w:tcMar>
                  <w:vAlign w:val="center"/>
                </w:tcPr>
                <w:p w14:paraId="3D35640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去除率（%）</w:t>
                  </w:r>
                </w:p>
              </w:tc>
              <w:tc>
                <w:tcPr>
                  <w:tcW w:w="778" w:type="pct"/>
                  <w:tcBorders>
                    <w:tl2br w:val="nil"/>
                    <w:tr2bl w:val="nil"/>
                  </w:tcBorders>
                  <w:shd w:val="clear" w:color="auto" w:fill="auto"/>
                  <w:tcMar>
                    <w:top w:w="120" w:type="dxa"/>
                    <w:left w:w="120" w:type="dxa"/>
                    <w:bottom w:w="120" w:type="dxa"/>
                    <w:right w:w="120" w:type="dxa"/>
                  </w:tcMar>
                  <w:vAlign w:val="center"/>
                </w:tcPr>
                <w:p w14:paraId="7C0D4A4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5.0</w:t>
                  </w:r>
                </w:p>
              </w:tc>
              <w:tc>
                <w:tcPr>
                  <w:tcW w:w="778" w:type="pct"/>
                  <w:tcBorders>
                    <w:tl2br w:val="nil"/>
                    <w:tr2bl w:val="nil"/>
                  </w:tcBorders>
                  <w:shd w:val="clear" w:color="auto" w:fill="auto"/>
                  <w:tcMar>
                    <w:top w:w="120" w:type="dxa"/>
                    <w:left w:w="120" w:type="dxa"/>
                    <w:bottom w:w="120" w:type="dxa"/>
                    <w:right w:w="120" w:type="dxa"/>
                  </w:tcMar>
                  <w:vAlign w:val="center"/>
                </w:tcPr>
                <w:p w14:paraId="26C6D21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5.0</w:t>
                  </w:r>
                </w:p>
              </w:tc>
              <w:tc>
                <w:tcPr>
                  <w:tcW w:w="778" w:type="pct"/>
                  <w:tcBorders>
                    <w:tl2br w:val="nil"/>
                    <w:tr2bl w:val="nil"/>
                  </w:tcBorders>
                  <w:shd w:val="clear" w:color="auto" w:fill="auto"/>
                  <w:tcMar>
                    <w:top w:w="120" w:type="dxa"/>
                    <w:left w:w="120" w:type="dxa"/>
                    <w:bottom w:w="120" w:type="dxa"/>
                    <w:right w:w="120" w:type="dxa"/>
                  </w:tcMar>
                  <w:vAlign w:val="center"/>
                </w:tcPr>
                <w:p w14:paraId="63A8049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0.0</w:t>
                  </w:r>
                </w:p>
              </w:tc>
              <w:tc>
                <w:tcPr>
                  <w:tcW w:w="778" w:type="pct"/>
                  <w:tcBorders>
                    <w:tl2br w:val="nil"/>
                    <w:tr2bl w:val="nil"/>
                  </w:tcBorders>
                  <w:shd w:val="clear" w:color="auto" w:fill="auto"/>
                  <w:tcMar>
                    <w:top w:w="120" w:type="dxa"/>
                    <w:left w:w="120" w:type="dxa"/>
                    <w:bottom w:w="120" w:type="dxa"/>
                    <w:right w:w="120" w:type="dxa"/>
                  </w:tcMar>
                  <w:vAlign w:val="center"/>
                </w:tcPr>
                <w:p w14:paraId="220AE3F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0.0</w:t>
                  </w:r>
                </w:p>
              </w:tc>
              <w:tc>
                <w:tcPr>
                  <w:tcW w:w="778" w:type="pct"/>
                  <w:tcBorders>
                    <w:tl2br w:val="nil"/>
                    <w:tr2bl w:val="nil"/>
                  </w:tcBorders>
                  <w:shd w:val="clear" w:color="auto" w:fill="auto"/>
                  <w:tcMar>
                    <w:top w:w="120" w:type="dxa"/>
                    <w:left w:w="120" w:type="dxa"/>
                    <w:bottom w:w="120" w:type="dxa"/>
                    <w:right w:w="120" w:type="dxa"/>
                  </w:tcMar>
                  <w:vAlign w:val="center"/>
                </w:tcPr>
                <w:p w14:paraId="2A093D7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0.0</w:t>
                  </w:r>
                </w:p>
              </w:tc>
            </w:tr>
            <w:tr w14:paraId="7EAEA2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trPr>
              <w:tc>
                <w:tcPr>
                  <w:tcW w:w="412" w:type="pct"/>
                  <w:vMerge w:val="restart"/>
                  <w:tcBorders>
                    <w:tl2br w:val="nil"/>
                    <w:tr2bl w:val="nil"/>
                  </w:tcBorders>
                  <w:shd w:val="clear" w:color="auto" w:fill="auto"/>
                  <w:tcMar>
                    <w:top w:w="120" w:type="dxa"/>
                    <w:left w:w="120" w:type="dxa"/>
                    <w:bottom w:w="120" w:type="dxa"/>
                    <w:right w:w="120" w:type="dxa"/>
                  </w:tcMar>
                  <w:vAlign w:val="center"/>
                </w:tcPr>
                <w:p w14:paraId="7985E01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厌氧池</w:t>
                  </w:r>
                </w:p>
              </w:tc>
              <w:tc>
                <w:tcPr>
                  <w:tcW w:w="696" w:type="pct"/>
                  <w:tcBorders>
                    <w:tl2br w:val="nil"/>
                    <w:tr2bl w:val="nil"/>
                  </w:tcBorders>
                  <w:shd w:val="clear" w:color="auto" w:fill="auto"/>
                  <w:tcMar>
                    <w:top w:w="120" w:type="dxa"/>
                    <w:left w:w="120" w:type="dxa"/>
                    <w:bottom w:w="120" w:type="dxa"/>
                    <w:right w:w="120" w:type="dxa"/>
                  </w:tcMar>
                  <w:vAlign w:val="center"/>
                </w:tcPr>
                <w:p w14:paraId="19934A7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进水</w:t>
                  </w:r>
                </w:p>
              </w:tc>
              <w:tc>
                <w:tcPr>
                  <w:tcW w:w="778" w:type="pct"/>
                  <w:tcBorders>
                    <w:tl2br w:val="nil"/>
                    <w:tr2bl w:val="nil"/>
                  </w:tcBorders>
                  <w:shd w:val="clear" w:color="auto" w:fill="auto"/>
                  <w:tcMar>
                    <w:top w:w="120" w:type="dxa"/>
                    <w:left w:w="120" w:type="dxa"/>
                    <w:bottom w:w="120" w:type="dxa"/>
                    <w:right w:w="120" w:type="dxa"/>
                  </w:tcMar>
                  <w:vAlign w:val="center"/>
                </w:tcPr>
                <w:p w14:paraId="66489CE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475.0</w:t>
                  </w:r>
                </w:p>
              </w:tc>
              <w:tc>
                <w:tcPr>
                  <w:tcW w:w="778" w:type="pct"/>
                  <w:tcBorders>
                    <w:tl2br w:val="nil"/>
                    <w:tr2bl w:val="nil"/>
                  </w:tcBorders>
                  <w:shd w:val="clear" w:color="auto" w:fill="auto"/>
                  <w:tcMar>
                    <w:top w:w="120" w:type="dxa"/>
                    <w:left w:w="120" w:type="dxa"/>
                    <w:bottom w:w="120" w:type="dxa"/>
                    <w:right w:w="120" w:type="dxa"/>
                  </w:tcMar>
                  <w:vAlign w:val="center"/>
                </w:tcPr>
                <w:p w14:paraId="117EBB9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332.5</w:t>
                  </w:r>
                </w:p>
              </w:tc>
              <w:tc>
                <w:tcPr>
                  <w:tcW w:w="778" w:type="pct"/>
                  <w:tcBorders>
                    <w:tl2br w:val="nil"/>
                    <w:tr2bl w:val="nil"/>
                  </w:tcBorders>
                  <w:shd w:val="clear" w:color="auto" w:fill="auto"/>
                  <w:tcMar>
                    <w:top w:w="120" w:type="dxa"/>
                    <w:left w:w="120" w:type="dxa"/>
                    <w:bottom w:w="120" w:type="dxa"/>
                    <w:right w:w="120" w:type="dxa"/>
                  </w:tcMar>
                  <w:vAlign w:val="center"/>
                </w:tcPr>
                <w:p w14:paraId="280268F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45.0</w:t>
                  </w:r>
                </w:p>
              </w:tc>
              <w:tc>
                <w:tcPr>
                  <w:tcW w:w="778" w:type="pct"/>
                  <w:tcBorders>
                    <w:tl2br w:val="nil"/>
                    <w:tr2bl w:val="nil"/>
                  </w:tcBorders>
                  <w:shd w:val="clear" w:color="auto" w:fill="auto"/>
                  <w:tcMar>
                    <w:top w:w="120" w:type="dxa"/>
                    <w:left w:w="120" w:type="dxa"/>
                    <w:bottom w:w="120" w:type="dxa"/>
                    <w:right w:w="120" w:type="dxa"/>
                  </w:tcMar>
                  <w:vAlign w:val="center"/>
                </w:tcPr>
                <w:p w14:paraId="25BAAAC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70.0</w:t>
                  </w:r>
                </w:p>
              </w:tc>
              <w:tc>
                <w:tcPr>
                  <w:tcW w:w="778" w:type="pct"/>
                  <w:tcBorders>
                    <w:tl2br w:val="nil"/>
                    <w:tr2bl w:val="nil"/>
                  </w:tcBorders>
                  <w:shd w:val="clear" w:color="auto" w:fill="auto"/>
                  <w:tcMar>
                    <w:top w:w="120" w:type="dxa"/>
                    <w:left w:w="120" w:type="dxa"/>
                    <w:bottom w:w="120" w:type="dxa"/>
                    <w:right w:w="120" w:type="dxa"/>
                  </w:tcMar>
                  <w:vAlign w:val="center"/>
                </w:tcPr>
                <w:p w14:paraId="6291CF7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8.0</w:t>
                  </w:r>
                </w:p>
              </w:tc>
            </w:tr>
            <w:tr w14:paraId="2A3ED6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trPr>
              <w:tc>
                <w:tcPr>
                  <w:tcW w:w="412" w:type="pct"/>
                  <w:vMerge w:val="continue"/>
                  <w:tcBorders>
                    <w:tl2br w:val="nil"/>
                    <w:tr2bl w:val="nil"/>
                  </w:tcBorders>
                  <w:shd w:val="clear" w:color="auto" w:fill="auto"/>
                  <w:tcMar>
                    <w:top w:w="120" w:type="dxa"/>
                    <w:left w:w="120" w:type="dxa"/>
                    <w:bottom w:w="120" w:type="dxa"/>
                    <w:right w:w="120" w:type="dxa"/>
                  </w:tcMar>
                  <w:vAlign w:val="center"/>
                </w:tcPr>
                <w:p w14:paraId="4C420581">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96" w:type="pct"/>
                  <w:tcBorders>
                    <w:tl2br w:val="nil"/>
                    <w:tr2bl w:val="nil"/>
                  </w:tcBorders>
                  <w:shd w:val="clear" w:color="auto" w:fill="auto"/>
                  <w:tcMar>
                    <w:top w:w="120" w:type="dxa"/>
                    <w:left w:w="120" w:type="dxa"/>
                    <w:bottom w:w="120" w:type="dxa"/>
                    <w:right w:w="120" w:type="dxa"/>
                  </w:tcMar>
                  <w:vAlign w:val="center"/>
                </w:tcPr>
                <w:p w14:paraId="46902EF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出水</w:t>
                  </w:r>
                </w:p>
              </w:tc>
              <w:tc>
                <w:tcPr>
                  <w:tcW w:w="778" w:type="pct"/>
                  <w:tcBorders>
                    <w:tl2br w:val="nil"/>
                    <w:tr2bl w:val="nil"/>
                  </w:tcBorders>
                  <w:shd w:val="clear" w:color="auto" w:fill="auto"/>
                  <w:tcMar>
                    <w:top w:w="120" w:type="dxa"/>
                    <w:left w:w="120" w:type="dxa"/>
                    <w:bottom w:w="120" w:type="dxa"/>
                    <w:right w:w="120" w:type="dxa"/>
                  </w:tcMar>
                  <w:vAlign w:val="center"/>
                </w:tcPr>
                <w:p w14:paraId="144741C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427.5</w:t>
                  </w:r>
                </w:p>
              </w:tc>
              <w:tc>
                <w:tcPr>
                  <w:tcW w:w="778" w:type="pct"/>
                  <w:tcBorders>
                    <w:tl2br w:val="nil"/>
                    <w:tr2bl w:val="nil"/>
                  </w:tcBorders>
                  <w:shd w:val="clear" w:color="auto" w:fill="auto"/>
                  <w:tcMar>
                    <w:top w:w="120" w:type="dxa"/>
                    <w:left w:w="120" w:type="dxa"/>
                    <w:bottom w:w="120" w:type="dxa"/>
                    <w:right w:w="120" w:type="dxa"/>
                  </w:tcMar>
                  <w:vAlign w:val="center"/>
                </w:tcPr>
                <w:p w14:paraId="4D6ECF5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299.25</w:t>
                  </w:r>
                </w:p>
              </w:tc>
              <w:tc>
                <w:tcPr>
                  <w:tcW w:w="778" w:type="pct"/>
                  <w:tcBorders>
                    <w:tl2br w:val="nil"/>
                    <w:tr2bl w:val="nil"/>
                  </w:tcBorders>
                  <w:shd w:val="clear" w:color="auto" w:fill="auto"/>
                  <w:tcMar>
                    <w:top w:w="120" w:type="dxa"/>
                    <w:left w:w="120" w:type="dxa"/>
                    <w:bottom w:w="120" w:type="dxa"/>
                    <w:right w:w="120" w:type="dxa"/>
                  </w:tcMar>
                  <w:vAlign w:val="center"/>
                </w:tcPr>
                <w:p w14:paraId="1E3D8E5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45.0</w:t>
                  </w:r>
                </w:p>
              </w:tc>
              <w:tc>
                <w:tcPr>
                  <w:tcW w:w="778" w:type="pct"/>
                  <w:tcBorders>
                    <w:tl2br w:val="nil"/>
                    <w:tr2bl w:val="nil"/>
                  </w:tcBorders>
                  <w:shd w:val="clear" w:color="auto" w:fill="auto"/>
                  <w:tcMar>
                    <w:top w:w="120" w:type="dxa"/>
                    <w:left w:w="120" w:type="dxa"/>
                    <w:bottom w:w="120" w:type="dxa"/>
                    <w:right w:w="120" w:type="dxa"/>
                  </w:tcMar>
                  <w:vAlign w:val="center"/>
                </w:tcPr>
                <w:p w14:paraId="52BD78D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70.0</w:t>
                  </w:r>
                </w:p>
              </w:tc>
              <w:tc>
                <w:tcPr>
                  <w:tcW w:w="778" w:type="pct"/>
                  <w:tcBorders>
                    <w:tl2br w:val="nil"/>
                    <w:tr2bl w:val="nil"/>
                  </w:tcBorders>
                  <w:shd w:val="clear" w:color="auto" w:fill="auto"/>
                  <w:tcMar>
                    <w:top w:w="120" w:type="dxa"/>
                    <w:left w:w="120" w:type="dxa"/>
                    <w:bottom w:w="120" w:type="dxa"/>
                    <w:right w:w="120" w:type="dxa"/>
                  </w:tcMar>
                  <w:vAlign w:val="center"/>
                </w:tcPr>
                <w:p w14:paraId="6BFE510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5.6</w:t>
                  </w:r>
                </w:p>
              </w:tc>
            </w:tr>
            <w:tr w14:paraId="38E2D1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trPr>
              <w:tc>
                <w:tcPr>
                  <w:tcW w:w="412" w:type="pct"/>
                  <w:vMerge w:val="continue"/>
                  <w:tcBorders>
                    <w:tl2br w:val="nil"/>
                    <w:tr2bl w:val="nil"/>
                  </w:tcBorders>
                  <w:shd w:val="clear" w:color="auto" w:fill="auto"/>
                  <w:tcMar>
                    <w:top w:w="120" w:type="dxa"/>
                    <w:left w:w="120" w:type="dxa"/>
                    <w:bottom w:w="120" w:type="dxa"/>
                    <w:right w:w="120" w:type="dxa"/>
                  </w:tcMar>
                  <w:vAlign w:val="center"/>
                </w:tcPr>
                <w:p w14:paraId="272BA3DE">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96" w:type="pct"/>
                  <w:tcBorders>
                    <w:tl2br w:val="nil"/>
                    <w:tr2bl w:val="nil"/>
                  </w:tcBorders>
                  <w:shd w:val="clear" w:color="auto" w:fill="auto"/>
                  <w:tcMar>
                    <w:top w:w="120" w:type="dxa"/>
                    <w:left w:w="120" w:type="dxa"/>
                    <w:bottom w:w="120" w:type="dxa"/>
                    <w:right w:w="120" w:type="dxa"/>
                  </w:tcMar>
                  <w:vAlign w:val="center"/>
                </w:tcPr>
                <w:p w14:paraId="0B81E96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去除率（%）</w:t>
                  </w:r>
                </w:p>
              </w:tc>
              <w:tc>
                <w:tcPr>
                  <w:tcW w:w="778" w:type="pct"/>
                  <w:tcBorders>
                    <w:tl2br w:val="nil"/>
                    <w:tr2bl w:val="nil"/>
                  </w:tcBorders>
                  <w:shd w:val="clear" w:color="auto" w:fill="auto"/>
                  <w:tcMar>
                    <w:top w:w="120" w:type="dxa"/>
                    <w:left w:w="120" w:type="dxa"/>
                    <w:bottom w:w="120" w:type="dxa"/>
                    <w:right w:w="120" w:type="dxa"/>
                  </w:tcMar>
                  <w:vAlign w:val="center"/>
                </w:tcPr>
                <w:p w14:paraId="45E9E40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10.0</w:t>
                  </w:r>
                </w:p>
              </w:tc>
              <w:tc>
                <w:tcPr>
                  <w:tcW w:w="778" w:type="pct"/>
                  <w:tcBorders>
                    <w:tl2br w:val="nil"/>
                    <w:tr2bl w:val="nil"/>
                  </w:tcBorders>
                  <w:shd w:val="clear" w:color="auto" w:fill="auto"/>
                  <w:tcMar>
                    <w:top w:w="120" w:type="dxa"/>
                    <w:left w:w="120" w:type="dxa"/>
                    <w:bottom w:w="120" w:type="dxa"/>
                    <w:right w:w="120" w:type="dxa"/>
                  </w:tcMar>
                  <w:vAlign w:val="center"/>
                </w:tcPr>
                <w:p w14:paraId="085A5AB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10.0</w:t>
                  </w:r>
                </w:p>
              </w:tc>
              <w:tc>
                <w:tcPr>
                  <w:tcW w:w="778" w:type="pct"/>
                  <w:tcBorders>
                    <w:tl2br w:val="nil"/>
                    <w:tr2bl w:val="nil"/>
                  </w:tcBorders>
                  <w:shd w:val="clear" w:color="auto" w:fill="auto"/>
                  <w:tcMar>
                    <w:top w:w="120" w:type="dxa"/>
                    <w:left w:w="120" w:type="dxa"/>
                    <w:bottom w:w="120" w:type="dxa"/>
                    <w:right w:w="120" w:type="dxa"/>
                  </w:tcMar>
                  <w:vAlign w:val="center"/>
                </w:tcPr>
                <w:p w14:paraId="5BAEFDF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0.0</w:t>
                  </w:r>
                </w:p>
              </w:tc>
              <w:tc>
                <w:tcPr>
                  <w:tcW w:w="778" w:type="pct"/>
                  <w:tcBorders>
                    <w:tl2br w:val="nil"/>
                    <w:tr2bl w:val="nil"/>
                  </w:tcBorders>
                  <w:shd w:val="clear" w:color="auto" w:fill="auto"/>
                  <w:tcMar>
                    <w:top w:w="120" w:type="dxa"/>
                    <w:left w:w="120" w:type="dxa"/>
                    <w:bottom w:w="120" w:type="dxa"/>
                    <w:right w:w="120" w:type="dxa"/>
                  </w:tcMar>
                  <w:vAlign w:val="center"/>
                </w:tcPr>
                <w:p w14:paraId="198115E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0.0</w:t>
                  </w:r>
                </w:p>
              </w:tc>
              <w:tc>
                <w:tcPr>
                  <w:tcW w:w="778" w:type="pct"/>
                  <w:tcBorders>
                    <w:tl2br w:val="nil"/>
                    <w:tr2bl w:val="nil"/>
                  </w:tcBorders>
                  <w:shd w:val="clear" w:color="auto" w:fill="auto"/>
                  <w:tcMar>
                    <w:top w:w="120" w:type="dxa"/>
                    <w:left w:w="120" w:type="dxa"/>
                    <w:bottom w:w="120" w:type="dxa"/>
                    <w:right w:w="120" w:type="dxa"/>
                  </w:tcMar>
                  <w:vAlign w:val="center"/>
                </w:tcPr>
                <w:p w14:paraId="70C22EE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30.0</w:t>
                  </w:r>
                </w:p>
              </w:tc>
            </w:tr>
            <w:tr w14:paraId="7656A6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trPr>
              <w:tc>
                <w:tcPr>
                  <w:tcW w:w="412" w:type="pct"/>
                  <w:vMerge w:val="restart"/>
                  <w:tcBorders>
                    <w:tl2br w:val="nil"/>
                    <w:tr2bl w:val="nil"/>
                  </w:tcBorders>
                  <w:shd w:val="clear" w:color="auto" w:fill="auto"/>
                  <w:tcMar>
                    <w:top w:w="120" w:type="dxa"/>
                    <w:left w:w="120" w:type="dxa"/>
                    <w:bottom w:w="120" w:type="dxa"/>
                    <w:right w:w="120" w:type="dxa"/>
                  </w:tcMar>
                  <w:vAlign w:val="center"/>
                </w:tcPr>
                <w:p w14:paraId="1C52B89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缺氧池</w:t>
                  </w:r>
                </w:p>
              </w:tc>
              <w:tc>
                <w:tcPr>
                  <w:tcW w:w="696" w:type="pct"/>
                  <w:tcBorders>
                    <w:tl2br w:val="nil"/>
                    <w:tr2bl w:val="nil"/>
                  </w:tcBorders>
                  <w:shd w:val="clear" w:color="auto" w:fill="auto"/>
                  <w:tcMar>
                    <w:top w:w="120" w:type="dxa"/>
                    <w:left w:w="120" w:type="dxa"/>
                    <w:bottom w:w="120" w:type="dxa"/>
                    <w:right w:w="120" w:type="dxa"/>
                  </w:tcMar>
                  <w:vAlign w:val="center"/>
                </w:tcPr>
                <w:p w14:paraId="148BC75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进水</w:t>
                  </w:r>
                </w:p>
              </w:tc>
              <w:tc>
                <w:tcPr>
                  <w:tcW w:w="778" w:type="pct"/>
                  <w:tcBorders>
                    <w:tl2br w:val="nil"/>
                    <w:tr2bl w:val="nil"/>
                  </w:tcBorders>
                  <w:shd w:val="clear" w:color="auto" w:fill="auto"/>
                  <w:tcMar>
                    <w:top w:w="120" w:type="dxa"/>
                    <w:left w:w="120" w:type="dxa"/>
                    <w:bottom w:w="120" w:type="dxa"/>
                    <w:right w:w="120" w:type="dxa"/>
                  </w:tcMar>
                  <w:vAlign w:val="center"/>
                </w:tcPr>
                <w:p w14:paraId="5C66C47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427.5</w:t>
                  </w:r>
                </w:p>
              </w:tc>
              <w:tc>
                <w:tcPr>
                  <w:tcW w:w="778" w:type="pct"/>
                  <w:tcBorders>
                    <w:tl2br w:val="nil"/>
                    <w:tr2bl w:val="nil"/>
                  </w:tcBorders>
                  <w:shd w:val="clear" w:color="auto" w:fill="auto"/>
                  <w:tcMar>
                    <w:top w:w="120" w:type="dxa"/>
                    <w:left w:w="120" w:type="dxa"/>
                    <w:bottom w:w="120" w:type="dxa"/>
                    <w:right w:w="120" w:type="dxa"/>
                  </w:tcMar>
                  <w:vAlign w:val="center"/>
                </w:tcPr>
                <w:p w14:paraId="7D80E0A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299.25</w:t>
                  </w:r>
                </w:p>
              </w:tc>
              <w:tc>
                <w:tcPr>
                  <w:tcW w:w="778" w:type="pct"/>
                  <w:tcBorders>
                    <w:tl2br w:val="nil"/>
                    <w:tr2bl w:val="nil"/>
                  </w:tcBorders>
                  <w:shd w:val="clear" w:color="auto" w:fill="auto"/>
                  <w:tcMar>
                    <w:top w:w="120" w:type="dxa"/>
                    <w:left w:w="120" w:type="dxa"/>
                    <w:bottom w:w="120" w:type="dxa"/>
                    <w:right w:w="120" w:type="dxa"/>
                  </w:tcMar>
                  <w:vAlign w:val="center"/>
                </w:tcPr>
                <w:p w14:paraId="7E48B98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45.0</w:t>
                  </w:r>
                </w:p>
              </w:tc>
              <w:tc>
                <w:tcPr>
                  <w:tcW w:w="778" w:type="pct"/>
                  <w:tcBorders>
                    <w:tl2br w:val="nil"/>
                    <w:tr2bl w:val="nil"/>
                  </w:tcBorders>
                  <w:shd w:val="clear" w:color="auto" w:fill="auto"/>
                  <w:tcMar>
                    <w:top w:w="120" w:type="dxa"/>
                    <w:left w:w="120" w:type="dxa"/>
                    <w:bottom w:w="120" w:type="dxa"/>
                    <w:right w:w="120" w:type="dxa"/>
                  </w:tcMar>
                  <w:vAlign w:val="center"/>
                </w:tcPr>
                <w:p w14:paraId="1C54808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70.0</w:t>
                  </w:r>
                </w:p>
              </w:tc>
              <w:tc>
                <w:tcPr>
                  <w:tcW w:w="778" w:type="pct"/>
                  <w:tcBorders>
                    <w:tl2br w:val="nil"/>
                    <w:tr2bl w:val="nil"/>
                  </w:tcBorders>
                  <w:shd w:val="clear" w:color="auto" w:fill="auto"/>
                  <w:tcMar>
                    <w:top w:w="120" w:type="dxa"/>
                    <w:left w:w="120" w:type="dxa"/>
                    <w:bottom w:w="120" w:type="dxa"/>
                    <w:right w:w="120" w:type="dxa"/>
                  </w:tcMar>
                  <w:vAlign w:val="center"/>
                </w:tcPr>
                <w:p w14:paraId="513A5B2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5.6</w:t>
                  </w:r>
                </w:p>
              </w:tc>
            </w:tr>
            <w:tr w14:paraId="597B16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trPr>
              <w:tc>
                <w:tcPr>
                  <w:tcW w:w="412" w:type="pct"/>
                  <w:vMerge w:val="continue"/>
                  <w:tcBorders>
                    <w:tl2br w:val="nil"/>
                    <w:tr2bl w:val="nil"/>
                  </w:tcBorders>
                  <w:shd w:val="clear" w:color="auto" w:fill="auto"/>
                  <w:tcMar>
                    <w:top w:w="120" w:type="dxa"/>
                    <w:left w:w="120" w:type="dxa"/>
                    <w:bottom w:w="120" w:type="dxa"/>
                    <w:right w:w="120" w:type="dxa"/>
                  </w:tcMar>
                  <w:vAlign w:val="center"/>
                </w:tcPr>
                <w:p w14:paraId="056465B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96" w:type="pct"/>
                  <w:tcBorders>
                    <w:tl2br w:val="nil"/>
                    <w:tr2bl w:val="nil"/>
                  </w:tcBorders>
                  <w:shd w:val="clear" w:color="auto" w:fill="auto"/>
                  <w:tcMar>
                    <w:top w:w="120" w:type="dxa"/>
                    <w:left w:w="120" w:type="dxa"/>
                    <w:bottom w:w="120" w:type="dxa"/>
                    <w:right w:w="120" w:type="dxa"/>
                  </w:tcMar>
                  <w:vAlign w:val="center"/>
                </w:tcPr>
                <w:p w14:paraId="09A214E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出水</w:t>
                  </w:r>
                </w:p>
              </w:tc>
              <w:tc>
                <w:tcPr>
                  <w:tcW w:w="778" w:type="pct"/>
                  <w:tcBorders>
                    <w:tl2br w:val="nil"/>
                    <w:tr2bl w:val="nil"/>
                  </w:tcBorders>
                  <w:shd w:val="clear" w:color="auto" w:fill="auto"/>
                  <w:tcMar>
                    <w:top w:w="120" w:type="dxa"/>
                    <w:left w:w="120" w:type="dxa"/>
                    <w:bottom w:w="120" w:type="dxa"/>
                    <w:right w:w="120" w:type="dxa"/>
                  </w:tcMar>
                  <w:vAlign w:val="center"/>
                </w:tcPr>
                <w:p w14:paraId="1D84A7F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342.0</w:t>
                  </w:r>
                </w:p>
              </w:tc>
              <w:tc>
                <w:tcPr>
                  <w:tcW w:w="778" w:type="pct"/>
                  <w:tcBorders>
                    <w:tl2br w:val="nil"/>
                    <w:tr2bl w:val="nil"/>
                  </w:tcBorders>
                  <w:shd w:val="clear" w:color="auto" w:fill="auto"/>
                  <w:tcMar>
                    <w:top w:w="120" w:type="dxa"/>
                    <w:left w:w="120" w:type="dxa"/>
                    <w:bottom w:w="120" w:type="dxa"/>
                    <w:right w:w="120" w:type="dxa"/>
                  </w:tcMar>
                  <w:vAlign w:val="center"/>
                </w:tcPr>
                <w:p w14:paraId="0896436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209.48</w:t>
                  </w:r>
                </w:p>
              </w:tc>
              <w:tc>
                <w:tcPr>
                  <w:tcW w:w="778" w:type="pct"/>
                  <w:tcBorders>
                    <w:tl2br w:val="nil"/>
                    <w:tr2bl w:val="nil"/>
                  </w:tcBorders>
                  <w:shd w:val="clear" w:color="auto" w:fill="auto"/>
                  <w:tcMar>
                    <w:top w:w="120" w:type="dxa"/>
                    <w:left w:w="120" w:type="dxa"/>
                    <w:bottom w:w="120" w:type="dxa"/>
                    <w:right w:w="120" w:type="dxa"/>
                  </w:tcMar>
                  <w:vAlign w:val="center"/>
                </w:tcPr>
                <w:p w14:paraId="747671F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45.0</w:t>
                  </w:r>
                </w:p>
              </w:tc>
              <w:tc>
                <w:tcPr>
                  <w:tcW w:w="778" w:type="pct"/>
                  <w:tcBorders>
                    <w:tl2br w:val="nil"/>
                    <w:tr2bl w:val="nil"/>
                  </w:tcBorders>
                  <w:shd w:val="clear" w:color="auto" w:fill="auto"/>
                  <w:tcMar>
                    <w:top w:w="120" w:type="dxa"/>
                    <w:left w:w="120" w:type="dxa"/>
                    <w:bottom w:w="120" w:type="dxa"/>
                    <w:right w:w="120" w:type="dxa"/>
                  </w:tcMar>
                  <w:vAlign w:val="center"/>
                </w:tcPr>
                <w:p w14:paraId="7A1C824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49.0</w:t>
                  </w:r>
                </w:p>
              </w:tc>
              <w:tc>
                <w:tcPr>
                  <w:tcW w:w="778" w:type="pct"/>
                  <w:tcBorders>
                    <w:tl2br w:val="nil"/>
                    <w:tr2bl w:val="nil"/>
                  </w:tcBorders>
                  <w:shd w:val="clear" w:color="auto" w:fill="auto"/>
                  <w:tcMar>
                    <w:top w:w="120" w:type="dxa"/>
                    <w:left w:w="120" w:type="dxa"/>
                    <w:bottom w:w="120" w:type="dxa"/>
                    <w:right w:w="120" w:type="dxa"/>
                  </w:tcMar>
                  <w:vAlign w:val="center"/>
                </w:tcPr>
                <w:p w14:paraId="7A75BB4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4.9</w:t>
                  </w:r>
                </w:p>
              </w:tc>
            </w:tr>
            <w:tr w14:paraId="755F5E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trPr>
              <w:tc>
                <w:tcPr>
                  <w:tcW w:w="412" w:type="pct"/>
                  <w:vMerge w:val="continue"/>
                  <w:tcBorders>
                    <w:tl2br w:val="nil"/>
                    <w:tr2bl w:val="nil"/>
                  </w:tcBorders>
                  <w:shd w:val="clear" w:color="auto" w:fill="auto"/>
                  <w:tcMar>
                    <w:top w:w="120" w:type="dxa"/>
                    <w:left w:w="120" w:type="dxa"/>
                    <w:bottom w:w="120" w:type="dxa"/>
                    <w:right w:w="120" w:type="dxa"/>
                  </w:tcMar>
                  <w:vAlign w:val="center"/>
                </w:tcPr>
                <w:p w14:paraId="0DC0ECE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96" w:type="pct"/>
                  <w:tcBorders>
                    <w:tl2br w:val="nil"/>
                    <w:tr2bl w:val="nil"/>
                  </w:tcBorders>
                  <w:shd w:val="clear" w:color="auto" w:fill="auto"/>
                  <w:tcMar>
                    <w:top w:w="120" w:type="dxa"/>
                    <w:left w:w="120" w:type="dxa"/>
                    <w:bottom w:w="120" w:type="dxa"/>
                    <w:right w:w="120" w:type="dxa"/>
                  </w:tcMar>
                  <w:vAlign w:val="center"/>
                </w:tcPr>
                <w:p w14:paraId="6942ADD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去除率（%）</w:t>
                  </w:r>
                </w:p>
              </w:tc>
              <w:tc>
                <w:tcPr>
                  <w:tcW w:w="778" w:type="pct"/>
                  <w:tcBorders>
                    <w:tl2br w:val="nil"/>
                    <w:tr2bl w:val="nil"/>
                  </w:tcBorders>
                  <w:shd w:val="clear" w:color="auto" w:fill="auto"/>
                  <w:tcMar>
                    <w:top w:w="120" w:type="dxa"/>
                    <w:left w:w="120" w:type="dxa"/>
                    <w:bottom w:w="120" w:type="dxa"/>
                    <w:right w:w="120" w:type="dxa"/>
                  </w:tcMar>
                  <w:vAlign w:val="center"/>
                </w:tcPr>
                <w:p w14:paraId="388FC3B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20.0</w:t>
                  </w:r>
                </w:p>
              </w:tc>
              <w:tc>
                <w:tcPr>
                  <w:tcW w:w="778" w:type="pct"/>
                  <w:tcBorders>
                    <w:tl2br w:val="nil"/>
                    <w:tr2bl w:val="nil"/>
                  </w:tcBorders>
                  <w:shd w:val="clear" w:color="auto" w:fill="auto"/>
                  <w:tcMar>
                    <w:top w:w="120" w:type="dxa"/>
                    <w:left w:w="120" w:type="dxa"/>
                    <w:bottom w:w="120" w:type="dxa"/>
                    <w:right w:w="120" w:type="dxa"/>
                  </w:tcMar>
                  <w:vAlign w:val="center"/>
                </w:tcPr>
                <w:p w14:paraId="48FB9FB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30.0</w:t>
                  </w:r>
                </w:p>
              </w:tc>
              <w:tc>
                <w:tcPr>
                  <w:tcW w:w="778" w:type="pct"/>
                  <w:tcBorders>
                    <w:tl2br w:val="nil"/>
                    <w:tr2bl w:val="nil"/>
                  </w:tcBorders>
                  <w:shd w:val="clear" w:color="auto" w:fill="auto"/>
                  <w:tcMar>
                    <w:top w:w="120" w:type="dxa"/>
                    <w:left w:w="120" w:type="dxa"/>
                    <w:bottom w:w="120" w:type="dxa"/>
                    <w:right w:w="120" w:type="dxa"/>
                  </w:tcMar>
                  <w:vAlign w:val="center"/>
                </w:tcPr>
                <w:p w14:paraId="6081B5A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0.0</w:t>
                  </w:r>
                </w:p>
              </w:tc>
              <w:tc>
                <w:tcPr>
                  <w:tcW w:w="778" w:type="pct"/>
                  <w:tcBorders>
                    <w:tl2br w:val="nil"/>
                    <w:tr2bl w:val="nil"/>
                  </w:tcBorders>
                  <w:shd w:val="clear" w:color="auto" w:fill="auto"/>
                  <w:tcMar>
                    <w:top w:w="120" w:type="dxa"/>
                    <w:left w:w="120" w:type="dxa"/>
                    <w:bottom w:w="120" w:type="dxa"/>
                    <w:right w:w="120" w:type="dxa"/>
                  </w:tcMar>
                  <w:vAlign w:val="center"/>
                </w:tcPr>
                <w:p w14:paraId="4C87B9D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30.0</w:t>
                  </w:r>
                </w:p>
              </w:tc>
              <w:tc>
                <w:tcPr>
                  <w:tcW w:w="778" w:type="pct"/>
                  <w:tcBorders>
                    <w:tl2br w:val="nil"/>
                    <w:tr2bl w:val="nil"/>
                  </w:tcBorders>
                  <w:shd w:val="clear" w:color="auto" w:fill="auto"/>
                  <w:tcMar>
                    <w:top w:w="120" w:type="dxa"/>
                    <w:left w:w="120" w:type="dxa"/>
                    <w:bottom w:w="120" w:type="dxa"/>
                    <w:right w:w="120" w:type="dxa"/>
                  </w:tcMar>
                  <w:vAlign w:val="center"/>
                </w:tcPr>
                <w:p w14:paraId="511433C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12.5</w:t>
                  </w:r>
                </w:p>
              </w:tc>
            </w:tr>
            <w:tr w14:paraId="7BAFE5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trPr>
              <w:tc>
                <w:tcPr>
                  <w:tcW w:w="412" w:type="pct"/>
                  <w:vMerge w:val="restart"/>
                  <w:tcBorders>
                    <w:tl2br w:val="nil"/>
                    <w:tr2bl w:val="nil"/>
                  </w:tcBorders>
                  <w:shd w:val="clear" w:color="auto" w:fill="auto"/>
                  <w:tcMar>
                    <w:top w:w="120" w:type="dxa"/>
                    <w:left w:w="120" w:type="dxa"/>
                    <w:bottom w:w="120" w:type="dxa"/>
                    <w:right w:w="120" w:type="dxa"/>
                  </w:tcMar>
                  <w:vAlign w:val="center"/>
                </w:tcPr>
                <w:p w14:paraId="5A5D436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好氧池</w:t>
                  </w:r>
                </w:p>
              </w:tc>
              <w:tc>
                <w:tcPr>
                  <w:tcW w:w="696" w:type="pct"/>
                  <w:tcBorders>
                    <w:tl2br w:val="nil"/>
                    <w:tr2bl w:val="nil"/>
                  </w:tcBorders>
                  <w:shd w:val="clear" w:color="auto" w:fill="auto"/>
                  <w:tcMar>
                    <w:top w:w="120" w:type="dxa"/>
                    <w:left w:w="120" w:type="dxa"/>
                    <w:bottom w:w="120" w:type="dxa"/>
                    <w:right w:w="120" w:type="dxa"/>
                  </w:tcMar>
                  <w:vAlign w:val="center"/>
                </w:tcPr>
                <w:p w14:paraId="19C1588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进水</w:t>
                  </w:r>
                </w:p>
              </w:tc>
              <w:tc>
                <w:tcPr>
                  <w:tcW w:w="778" w:type="pct"/>
                  <w:tcBorders>
                    <w:tl2br w:val="nil"/>
                    <w:tr2bl w:val="nil"/>
                  </w:tcBorders>
                  <w:shd w:val="clear" w:color="auto" w:fill="auto"/>
                  <w:tcMar>
                    <w:top w:w="120" w:type="dxa"/>
                    <w:left w:w="120" w:type="dxa"/>
                    <w:bottom w:w="120" w:type="dxa"/>
                    <w:right w:w="120" w:type="dxa"/>
                  </w:tcMar>
                  <w:vAlign w:val="center"/>
                </w:tcPr>
                <w:p w14:paraId="18929FF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342.0</w:t>
                  </w:r>
                </w:p>
              </w:tc>
              <w:tc>
                <w:tcPr>
                  <w:tcW w:w="778" w:type="pct"/>
                  <w:tcBorders>
                    <w:tl2br w:val="nil"/>
                    <w:tr2bl w:val="nil"/>
                  </w:tcBorders>
                  <w:shd w:val="clear" w:color="auto" w:fill="auto"/>
                  <w:tcMar>
                    <w:top w:w="120" w:type="dxa"/>
                    <w:left w:w="120" w:type="dxa"/>
                    <w:bottom w:w="120" w:type="dxa"/>
                    <w:right w:w="120" w:type="dxa"/>
                  </w:tcMar>
                  <w:vAlign w:val="center"/>
                </w:tcPr>
                <w:p w14:paraId="51EFF97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209.48</w:t>
                  </w:r>
                </w:p>
              </w:tc>
              <w:tc>
                <w:tcPr>
                  <w:tcW w:w="778" w:type="pct"/>
                  <w:tcBorders>
                    <w:tl2br w:val="nil"/>
                    <w:tr2bl w:val="nil"/>
                  </w:tcBorders>
                  <w:shd w:val="clear" w:color="auto" w:fill="auto"/>
                  <w:tcMar>
                    <w:top w:w="120" w:type="dxa"/>
                    <w:left w:w="120" w:type="dxa"/>
                    <w:bottom w:w="120" w:type="dxa"/>
                    <w:right w:w="120" w:type="dxa"/>
                  </w:tcMar>
                  <w:vAlign w:val="center"/>
                </w:tcPr>
                <w:p w14:paraId="7D4D19B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45.0</w:t>
                  </w:r>
                </w:p>
              </w:tc>
              <w:tc>
                <w:tcPr>
                  <w:tcW w:w="778" w:type="pct"/>
                  <w:tcBorders>
                    <w:tl2br w:val="nil"/>
                    <w:tr2bl w:val="nil"/>
                  </w:tcBorders>
                  <w:shd w:val="clear" w:color="auto" w:fill="auto"/>
                  <w:tcMar>
                    <w:top w:w="120" w:type="dxa"/>
                    <w:left w:w="120" w:type="dxa"/>
                    <w:bottom w:w="120" w:type="dxa"/>
                    <w:right w:w="120" w:type="dxa"/>
                  </w:tcMar>
                  <w:vAlign w:val="center"/>
                </w:tcPr>
                <w:p w14:paraId="0145951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49.0</w:t>
                  </w:r>
                </w:p>
              </w:tc>
              <w:tc>
                <w:tcPr>
                  <w:tcW w:w="778" w:type="pct"/>
                  <w:tcBorders>
                    <w:tl2br w:val="nil"/>
                    <w:tr2bl w:val="nil"/>
                  </w:tcBorders>
                  <w:shd w:val="clear" w:color="auto" w:fill="auto"/>
                  <w:tcMar>
                    <w:top w:w="120" w:type="dxa"/>
                    <w:left w:w="120" w:type="dxa"/>
                    <w:bottom w:w="120" w:type="dxa"/>
                    <w:right w:w="120" w:type="dxa"/>
                  </w:tcMar>
                  <w:vAlign w:val="center"/>
                </w:tcPr>
                <w:p w14:paraId="5F59F33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4.9</w:t>
                  </w:r>
                </w:p>
              </w:tc>
            </w:tr>
            <w:tr w14:paraId="172E9E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trPr>
              <w:tc>
                <w:tcPr>
                  <w:tcW w:w="412" w:type="pct"/>
                  <w:vMerge w:val="continue"/>
                  <w:tcBorders>
                    <w:tl2br w:val="nil"/>
                    <w:tr2bl w:val="nil"/>
                  </w:tcBorders>
                  <w:shd w:val="clear" w:color="auto" w:fill="auto"/>
                  <w:tcMar>
                    <w:top w:w="120" w:type="dxa"/>
                    <w:left w:w="120" w:type="dxa"/>
                    <w:bottom w:w="120" w:type="dxa"/>
                    <w:right w:w="120" w:type="dxa"/>
                  </w:tcMar>
                  <w:vAlign w:val="center"/>
                </w:tcPr>
                <w:p w14:paraId="1CAEE6B1">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96" w:type="pct"/>
                  <w:tcBorders>
                    <w:tl2br w:val="nil"/>
                    <w:tr2bl w:val="nil"/>
                  </w:tcBorders>
                  <w:shd w:val="clear" w:color="auto" w:fill="auto"/>
                  <w:tcMar>
                    <w:top w:w="120" w:type="dxa"/>
                    <w:left w:w="120" w:type="dxa"/>
                    <w:bottom w:w="120" w:type="dxa"/>
                    <w:right w:w="120" w:type="dxa"/>
                  </w:tcMar>
                  <w:vAlign w:val="center"/>
                </w:tcPr>
                <w:p w14:paraId="27F7576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出水</w:t>
                  </w:r>
                </w:p>
              </w:tc>
              <w:tc>
                <w:tcPr>
                  <w:tcW w:w="778" w:type="pct"/>
                  <w:tcBorders>
                    <w:tl2br w:val="nil"/>
                    <w:tr2bl w:val="nil"/>
                  </w:tcBorders>
                  <w:shd w:val="clear" w:color="auto" w:fill="auto"/>
                  <w:tcMar>
                    <w:top w:w="120" w:type="dxa"/>
                    <w:left w:w="120" w:type="dxa"/>
                    <w:bottom w:w="120" w:type="dxa"/>
                    <w:right w:w="120" w:type="dxa"/>
                  </w:tcMar>
                  <w:vAlign w:val="center"/>
                </w:tcPr>
                <w:p w14:paraId="27F3B68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85.5</w:t>
                  </w:r>
                </w:p>
              </w:tc>
              <w:tc>
                <w:tcPr>
                  <w:tcW w:w="778" w:type="pct"/>
                  <w:tcBorders>
                    <w:tl2br w:val="nil"/>
                    <w:tr2bl w:val="nil"/>
                  </w:tcBorders>
                  <w:shd w:val="clear" w:color="auto" w:fill="auto"/>
                  <w:tcMar>
                    <w:top w:w="120" w:type="dxa"/>
                    <w:left w:w="120" w:type="dxa"/>
                    <w:bottom w:w="120" w:type="dxa"/>
                    <w:right w:w="120" w:type="dxa"/>
                  </w:tcMar>
                  <w:vAlign w:val="center"/>
                </w:tcPr>
                <w:p w14:paraId="07E4A45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20.95</w:t>
                  </w:r>
                </w:p>
              </w:tc>
              <w:tc>
                <w:tcPr>
                  <w:tcW w:w="778" w:type="pct"/>
                  <w:tcBorders>
                    <w:tl2br w:val="nil"/>
                    <w:tr2bl w:val="nil"/>
                  </w:tcBorders>
                  <w:shd w:val="clear" w:color="auto" w:fill="auto"/>
                  <w:tcMar>
                    <w:top w:w="120" w:type="dxa"/>
                    <w:left w:w="120" w:type="dxa"/>
                    <w:bottom w:w="120" w:type="dxa"/>
                    <w:right w:w="120" w:type="dxa"/>
                  </w:tcMar>
                  <w:vAlign w:val="center"/>
                </w:tcPr>
                <w:p w14:paraId="2019D39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9.0</w:t>
                  </w:r>
                </w:p>
              </w:tc>
              <w:tc>
                <w:tcPr>
                  <w:tcW w:w="778" w:type="pct"/>
                  <w:tcBorders>
                    <w:tl2br w:val="nil"/>
                    <w:tr2bl w:val="nil"/>
                  </w:tcBorders>
                  <w:shd w:val="clear" w:color="auto" w:fill="auto"/>
                  <w:tcMar>
                    <w:top w:w="120" w:type="dxa"/>
                    <w:left w:w="120" w:type="dxa"/>
                    <w:bottom w:w="120" w:type="dxa"/>
                    <w:right w:w="120" w:type="dxa"/>
                  </w:tcMar>
                  <w:vAlign w:val="center"/>
                </w:tcPr>
                <w:p w14:paraId="77ABCEF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21.0</w:t>
                  </w:r>
                </w:p>
              </w:tc>
              <w:tc>
                <w:tcPr>
                  <w:tcW w:w="778" w:type="pct"/>
                  <w:tcBorders>
                    <w:tl2br w:val="nil"/>
                    <w:tr2bl w:val="nil"/>
                  </w:tcBorders>
                  <w:shd w:val="clear" w:color="auto" w:fill="auto"/>
                  <w:tcMar>
                    <w:top w:w="120" w:type="dxa"/>
                    <w:left w:w="120" w:type="dxa"/>
                    <w:bottom w:w="120" w:type="dxa"/>
                    <w:right w:w="120" w:type="dxa"/>
                  </w:tcMar>
                  <w:vAlign w:val="center"/>
                </w:tcPr>
                <w:p w14:paraId="08E0BC6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1.6</w:t>
                  </w:r>
                </w:p>
              </w:tc>
            </w:tr>
            <w:tr w14:paraId="687E63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trPr>
              <w:tc>
                <w:tcPr>
                  <w:tcW w:w="412" w:type="pct"/>
                  <w:vMerge w:val="continue"/>
                  <w:tcBorders>
                    <w:tl2br w:val="nil"/>
                    <w:tr2bl w:val="nil"/>
                  </w:tcBorders>
                  <w:shd w:val="clear" w:color="auto" w:fill="auto"/>
                  <w:tcMar>
                    <w:top w:w="120" w:type="dxa"/>
                    <w:left w:w="120" w:type="dxa"/>
                    <w:bottom w:w="120" w:type="dxa"/>
                    <w:right w:w="120" w:type="dxa"/>
                  </w:tcMar>
                  <w:vAlign w:val="center"/>
                </w:tcPr>
                <w:p w14:paraId="23730025">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96" w:type="pct"/>
                  <w:tcBorders>
                    <w:tl2br w:val="nil"/>
                    <w:tr2bl w:val="nil"/>
                  </w:tcBorders>
                  <w:shd w:val="clear" w:color="auto" w:fill="auto"/>
                  <w:tcMar>
                    <w:top w:w="120" w:type="dxa"/>
                    <w:left w:w="120" w:type="dxa"/>
                    <w:bottom w:w="120" w:type="dxa"/>
                    <w:right w:w="120" w:type="dxa"/>
                  </w:tcMar>
                  <w:vAlign w:val="center"/>
                </w:tcPr>
                <w:p w14:paraId="1CA69B4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去除率（%）</w:t>
                  </w:r>
                </w:p>
              </w:tc>
              <w:tc>
                <w:tcPr>
                  <w:tcW w:w="778" w:type="pct"/>
                  <w:tcBorders>
                    <w:tl2br w:val="nil"/>
                    <w:tr2bl w:val="nil"/>
                  </w:tcBorders>
                  <w:shd w:val="clear" w:color="auto" w:fill="auto"/>
                  <w:tcMar>
                    <w:top w:w="120" w:type="dxa"/>
                    <w:left w:w="120" w:type="dxa"/>
                    <w:bottom w:w="120" w:type="dxa"/>
                    <w:right w:w="120" w:type="dxa"/>
                  </w:tcMar>
                  <w:vAlign w:val="center"/>
                </w:tcPr>
                <w:p w14:paraId="0F887E5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75.0</w:t>
                  </w:r>
                </w:p>
              </w:tc>
              <w:tc>
                <w:tcPr>
                  <w:tcW w:w="778" w:type="pct"/>
                  <w:tcBorders>
                    <w:tl2br w:val="nil"/>
                    <w:tr2bl w:val="nil"/>
                  </w:tcBorders>
                  <w:shd w:val="clear" w:color="auto" w:fill="auto"/>
                  <w:tcMar>
                    <w:top w:w="120" w:type="dxa"/>
                    <w:left w:w="120" w:type="dxa"/>
                    <w:bottom w:w="120" w:type="dxa"/>
                    <w:right w:w="120" w:type="dxa"/>
                  </w:tcMar>
                  <w:vAlign w:val="center"/>
                </w:tcPr>
                <w:p w14:paraId="3D76799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90.0</w:t>
                  </w:r>
                </w:p>
              </w:tc>
              <w:tc>
                <w:tcPr>
                  <w:tcW w:w="778" w:type="pct"/>
                  <w:tcBorders>
                    <w:tl2br w:val="nil"/>
                    <w:tr2bl w:val="nil"/>
                  </w:tcBorders>
                  <w:shd w:val="clear" w:color="auto" w:fill="auto"/>
                  <w:tcMar>
                    <w:top w:w="120" w:type="dxa"/>
                    <w:left w:w="120" w:type="dxa"/>
                    <w:bottom w:w="120" w:type="dxa"/>
                    <w:right w:w="120" w:type="dxa"/>
                  </w:tcMar>
                  <w:vAlign w:val="center"/>
                </w:tcPr>
                <w:p w14:paraId="2C005C3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80.0</w:t>
                  </w:r>
                </w:p>
              </w:tc>
              <w:tc>
                <w:tcPr>
                  <w:tcW w:w="778" w:type="pct"/>
                  <w:tcBorders>
                    <w:tl2br w:val="nil"/>
                    <w:tr2bl w:val="nil"/>
                  </w:tcBorders>
                  <w:shd w:val="clear" w:color="auto" w:fill="auto"/>
                  <w:tcMar>
                    <w:top w:w="120" w:type="dxa"/>
                    <w:left w:w="120" w:type="dxa"/>
                    <w:bottom w:w="120" w:type="dxa"/>
                    <w:right w:w="120" w:type="dxa"/>
                  </w:tcMar>
                  <w:vAlign w:val="center"/>
                </w:tcPr>
                <w:p w14:paraId="646CA56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57.1</w:t>
                  </w:r>
                </w:p>
              </w:tc>
              <w:tc>
                <w:tcPr>
                  <w:tcW w:w="778" w:type="pct"/>
                  <w:tcBorders>
                    <w:tl2br w:val="nil"/>
                    <w:tr2bl w:val="nil"/>
                  </w:tcBorders>
                  <w:shd w:val="clear" w:color="auto" w:fill="auto"/>
                  <w:tcMar>
                    <w:top w:w="120" w:type="dxa"/>
                    <w:left w:w="120" w:type="dxa"/>
                    <w:bottom w:w="120" w:type="dxa"/>
                    <w:right w:w="120" w:type="dxa"/>
                  </w:tcMar>
                  <w:vAlign w:val="center"/>
                </w:tcPr>
                <w:p w14:paraId="0C3B09F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67.3</w:t>
                  </w:r>
                </w:p>
              </w:tc>
            </w:tr>
            <w:tr w14:paraId="193BF1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trPr>
              <w:tc>
                <w:tcPr>
                  <w:tcW w:w="412" w:type="pct"/>
                  <w:vMerge w:val="restart"/>
                  <w:tcBorders>
                    <w:tl2br w:val="nil"/>
                    <w:tr2bl w:val="nil"/>
                  </w:tcBorders>
                  <w:shd w:val="clear" w:color="auto" w:fill="auto"/>
                  <w:tcMar>
                    <w:top w:w="120" w:type="dxa"/>
                    <w:left w:w="120" w:type="dxa"/>
                    <w:bottom w:w="120" w:type="dxa"/>
                    <w:right w:w="120" w:type="dxa"/>
                  </w:tcMar>
                  <w:vAlign w:val="center"/>
                </w:tcPr>
                <w:p w14:paraId="13FB27E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后缺氧池</w:t>
                  </w:r>
                </w:p>
              </w:tc>
              <w:tc>
                <w:tcPr>
                  <w:tcW w:w="696" w:type="pct"/>
                  <w:tcBorders>
                    <w:tl2br w:val="nil"/>
                    <w:tr2bl w:val="nil"/>
                  </w:tcBorders>
                  <w:shd w:val="clear" w:color="auto" w:fill="auto"/>
                  <w:tcMar>
                    <w:top w:w="120" w:type="dxa"/>
                    <w:left w:w="120" w:type="dxa"/>
                    <w:bottom w:w="120" w:type="dxa"/>
                    <w:right w:w="120" w:type="dxa"/>
                  </w:tcMar>
                  <w:vAlign w:val="center"/>
                </w:tcPr>
                <w:p w14:paraId="54F0C1E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进水</w:t>
                  </w:r>
                </w:p>
              </w:tc>
              <w:tc>
                <w:tcPr>
                  <w:tcW w:w="778" w:type="pct"/>
                  <w:tcBorders>
                    <w:tl2br w:val="nil"/>
                    <w:tr2bl w:val="nil"/>
                  </w:tcBorders>
                  <w:shd w:val="clear" w:color="auto" w:fill="auto"/>
                  <w:tcMar>
                    <w:top w:w="120" w:type="dxa"/>
                    <w:left w:w="120" w:type="dxa"/>
                    <w:bottom w:w="120" w:type="dxa"/>
                    <w:right w:w="120" w:type="dxa"/>
                  </w:tcMar>
                  <w:vAlign w:val="center"/>
                </w:tcPr>
                <w:p w14:paraId="0F08DD6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85.5</w:t>
                  </w:r>
                </w:p>
              </w:tc>
              <w:tc>
                <w:tcPr>
                  <w:tcW w:w="778" w:type="pct"/>
                  <w:tcBorders>
                    <w:tl2br w:val="nil"/>
                    <w:tr2bl w:val="nil"/>
                  </w:tcBorders>
                  <w:shd w:val="clear" w:color="auto" w:fill="auto"/>
                  <w:tcMar>
                    <w:top w:w="120" w:type="dxa"/>
                    <w:left w:w="120" w:type="dxa"/>
                    <w:bottom w:w="120" w:type="dxa"/>
                    <w:right w:w="120" w:type="dxa"/>
                  </w:tcMar>
                  <w:vAlign w:val="center"/>
                </w:tcPr>
                <w:p w14:paraId="7DE8937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20.95</w:t>
                  </w:r>
                </w:p>
              </w:tc>
              <w:tc>
                <w:tcPr>
                  <w:tcW w:w="778" w:type="pct"/>
                  <w:tcBorders>
                    <w:tl2br w:val="nil"/>
                    <w:tr2bl w:val="nil"/>
                  </w:tcBorders>
                  <w:shd w:val="clear" w:color="auto" w:fill="auto"/>
                  <w:tcMar>
                    <w:top w:w="120" w:type="dxa"/>
                    <w:left w:w="120" w:type="dxa"/>
                    <w:bottom w:w="120" w:type="dxa"/>
                    <w:right w:w="120" w:type="dxa"/>
                  </w:tcMar>
                  <w:vAlign w:val="center"/>
                </w:tcPr>
                <w:p w14:paraId="3EE31EB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9.0</w:t>
                  </w:r>
                </w:p>
              </w:tc>
              <w:tc>
                <w:tcPr>
                  <w:tcW w:w="778" w:type="pct"/>
                  <w:tcBorders>
                    <w:tl2br w:val="nil"/>
                    <w:tr2bl w:val="nil"/>
                  </w:tcBorders>
                  <w:shd w:val="clear" w:color="auto" w:fill="auto"/>
                  <w:tcMar>
                    <w:top w:w="120" w:type="dxa"/>
                    <w:left w:w="120" w:type="dxa"/>
                    <w:bottom w:w="120" w:type="dxa"/>
                    <w:right w:w="120" w:type="dxa"/>
                  </w:tcMar>
                  <w:vAlign w:val="center"/>
                </w:tcPr>
                <w:p w14:paraId="5D92877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21.0</w:t>
                  </w:r>
                </w:p>
              </w:tc>
              <w:tc>
                <w:tcPr>
                  <w:tcW w:w="778" w:type="pct"/>
                  <w:tcBorders>
                    <w:tl2br w:val="nil"/>
                    <w:tr2bl w:val="nil"/>
                  </w:tcBorders>
                  <w:shd w:val="clear" w:color="auto" w:fill="auto"/>
                  <w:tcMar>
                    <w:top w:w="120" w:type="dxa"/>
                    <w:left w:w="120" w:type="dxa"/>
                    <w:bottom w:w="120" w:type="dxa"/>
                    <w:right w:w="120" w:type="dxa"/>
                  </w:tcMar>
                  <w:vAlign w:val="center"/>
                </w:tcPr>
                <w:p w14:paraId="3CBB756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1.6</w:t>
                  </w:r>
                </w:p>
              </w:tc>
            </w:tr>
            <w:tr w14:paraId="4D86E1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trPr>
              <w:tc>
                <w:tcPr>
                  <w:tcW w:w="412" w:type="pct"/>
                  <w:vMerge w:val="continue"/>
                  <w:tcBorders>
                    <w:tl2br w:val="nil"/>
                    <w:tr2bl w:val="nil"/>
                  </w:tcBorders>
                  <w:shd w:val="clear" w:color="auto" w:fill="auto"/>
                  <w:tcMar>
                    <w:top w:w="120" w:type="dxa"/>
                    <w:left w:w="120" w:type="dxa"/>
                    <w:bottom w:w="120" w:type="dxa"/>
                    <w:right w:w="120" w:type="dxa"/>
                  </w:tcMar>
                  <w:vAlign w:val="center"/>
                </w:tcPr>
                <w:p w14:paraId="59D4F1BB">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96" w:type="pct"/>
                  <w:tcBorders>
                    <w:tl2br w:val="nil"/>
                    <w:tr2bl w:val="nil"/>
                  </w:tcBorders>
                  <w:shd w:val="clear" w:color="auto" w:fill="auto"/>
                  <w:tcMar>
                    <w:top w:w="120" w:type="dxa"/>
                    <w:left w:w="120" w:type="dxa"/>
                    <w:bottom w:w="120" w:type="dxa"/>
                    <w:right w:w="120" w:type="dxa"/>
                  </w:tcMar>
                  <w:vAlign w:val="center"/>
                </w:tcPr>
                <w:p w14:paraId="11DE604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出水</w:t>
                  </w:r>
                </w:p>
              </w:tc>
              <w:tc>
                <w:tcPr>
                  <w:tcW w:w="778" w:type="pct"/>
                  <w:tcBorders>
                    <w:tl2br w:val="nil"/>
                    <w:tr2bl w:val="nil"/>
                  </w:tcBorders>
                  <w:shd w:val="clear" w:color="auto" w:fill="auto"/>
                  <w:tcMar>
                    <w:top w:w="120" w:type="dxa"/>
                    <w:left w:w="120" w:type="dxa"/>
                    <w:bottom w:w="120" w:type="dxa"/>
                    <w:right w:w="120" w:type="dxa"/>
                  </w:tcMar>
                  <w:vAlign w:val="center"/>
                </w:tcPr>
                <w:p w14:paraId="7EFA5BE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77.0</w:t>
                  </w:r>
                </w:p>
              </w:tc>
              <w:tc>
                <w:tcPr>
                  <w:tcW w:w="778" w:type="pct"/>
                  <w:tcBorders>
                    <w:tl2br w:val="nil"/>
                    <w:tr2bl w:val="nil"/>
                  </w:tcBorders>
                  <w:shd w:val="clear" w:color="auto" w:fill="auto"/>
                  <w:tcMar>
                    <w:top w:w="120" w:type="dxa"/>
                    <w:left w:w="120" w:type="dxa"/>
                    <w:bottom w:w="120" w:type="dxa"/>
                    <w:right w:w="120" w:type="dxa"/>
                  </w:tcMar>
                  <w:vAlign w:val="center"/>
                </w:tcPr>
                <w:p w14:paraId="4F59283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10.48</w:t>
                  </w:r>
                </w:p>
              </w:tc>
              <w:tc>
                <w:tcPr>
                  <w:tcW w:w="778" w:type="pct"/>
                  <w:tcBorders>
                    <w:tl2br w:val="nil"/>
                    <w:tr2bl w:val="nil"/>
                  </w:tcBorders>
                  <w:shd w:val="clear" w:color="auto" w:fill="auto"/>
                  <w:tcMar>
                    <w:top w:w="120" w:type="dxa"/>
                    <w:left w:w="120" w:type="dxa"/>
                    <w:bottom w:w="120" w:type="dxa"/>
                    <w:right w:w="120" w:type="dxa"/>
                  </w:tcMar>
                  <w:vAlign w:val="center"/>
                </w:tcPr>
                <w:p w14:paraId="25B180D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6.0</w:t>
                  </w:r>
                </w:p>
              </w:tc>
              <w:tc>
                <w:tcPr>
                  <w:tcW w:w="778" w:type="pct"/>
                  <w:tcBorders>
                    <w:tl2br w:val="nil"/>
                    <w:tr2bl w:val="nil"/>
                  </w:tcBorders>
                  <w:shd w:val="clear" w:color="auto" w:fill="auto"/>
                  <w:tcMar>
                    <w:top w:w="120" w:type="dxa"/>
                    <w:left w:w="120" w:type="dxa"/>
                    <w:bottom w:w="120" w:type="dxa"/>
                    <w:right w:w="120" w:type="dxa"/>
                  </w:tcMar>
                  <w:vAlign w:val="center"/>
                </w:tcPr>
                <w:p w14:paraId="7B56076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16.8</w:t>
                  </w:r>
                </w:p>
              </w:tc>
              <w:tc>
                <w:tcPr>
                  <w:tcW w:w="778" w:type="pct"/>
                  <w:tcBorders>
                    <w:tl2br w:val="nil"/>
                    <w:tr2bl w:val="nil"/>
                  </w:tcBorders>
                  <w:shd w:val="clear" w:color="auto" w:fill="auto"/>
                  <w:tcMar>
                    <w:top w:w="120" w:type="dxa"/>
                    <w:left w:w="120" w:type="dxa"/>
                    <w:bottom w:w="120" w:type="dxa"/>
                    <w:right w:w="120" w:type="dxa"/>
                  </w:tcMar>
                  <w:vAlign w:val="center"/>
                </w:tcPr>
                <w:p w14:paraId="5561712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1.1</w:t>
                  </w:r>
                </w:p>
              </w:tc>
            </w:tr>
            <w:tr w14:paraId="0DBEE7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trPr>
              <w:tc>
                <w:tcPr>
                  <w:tcW w:w="412" w:type="pct"/>
                  <w:vMerge w:val="continue"/>
                  <w:tcBorders>
                    <w:tl2br w:val="nil"/>
                    <w:tr2bl w:val="nil"/>
                  </w:tcBorders>
                  <w:shd w:val="clear" w:color="auto" w:fill="auto"/>
                  <w:tcMar>
                    <w:top w:w="120" w:type="dxa"/>
                    <w:left w:w="120" w:type="dxa"/>
                    <w:bottom w:w="120" w:type="dxa"/>
                    <w:right w:w="120" w:type="dxa"/>
                  </w:tcMar>
                  <w:vAlign w:val="center"/>
                </w:tcPr>
                <w:p w14:paraId="036B59AE">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96" w:type="pct"/>
                  <w:tcBorders>
                    <w:tl2br w:val="nil"/>
                    <w:tr2bl w:val="nil"/>
                  </w:tcBorders>
                  <w:shd w:val="clear" w:color="auto" w:fill="auto"/>
                  <w:tcMar>
                    <w:top w:w="120" w:type="dxa"/>
                    <w:left w:w="120" w:type="dxa"/>
                    <w:bottom w:w="120" w:type="dxa"/>
                    <w:right w:w="120" w:type="dxa"/>
                  </w:tcMar>
                  <w:vAlign w:val="center"/>
                </w:tcPr>
                <w:p w14:paraId="0CE549B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去除率（%）</w:t>
                  </w:r>
                </w:p>
              </w:tc>
              <w:tc>
                <w:tcPr>
                  <w:tcW w:w="778" w:type="pct"/>
                  <w:tcBorders>
                    <w:tl2br w:val="nil"/>
                    <w:tr2bl w:val="nil"/>
                  </w:tcBorders>
                  <w:shd w:val="clear" w:color="auto" w:fill="auto"/>
                  <w:tcMar>
                    <w:top w:w="120" w:type="dxa"/>
                    <w:left w:w="120" w:type="dxa"/>
                    <w:bottom w:w="120" w:type="dxa"/>
                    <w:right w:w="120" w:type="dxa"/>
                  </w:tcMar>
                  <w:vAlign w:val="center"/>
                </w:tcPr>
                <w:p w14:paraId="3CEE94D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10.0</w:t>
                  </w:r>
                </w:p>
              </w:tc>
              <w:tc>
                <w:tcPr>
                  <w:tcW w:w="778" w:type="pct"/>
                  <w:tcBorders>
                    <w:tl2br w:val="nil"/>
                    <w:tr2bl w:val="nil"/>
                  </w:tcBorders>
                  <w:shd w:val="clear" w:color="auto" w:fill="auto"/>
                  <w:tcMar>
                    <w:top w:w="120" w:type="dxa"/>
                    <w:left w:w="120" w:type="dxa"/>
                    <w:bottom w:w="120" w:type="dxa"/>
                    <w:right w:w="120" w:type="dxa"/>
                  </w:tcMar>
                  <w:vAlign w:val="center"/>
                </w:tcPr>
                <w:p w14:paraId="5228FB8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50.0</w:t>
                  </w:r>
                </w:p>
              </w:tc>
              <w:tc>
                <w:tcPr>
                  <w:tcW w:w="778" w:type="pct"/>
                  <w:tcBorders>
                    <w:tl2br w:val="nil"/>
                    <w:tr2bl w:val="nil"/>
                  </w:tcBorders>
                  <w:shd w:val="clear" w:color="auto" w:fill="auto"/>
                  <w:tcMar>
                    <w:top w:w="120" w:type="dxa"/>
                    <w:left w:w="120" w:type="dxa"/>
                    <w:bottom w:w="120" w:type="dxa"/>
                    <w:right w:w="120" w:type="dxa"/>
                  </w:tcMar>
                  <w:vAlign w:val="center"/>
                </w:tcPr>
                <w:p w14:paraId="349D8EE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33.3</w:t>
                  </w:r>
                </w:p>
              </w:tc>
              <w:tc>
                <w:tcPr>
                  <w:tcW w:w="778" w:type="pct"/>
                  <w:tcBorders>
                    <w:tl2br w:val="nil"/>
                    <w:tr2bl w:val="nil"/>
                  </w:tcBorders>
                  <w:shd w:val="clear" w:color="auto" w:fill="auto"/>
                  <w:tcMar>
                    <w:top w:w="120" w:type="dxa"/>
                    <w:left w:w="120" w:type="dxa"/>
                    <w:bottom w:w="120" w:type="dxa"/>
                    <w:right w:w="120" w:type="dxa"/>
                  </w:tcMar>
                  <w:vAlign w:val="center"/>
                </w:tcPr>
                <w:p w14:paraId="5068FAC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20.0</w:t>
                  </w:r>
                </w:p>
              </w:tc>
              <w:tc>
                <w:tcPr>
                  <w:tcW w:w="778" w:type="pct"/>
                  <w:tcBorders>
                    <w:tl2br w:val="nil"/>
                    <w:tr2bl w:val="nil"/>
                  </w:tcBorders>
                  <w:shd w:val="clear" w:color="auto" w:fill="auto"/>
                  <w:tcMar>
                    <w:top w:w="120" w:type="dxa"/>
                    <w:left w:w="120" w:type="dxa"/>
                    <w:bottom w:w="120" w:type="dxa"/>
                    <w:right w:w="120" w:type="dxa"/>
                  </w:tcMar>
                  <w:vAlign w:val="center"/>
                </w:tcPr>
                <w:p w14:paraId="7BA2542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31.2</w:t>
                  </w:r>
                </w:p>
              </w:tc>
            </w:tr>
            <w:tr w14:paraId="4A49C0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trPr>
              <w:tc>
                <w:tcPr>
                  <w:tcW w:w="412" w:type="pct"/>
                  <w:vMerge w:val="restart"/>
                  <w:tcBorders>
                    <w:tl2br w:val="nil"/>
                    <w:tr2bl w:val="nil"/>
                  </w:tcBorders>
                  <w:shd w:val="clear" w:color="auto" w:fill="auto"/>
                  <w:tcMar>
                    <w:top w:w="120" w:type="dxa"/>
                    <w:left w:w="120" w:type="dxa"/>
                    <w:bottom w:w="120" w:type="dxa"/>
                    <w:right w:w="120" w:type="dxa"/>
                  </w:tcMar>
                  <w:vAlign w:val="center"/>
                </w:tcPr>
                <w:p w14:paraId="108975A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MBR膜池</w:t>
                  </w:r>
                </w:p>
              </w:tc>
              <w:tc>
                <w:tcPr>
                  <w:tcW w:w="696" w:type="pct"/>
                  <w:tcBorders>
                    <w:tl2br w:val="nil"/>
                    <w:tr2bl w:val="nil"/>
                  </w:tcBorders>
                  <w:shd w:val="clear" w:color="auto" w:fill="auto"/>
                  <w:tcMar>
                    <w:top w:w="120" w:type="dxa"/>
                    <w:left w:w="120" w:type="dxa"/>
                    <w:bottom w:w="120" w:type="dxa"/>
                    <w:right w:w="120" w:type="dxa"/>
                  </w:tcMar>
                  <w:vAlign w:val="center"/>
                </w:tcPr>
                <w:p w14:paraId="5F218FC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进水</w:t>
                  </w:r>
                </w:p>
              </w:tc>
              <w:tc>
                <w:tcPr>
                  <w:tcW w:w="778" w:type="pct"/>
                  <w:tcBorders>
                    <w:tl2br w:val="nil"/>
                    <w:tr2bl w:val="nil"/>
                  </w:tcBorders>
                  <w:shd w:val="clear" w:color="auto" w:fill="auto"/>
                  <w:tcMar>
                    <w:top w:w="120" w:type="dxa"/>
                    <w:left w:w="120" w:type="dxa"/>
                    <w:bottom w:w="120" w:type="dxa"/>
                    <w:right w:w="120" w:type="dxa"/>
                  </w:tcMar>
                  <w:vAlign w:val="center"/>
                </w:tcPr>
                <w:p w14:paraId="7A78423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77.0</w:t>
                  </w:r>
                </w:p>
              </w:tc>
              <w:tc>
                <w:tcPr>
                  <w:tcW w:w="778" w:type="pct"/>
                  <w:tcBorders>
                    <w:tl2br w:val="nil"/>
                    <w:tr2bl w:val="nil"/>
                  </w:tcBorders>
                  <w:shd w:val="clear" w:color="auto" w:fill="auto"/>
                  <w:tcMar>
                    <w:top w:w="120" w:type="dxa"/>
                    <w:left w:w="120" w:type="dxa"/>
                    <w:bottom w:w="120" w:type="dxa"/>
                    <w:right w:w="120" w:type="dxa"/>
                  </w:tcMar>
                  <w:vAlign w:val="center"/>
                </w:tcPr>
                <w:p w14:paraId="04C3649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10.48</w:t>
                  </w:r>
                </w:p>
              </w:tc>
              <w:tc>
                <w:tcPr>
                  <w:tcW w:w="778" w:type="pct"/>
                  <w:tcBorders>
                    <w:tl2br w:val="nil"/>
                    <w:tr2bl w:val="nil"/>
                  </w:tcBorders>
                  <w:shd w:val="clear" w:color="auto" w:fill="auto"/>
                  <w:tcMar>
                    <w:top w:w="120" w:type="dxa"/>
                    <w:left w:w="120" w:type="dxa"/>
                    <w:bottom w:w="120" w:type="dxa"/>
                    <w:right w:w="120" w:type="dxa"/>
                  </w:tcMar>
                  <w:vAlign w:val="center"/>
                </w:tcPr>
                <w:p w14:paraId="4B43711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6.0</w:t>
                  </w:r>
                </w:p>
              </w:tc>
              <w:tc>
                <w:tcPr>
                  <w:tcW w:w="778" w:type="pct"/>
                  <w:tcBorders>
                    <w:tl2br w:val="nil"/>
                    <w:tr2bl w:val="nil"/>
                  </w:tcBorders>
                  <w:shd w:val="clear" w:color="auto" w:fill="auto"/>
                  <w:tcMar>
                    <w:top w:w="120" w:type="dxa"/>
                    <w:left w:w="120" w:type="dxa"/>
                    <w:bottom w:w="120" w:type="dxa"/>
                    <w:right w:w="120" w:type="dxa"/>
                  </w:tcMar>
                  <w:vAlign w:val="center"/>
                </w:tcPr>
                <w:p w14:paraId="211DADA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16.8</w:t>
                  </w:r>
                </w:p>
              </w:tc>
              <w:tc>
                <w:tcPr>
                  <w:tcW w:w="778" w:type="pct"/>
                  <w:tcBorders>
                    <w:tl2br w:val="nil"/>
                    <w:tr2bl w:val="nil"/>
                  </w:tcBorders>
                  <w:shd w:val="clear" w:color="auto" w:fill="auto"/>
                  <w:tcMar>
                    <w:top w:w="120" w:type="dxa"/>
                    <w:left w:w="120" w:type="dxa"/>
                    <w:bottom w:w="120" w:type="dxa"/>
                    <w:right w:w="120" w:type="dxa"/>
                  </w:tcMar>
                  <w:vAlign w:val="center"/>
                </w:tcPr>
                <w:p w14:paraId="50332A5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1.1</w:t>
                  </w:r>
                </w:p>
              </w:tc>
            </w:tr>
            <w:tr w14:paraId="5030D5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trPr>
              <w:tc>
                <w:tcPr>
                  <w:tcW w:w="412" w:type="pct"/>
                  <w:vMerge w:val="continue"/>
                  <w:tcBorders>
                    <w:tl2br w:val="nil"/>
                    <w:tr2bl w:val="nil"/>
                  </w:tcBorders>
                  <w:shd w:val="clear" w:color="auto" w:fill="auto"/>
                  <w:tcMar>
                    <w:top w:w="120" w:type="dxa"/>
                    <w:left w:w="120" w:type="dxa"/>
                    <w:bottom w:w="120" w:type="dxa"/>
                    <w:right w:w="120" w:type="dxa"/>
                  </w:tcMar>
                  <w:vAlign w:val="center"/>
                </w:tcPr>
                <w:p w14:paraId="49B79C1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96" w:type="pct"/>
                  <w:tcBorders>
                    <w:tl2br w:val="nil"/>
                    <w:tr2bl w:val="nil"/>
                  </w:tcBorders>
                  <w:shd w:val="clear" w:color="auto" w:fill="auto"/>
                  <w:tcMar>
                    <w:top w:w="120" w:type="dxa"/>
                    <w:left w:w="120" w:type="dxa"/>
                    <w:bottom w:w="120" w:type="dxa"/>
                    <w:right w:w="120" w:type="dxa"/>
                  </w:tcMar>
                  <w:vAlign w:val="center"/>
                </w:tcPr>
                <w:p w14:paraId="6788FBC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出水</w:t>
                  </w:r>
                </w:p>
              </w:tc>
              <w:tc>
                <w:tcPr>
                  <w:tcW w:w="778" w:type="pct"/>
                  <w:tcBorders>
                    <w:tl2br w:val="nil"/>
                    <w:tr2bl w:val="nil"/>
                  </w:tcBorders>
                  <w:shd w:val="clear" w:color="auto" w:fill="auto"/>
                  <w:tcMar>
                    <w:top w:w="120" w:type="dxa"/>
                    <w:left w:w="120" w:type="dxa"/>
                    <w:bottom w:w="120" w:type="dxa"/>
                    <w:right w:w="120" w:type="dxa"/>
                  </w:tcMar>
                  <w:vAlign w:val="center"/>
                </w:tcPr>
                <w:p w14:paraId="250B4B5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50.0</w:t>
                  </w:r>
                </w:p>
              </w:tc>
              <w:tc>
                <w:tcPr>
                  <w:tcW w:w="778" w:type="pct"/>
                  <w:tcBorders>
                    <w:tl2br w:val="nil"/>
                    <w:tr2bl w:val="nil"/>
                  </w:tcBorders>
                  <w:shd w:val="clear" w:color="auto" w:fill="auto"/>
                  <w:tcMar>
                    <w:top w:w="120" w:type="dxa"/>
                    <w:left w:w="120" w:type="dxa"/>
                    <w:bottom w:w="120" w:type="dxa"/>
                    <w:right w:w="120" w:type="dxa"/>
                  </w:tcMar>
                  <w:vAlign w:val="center"/>
                </w:tcPr>
                <w:p w14:paraId="2003A2F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10.0</w:t>
                  </w:r>
                </w:p>
              </w:tc>
              <w:tc>
                <w:tcPr>
                  <w:tcW w:w="778" w:type="pct"/>
                  <w:tcBorders>
                    <w:tl2br w:val="nil"/>
                    <w:tr2bl w:val="nil"/>
                  </w:tcBorders>
                  <w:shd w:val="clear" w:color="auto" w:fill="auto"/>
                  <w:tcMar>
                    <w:top w:w="120" w:type="dxa"/>
                    <w:left w:w="120" w:type="dxa"/>
                    <w:bottom w:w="120" w:type="dxa"/>
                    <w:right w:w="120" w:type="dxa"/>
                  </w:tcMar>
                  <w:vAlign w:val="center"/>
                </w:tcPr>
                <w:p w14:paraId="3A2E4D0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5.0</w:t>
                  </w:r>
                </w:p>
              </w:tc>
              <w:tc>
                <w:tcPr>
                  <w:tcW w:w="778" w:type="pct"/>
                  <w:tcBorders>
                    <w:tl2br w:val="nil"/>
                    <w:tr2bl w:val="nil"/>
                  </w:tcBorders>
                  <w:shd w:val="clear" w:color="auto" w:fill="auto"/>
                  <w:tcMar>
                    <w:top w:w="120" w:type="dxa"/>
                    <w:left w:w="120" w:type="dxa"/>
                    <w:bottom w:w="120" w:type="dxa"/>
                    <w:right w:w="120" w:type="dxa"/>
                  </w:tcMar>
                  <w:vAlign w:val="center"/>
                </w:tcPr>
                <w:p w14:paraId="62DFD19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15.0</w:t>
                  </w:r>
                </w:p>
              </w:tc>
              <w:tc>
                <w:tcPr>
                  <w:tcW w:w="778" w:type="pct"/>
                  <w:tcBorders>
                    <w:tl2br w:val="nil"/>
                    <w:tr2bl w:val="nil"/>
                  </w:tcBorders>
                  <w:shd w:val="clear" w:color="auto" w:fill="auto"/>
                  <w:tcMar>
                    <w:top w:w="120" w:type="dxa"/>
                    <w:left w:w="120" w:type="dxa"/>
                    <w:bottom w:w="120" w:type="dxa"/>
                    <w:right w:w="120" w:type="dxa"/>
                  </w:tcMar>
                  <w:vAlign w:val="center"/>
                </w:tcPr>
                <w:p w14:paraId="0247B69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0.5</w:t>
                  </w:r>
                </w:p>
              </w:tc>
            </w:tr>
            <w:tr w14:paraId="63B8F8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trPr>
              <w:tc>
                <w:tcPr>
                  <w:tcW w:w="412" w:type="pct"/>
                  <w:vMerge w:val="continue"/>
                  <w:tcBorders>
                    <w:tl2br w:val="nil"/>
                    <w:tr2bl w:val="nil"/>
                  </w:tcBorders>
                  <w:shd w:val="clear" w:color="auto" w:fill="auto"/>
                  <w:tcMar>
                    <w:top w:w="120" w:type="dxa"/>
                    <w:left w:w="120" w:type="dxa"/>
                    <w:bottom w:w="120" w:type="dxa"/>
                    <w:right w:w="120" w:type="dxa"/>
                  </w:tcMar>
                  <w:vAlign w:val="center"/>
                </w:tcPr>
                <w:p w14:paraId="51538A9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96" w:type="pct"/>
                  <w:tcBorders>
                    <w:tl2br w:val="nil"/>
                    <w:tr2bl w:val="nil"/>
                  </w:tcBorders>
                  <w:shd w:val="clear" w:color="auto" w:fill="auto"/>
                  <w:tcMar>
                    <w:top w:w="120" w:type="dxa"/>
                    <w:left w:w="120" w:type="dxa"/>
                    <w:bottom w:w="120" w:type="dxa"/>
                    <w:right w:w="120" w:type="dxa"/>
                  </w:tcMar>
                  <w:vAlign w:val="center"/>
                </w:tcPr>
                <w:p w14:paraId="198E157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去除率（%）</w:t>
                  </w:r>
                </w:p>
              </w:tc>
              <w:tc>
                <w:tcPr>
                  <w:tcW w:w="778" w:type="pct"/>
                  <w:tcBorders>
                    <w:tl2br w:val="nil"/>
                    <w:tr2bl w:val="nil"/>
                  </w:tcBorders>
                  <w:shd w:val="clear" w:color="auto" w:fill="auto"/>
                  <w:tcMar>
                    <w:top w:w="120" w:type="dxa"/>
                    <w:left w:w="120" w:type="dxa"/>
                    <w:bottom w:w="120" w:type="dxa"/>
                    <w:right w:w="120" w:type="dxa"/>
                  </w:tcMar>
                  <w:vAlign w:val="center"/>
                </w:tcPr>
                <w:p w14:paraId="72D4210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35.1</w:t>
                  </w:r>
                </w:p>
              </w:tc>
              <w:tc>
                <w:tcPr>
                  <w:tcW w:w="778" w:type="pct"/>
                  <w:tcBorders>
                    <w:tl2br w:val="nil"/>
                    <w:tr2bl w:val="nil"/>
                  </w:tcBorders>
                  <w:shd w:val="clear" w:color="auto" w:fill="auto"/>
                  <w:tcMar>
                    <w:top w:w="120" w:type="dxa"/>
                    <w:left w:w="120" w:type="dxa"/>
                    <w:bottom w:w="120" w:type="dxa"/>
                    <w:right w:w="120" w:type="dxa"/>
                  </w:tcMar>
                  <w:vAlign w:val="center"/>
                </w:tcPr>
                <w:p w14:paraId="3D759DA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4.6</w:t>
                  </w:r>
                </w:p>
              </w:tc>
              <w:tc>
                <w:tcPr>
                  <w:tcW w:w="778" w:type="pct"/>
                  <w:tcBorders>
                    <w:tl2br w:val="nil"/>
                    <w:tr2bl w:val="nil"/>
                  </w:tcBorders>
                  <w:shd w:val="clear" w:color="auto" w:fill="auto"/>
                  <w:tcMar>
                    <w:top w:w="120" w:type="dxa"/>
                    <w:left w:w="120" w:type="dxa"/>
                    <w:bottom w:w="120" w:type="dxa"/>
                    <w:right w:w="120" w:type="dxa"/>
                  </w:tcMar>
                  <w:vAlign w:val="center"/>
                </w:tcPr>
                <w:p w14:paraId="13B7D44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16.7</w:t>
                  </w:r>
                </w:p>
              </w:tc>
              <w:tc>
                <w:tcPr>
                  <w:tcW w:w="778" w:type="pct"/>
                  <w:tcBorders>
                    <w:tl2br w:val="nil"/>
                    <w:tr2bl w:val="nil"/>
                  </w:tcBorders>
                  <w:shd w:val="clear" w:color="auto" w:fill="auto"/>
                  <w:tcMar>
                    <w:top w:w="120" w:type="dxa"/>
                    <w:left w:w="120" w:type="dxa"/>
                    <w:bottom w:w="120" w:type="dxa"/>
                    <w:right w:w="120" w:type="dxa"/>
                  </w:tcMar>
                  <w:vAlign w:val="center"/>
                </w:tcPr>
                <w:p w14:paraId="7F058E7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10.7</w:t>
                  </w:r>
                </w:p>
              </w:tc>
              <w:tc>
                <w:tcPr>
                  <w:tcW w:w="778" w:type="pct"/>
                  <w:tcBorders>
                    <w:tl2br w:val="nil"/>
                    <w:tr2bl w:val="nil"/>
                  </w:tcBorders>
                  <w:shd w:val="clear" w:color="auto" w:fill="auto"/>
                  <w:tcMar>
                    <w:top w:w="120" w:type="dxa"/>
                    <w:left w:w="120" w:type="dxa"/>
                    <w:bottom w:w="120" w:type="dxa"/>
                    <w:right w:w="120" w:type="dxa"/>
                  </w:tcMar>
                  <w:vAlign w:val="center"/>
                </w:tcPr>
                <w:p w14:paraId="19D4C07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54.5</w:t>
                  </w:r>
                </w:p>
              </w:tc>
            </w:tr>
            <w:tr w14:paraId="72253E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trPr>
              <w:tc>
                <w:tcPr>
                  <w:tcW w:w="412" w:type="pct"/>
                  <w:vMerge w:val="restart"/>
                  <w:tcBorders>
                    <w:tl2br w:val="nil"/>
                    <w:tr2bl w:val="nil"/>
                  </w:tcBorders>
                  <w:shd w:val="clear" w:color="auto" w:fill="auto"/>
                  <w:tcMar>
                    <w:top w:w="120" w:type="dxa"/>
                    <w:left w:w="120" w:type="dxa"/>
                    <w:bottom w:w="120" w:type="dxa"/>
                    <w:right w:w="120" w:type="dxa"/>
                  </w:tcMar>
                  <w:vAlign w:val="center"/>
                </w:tcPr>
                <w:p w14:paraId="2949F51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全流程合计</w:t>
                  </w:r>
                </w:p>
              </w:tc>
              <w:tc>
                <w:tcPr>
                  <w:tcW w:w="696" w:type="pct"/>
                  <w:tcBorders>
                    <w:tl2br w:val="nil"/>
                    <w:tr2bl w:val="nil"/>
                  </w:tcBorders>
                  <w:shd w:val="clear" w:color="auto" w:fill="auto"/>
                  <w:tcMar>
                    <w:top w:w="120" w:type="dxa"/>
                    <w:left w:w="120" w:type="dxa"/>
                    <w:bottom w:w="120" w:type="dxa"/>
                    <w:right w:w="120" w:type="dxa"/>
                  </w:tcMar>
                  <w:vAlign w:val="center"/>
                </w:tcPr>
                <w:p w14:paraId="69E9EDB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进水</w:t>
                  </w:r>
                </w:p>
              </w:tc>
              <w:tc>
                <w:tcPr>
                  <w:tcW w:w="778" w:type="pct"/>
                  <w:tcBorders>
                    <w:tl2br w:val="nil"/>
                    <w:tr2bl w:val="nil"/>
                  </w:tcBorders>
                  <w:shd w:val="clear" w:color="auto" w:fill="auto"/>
                  <w:tcMar>
                    <w:top w:w="120" w:type="dxa"/>
                    <w:left w:w="120" w:type="dxa"/>
                    <w:bottom w:w="120" w:type="dxa"/>
                    <w:right w:w="120" w:type="dxa"/>
                  </w:tcMar>
                  <w:vAlign w:val="center"/>
                </w:tcPr>
                <w:p w14:paraId="3A0F246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500.0</w:t>
                  </w:r>
                </w:p>
              </w:tc>
              <w:tc>
                <w:tcPr>
                  <w:tcW w:w="778" w:type="pct"/>
                  <w:tcBorders>
                    <w:tl2br w:val="nil"/>
                    <w:tr2bl w:val="nil"/>
                  </w:tcBorders>
                  <w:shd w:val="clear" w:color="auto" w:fill="auto"/>
                  <w:tcMar>
                    <w:top w:w="120" w:type="dxa"/>
                    <w:left w:w="120" w:type="dxa"/>
                    <w:bottom w:w="120" w:type="dxa"/>
                    <w:right w:w="120" w:type="dxa"/>
                  </w:tcMar>
                  <w:vAlign w:val="center"/>
                </w:tcPr>
                <w:p w14:paraId="07EBEB0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350.0</w:t>
                  </w:r>
                </w:p>
              </w:tc>
              <w:tc>
                <w:tcPr>
                  <w:tcW w:w="778" w:type="pct"/>
                  <w:tcBorders>
                    <w:tl2br w:val="nil"/>
                    <w:tr2bl w:val="nil"/>
                  </w:tcBorders>
                  <w:shd w:val="clear" w:color="auto" w:fill="auto"/>
                  <w:tcMar>
                    <w:top w:w="120" w:type="dxa"/>
                    <w:left w:w="120" w:type="dxa"/>
                    <w:bottom w:w="120" w:type="dxa"/>
                    <w:right w:w="120" w:type="dxa"/>
                  </w:tcMar>
                  <w:vAlign w:val="center"/>
                </w:tcPr>
                <w:p w14:paraId="6CB13E3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45.0</w:t>
                  </w:r>
                </w:p>
              </w:tc>
              <w:tc>
                <w:tcPr>
                  <w:tcW w:w="778" w:type="pct"/>
                  <w:tcBorders>
                    <w:tl2br w:val="nil"/>
                    <w:tr2bl w:val="nil"/>
                  </w:tcBorders>
                  <w:shd w:val="clear" w:color="auto" w:fill="auto"/>
                  <w:tcMar>
                    <w:top w:w="120" w:type="dxa"/>
                    <w:left w:w="120" w:type="dxa"/>
                    <w:bottom w:w="120" w:type="dxa"/>
                    <w:right w:w="120" w:type="dxa"/>
                  </w:tcMar>
                  <w:vAlign w:val="center"/>
                </w:tcPr>
                <w:p w14:paraId="3B51233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70.0</w:t>
                  </w:r>
                </w:p>
              </w:tc>
              <w:tc>
                <w:tcPr>
                  <w:tcW w:w="778" w:type="pct"/>
                  <w:tcBorders>
                    <w:tl2br w:val="nil"/>
                    <w:tr2bl w:val="nil"/>
                  </w:tcBorders>
                  <w:shd w:val="clear" w:color="auto" w:fill="auto"/>
                  <w:tcMar>
                    <w:top w:w="120" w:type="dxa"/>
                    <w:left w:w="120" w:type="dxa"/>
                    <w:bottom w:w="120" w:type="dxa"/>
                    <w:right w:w="120" w:type="dxa"/>
                  </w:tcMar>
                  <w:vAlign w:val="center"/>
                </w:tcPr>
                <w:p w14:paraId="1139307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8.0</w:t>
                  </w:r>
                </w:p>
              </w:tc>
            </w:tr>
            <w:tr w14:paraId="4284EC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trPr>
              <w:tc>
                <w:tcPr>
                  <w:tcW w:w="412" w:type="pct"/>
                  <w:vMerge w:val="continue"/>
                  <w:tcBorders>
                    <w:tl2br w:val="nil"/>
                    <w:tr2bl w:val="nil"/>
                  </w:tcBorders>
                  <w:shd w:val="clear" w:color="auto" w:fill="auto"/>
                  <w:tcMar>
                    <w:top w:w="120" w:type="dxa"/>
                    <w:left w:w="120" w:type="dxa"/>
                    <w:bottom w:w="120" w:type="dxa"/>
                    <w:right w:w="120" w:type="dxa"/>
                  </w:tcMar>
                  <w:vAlign w:val="center"/>
                </w:tcPr>
                <w:p w14:paraId="7246895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96" w:type="pct"/>
                  <w:tcBorders>
                    <w:tl2br w:val="nil"/>
                    <w:tr2bl w:val="nil"/>
                  </w:tcBorders>
                  <w:shd w:val="clear" w:color="auto" w:fill="auto"/>
                  <w:tcMar>
                    <w:top w:w="120" w:type="dxa"/>
                    <w:left w:w="120" w:type="dxa"/>
                    <w:bottom w:w="120" w:type="dxa"/>
                    <w:right w:w="120" w:type="dxa"/>
                  </w:tcMar>
                  <w:vAlign w:val="center"/>
                </w:tcPr>
                <w:p w14:paraId="6E3AB1E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出水（一级A标准）</w:t>
                  </w:r>
                </w:p>
              </w:tc>
              <w:tc>
                <w:tcPr>
                  <w:tcW w:w="778" w:type="pct"/>
                  <w:tcBorders>
                    <w:tl2br w:val="nil"/>
                    <w:tr2bl w:val="nil"/>
                  </w:tcBorders>
                  <w:shd w:val="clear" w:color="auto" w:fill="auto"/>
                  <w:tcMar>
                    <w:top w:w="120" w:type="dxa"/>
                    <w:left w:w="120" w:type="dxa"/>
                    <w:bottom w:w="120" w:type="dxa"/>
                    <w:right w:w="120" w:type="dxa"/>
                  </w:tcMar>
                  <w:vAlign w:val="center"/>
                </w:tcPr>
                <w:p w14:paraId="7315BF6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50.0</w:t>
                  </w:r>
                </w:p>
              </w:tc>
              <w:tc>
                <w:tcPr>
                  <w:tcW w:w="778" w:type="pct"/>
                  <w:tcBorders>
                    <w:tl2br w:val="nil"/>
                    <w:tr2bl w:val="nil"/>
                  </w:tcBorders>
                  <w:shd w:val="clear" w:color="auto" w:fill="auto"/>
                  <w:tcMar>
                    <w:top w:w="120" w:type="dxa"/>
                    <w:left w:w="120" w:type="dxa"/>
                    <w:bottom w:w="120" w:type="dxa"/>
                    <w:right w:w="120" w:type="dxa"/>
                  </w:tcMar>
                  <w:vAlign w:val="center"/>
                </w:tcPr>
                <w:p w14:paraId="111BC7C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10.0</w:t>
                  </w:r>
                </w:p>
              </w:tc>
              <w:tc>
                <w:tcPr>
                  <w:tcW w:w="778" w:type="pct"/>
                  <w:tcBorders>
                    <w:tl2br w:val="nil"/>
                    <w:tr2bl w:val="nil"/>
                  </w:tcBorders>
                  <w:shd w:val="clear" w:color="auto" w:fill="auto"/>
                  <w:tcMar>
                    <w:top w:w="120" w:type="dxa"/>
                    <w:left w:w="120" w:type="dxa"/>
                    <w:bottom w:w="120" w:type="dxa"/>
                    <w:right w:w="120" w:type="dxa"/>
                  </w:tcMar>
                  <w:vAlign w:val="center"/>
                </w:tcPr>
                <w:p w14:paraId="2B49A19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5.0</w:t>
                  </w:r>
                </w:p>
              </w:tc>
              <w:tc>
                <w:tcPr>
                  <w:tcW w:w="778" w:type="pct"/>
                  <w:tcBorders>
                    <w:tl2br w:val="nil"/>
                    <w:tr2bl w:val="nil"/>
                  </w:tcBorders>
                  <w:shd w:val="clear" w:color="auto" w:fill="auto"/>
                  <w:tcMar>
                    <w:top w:w="120" w:type="dxa"/>
                    <w:left w:w="120" w:type="dxa"/>
                    <w:bottom w:w="120" w:type="dxa"/>
                    <w:right w:w="120" w:type="dxa"/>
                  </w:tcMar>
                  <w:vAlign w:val="center"/>
                </w:tcPr>
                <w:p w14:paraId="68712BB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15.0</w:t>
                  </w:r>
                </w:p>
              </w:tc>
              <w:tc>
                <w:tcPr>
                  <w:tcW w:w="778" w:type="pct"/>
                  <w:tcBorders>
                    <w:tl2br w:val="nil"/>
                    <w:tr2bl w:val="nil"/>
                  </w:tcBorders>
                  <w:shd w:val="clear" w:color="auto" w:fill="auto"/>
                  <w:tcMar>
                    <w:top w:w="120" w:type="dxa"/>
                    <w:left w:w="120" w:type="dxa"/>
                    <w:bottom w:w="120" w:type="dxa"/>
                    <w:right w:w="120" w:type="dxa"/>
                  </w:tcMar>
                  <w:vAlign w:val="center"/>
                </w:tcPr>
                <w:p w14:paraId="7F38C40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0.5</w:t>
                  </w:r>
                </w:p>
              </w:tc>
            </w:tr>
            <w:tr w14:paraId="42EC94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trPr>
              <w:tc>
                <w:tcPr>
                  <w:tcW w:w="412" w:type="pct"/>
                  <w:vMerge w:val="continue"/>
                  <w:tcBorders>
                    <w:tl2br w:val="nil"/>
                    <w:tr2bl w:val="nil"/>
                  </w:tcBorders>
                  <w:shd w:val="clear" w:color="auto" w:fill="auto"/>
                  <w:tcMar>
                    <w:top w:w="120" w:type="dxa"/>
                    <w:left w:w="120" w:type="dxa"/>
                    <w:bottom w:w="120" w:type="dxa"/>
                    <w:right w:w="120" w:type="dxa"/>
                  </w:tcMar>
                  <w:vAlign w:val="center"/>
                </w:tcPr>
                <w:p w14:paraId="3D95D73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96" w:type="pct"/>
                  <w:tcBorders>
                    <w:tl2br w:val="nil"/>
                    <w:tr2bl w:val="nil"/>
                  </w:tcBorders>
                  <w:shd w:val="clear" w:color="auto" w:fill="auto"/>
                  <w:tcMar>
                    <w:top w:w="120" w:type="dxa"/>
                    <w:left w:w="120" w:type="dxa"/>
                    <w:bottom w:w="120" w:type="dxa"/>
                    <w:right w:w="120" w:type="dxa"/>
                  </w:tcMar>
                  <w:vAlign w:val="center"/>
                </w:tcPr>
                <w:p w14:paraId="3ADA622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去除率（%）</w:t>
                  </w:r>
                </w:p>
              </w:tc>
              <w:tc>
                <w:tcPr>
                  <w:tcW w:w="778" w:type="pct"/>
                  <w:tcBorders>
                    <w:tl2br w:val="nil"/>
                    <w:tr2bl w:val="nil"/>
                  </w:tcBorders>
                  <w:shd w:val="clear" w:color="auto" w:fill="auto"/>
                  <w:tcMar>
                    <w:top w:w="120" w:type="dxa"/>
                    <w:left w:w="120" w:type="dxa"/>
                    <w:bottom w:w="120" w:type="dxa"/>
                    <w:right w:w="120" w:type="dxa"/>
                  </w:tcMar>
                  <w:vAlign w:val="center"/>
                </w:tcPr>
                <w:p w14:paraId="7152B81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90.0</w:t>
                  </w:r>
                </w:p>
              </w:tc>
              <w:tc>
                <w:tcPr>
                  <w:tcW w:w="778" w:type="pct"/>
                  <w:tcBorders>
                    <w:tl2br w:val="nil"/>
                    <w:tr2bl w:val="nil"/>
                  </w:tcBorders>
                  <w:shd w:val="clear" w:color="auto" w:fill="auto"/>
                  <w:tcMar>
                    <w:top w:w="120" w:type="dxa"/>
                    <w:left w:w="120" w:type="dxa"/>
                    <w:bottom w:w="120" w:type="dxa"/>
                    <w:right w:w="120" w:type="dxa"/>
                  </w:tcMar>
                  <w:vAlign w:val="center"/>
                </w:tcPr>
                <w:p w14:paraId="73F81C4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97.14</w:t>
                  </w:r>
                </w:p>
              </w:tc>
              <w:tc>
                <w:tcPr>
                  <w:tcW w:w="778" w:type="pct"/>
                  <w:tcBorders>
                    <w:tl2br w:val="nil"/>
                    <w:tr2bl w:val="nil"/>
                  </w:tcBorders>
                  <w:shd w:val="clear" w:color="auto" w:fill="auto"/>
                  <w:tcMar>
                    <w:top w:w="120" w:type="dxa"/>
                    <w:left w:w="120" w:type="dxa"/>
                    <w:bottom w:w="120" w:type="dxa"/>
                    <w:right w:w="120" w:type="dxa"/>
                  </w:tcMar>
                  <w:vAlign w:val="center"/>
                </w:tcPr>
                <w:p w14:paraId="686EAF7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88.89</w:t>
                  </w:r>
                </w:p>
              </w:tc>
              <w:tc>
                <w:tcPr>
                  <w:tcW w:w="778" w:type="pct"/>
                  <w:tcBorders>
                    <w:tl2br w:val="nil"/>
                    <w:tr2bl w:val="nil"/>
                  </w:tcBorders>
                  <w:shd w:val="clear" w:color="auto" w:fill="auto"/>
                  <w:tcMar>
                    <w:top w:w="120" w:type="dxa"/>
                    <w:left w:w="120" w:type="dxa"/>
                    <w:bottom w:w="120" w:type="dxa"/>
                    <w:right w:w="120" w:type="dxa"/>
                  </w:tcMar>
                  <w:vAlign w:val="center"/>
                </w:tcPr>
                <w:p w14:paraId="62879D4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78.57</w:t>
                  </w:r>
                </w:p>
              </w:tc>
              <w:tc>
                <w:tcPr>
                  <w:tcW w:w="778" w:type="pct"/>
                  <w:tcBorders>
                    <w:tl2br w:val="nil"/>
                    <w:tr2bl w:val="nil"/>
                  </w:tcBorders>
                  <w:shd w:val="clear" w:color="auto" w:fill="auto"/>
                  <w:tcMar>
                    <w:top w:w="120" w:type="dxa"/>
                    <w:left w:w="120" w:type="dxa"/>
                    <w:bottom w:w="120" w:type="dxa"/>
                    <w:right w:w="120" w:type="dxa"/>
                  </w:tcMar>
                  <w:vAlign w:val="center"/>
                </w:tcPr>
                <w:p w14:paraId="3C750F7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93.75</w:t>
                  </w:r>
                </w:p>
              </w:tc>
            </w:tr>
          </w:tbl>
          <w:p w14:paraId="6D1B7B1B">
            <w:pPr>
              <w:keepNext w:val="0"/>
              <w:keepLines w:val="0"/>
              <w:pageBreakBefore w:val="0"/>
              <w:widowControl w:val="0"/>
              <w:kinsoku/>
              <w:wordWrap/>
              <w:overflowPunct/>
              <w:topLinePunct w:val="0"/>
              <w:autoSpaceDE/>
              <w:autoSpaceDN/>
              <w:bidi w:val="0"/>
              <w:adjustRightInd w:val="0"/>
              <w:snapToGrid w:val="0"/>
              <w:textAlignment w:val="auto"/>
              <w:rPr>
                <w:color w:val="000000" w:themeColor="text1"/>
                <w:highlight w:val="none"/>
                <w14:textFill>
                  <w14:solidFill>
                    <w14:schemeClr w14:val="tx1"/>
                  </w14:solidFill>
                </w14:textFill>
              </w:rPr>
            </w:pPr>
          </w:p>
          <w:p w14:paraId="1778B76E">
            <w:pPr>
              <w:keepNext w:val="0"/>
              <w:keepLines w:val="0"/>
              <w:pageBreakBefore w:val="0"/>
              <w:widowControl w:val="0"/>
              <w:kinsoku/>
              <w:wordWrap/>
              <w:overflowPunct/>
              <w:topLinePunct w:val="0"/>
              <w:autoSpaceDE/>
              <w:autoSpaceDN/>
              <w:bidi w:val="0"/>
              <w:adjustRightInd w:val="0"/>
              <w:snapToGrid w:val="0"/>
              <w:textAlignment w:val="auto"/>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8、公用工程</w:t>
            </w:r>
          </w:p>
          <w:p w14:paraId="5C1179D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供电</w:t>
            </w:r>
          </w:p>
          <w:p w14:paraId="41CBFC9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供电依托原有供电系统进行供配电</w:t>
            </w:r>
            <w:r>
              <w:rPr>
                <w:rFonts w:hint="eastAsia"/>
                <w:color w:val="000000" w:themeColor="text1"/>
                <w:highlight w:val="none"/>
                <w:lang w:val="en-US" w:eastAsia="zh-CN"/>
                <w14:textFill>
                  <w14:solidFill>
                    <w14:schemeClr w14:val="tx1"/>
                  </w14:solidFill>
                </w14:textFill>
              </w:rPr>
              <w:t>，沿用2路10kV高压电源，新增1路出线柜。保留原有1250kVA变压器，新增1台1600kVA干式变压器（SCB14-1600/10/0.4kV）。</w:t>
            </w:r>
          </w:p>
          <w:p w14:paraId="7FFAFF7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给水</w:t>
            </w:r>
          </w:p>
          <w:p w14:paraId="24B00B9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项目污水处理厂区用水由市政自来水管网接入，主要用于员工生活及消防用水等。厂区内呈环网状布置，有利于消防和安全供水。本项目不涉及新增员工，不涉及新增生活用水。</w:t>
            </w:r>
          </w:p>
          <w:p w14:paraId="4EE0C40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）排水</w:t>
            </w:r>
          </w:p>
          <w:p w14:paraId="1F7BB1C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厂区排水采用雨污分流制。厂内污水收集后</w:t>
            </w:r>
            <w:r>
              <w:rPr>
                <w:rFonts w:hint="eastAsia"/>
                <w:color w:val="000000" w:themeColor="text1"/>
                <w:highlight w:val="none"/>
                <w:lang w:val="en-US" w:eastAsia="zh-CN"/>
                <w14:textFill>
                  <w14:solidFill>
                    <w14:schemeClr w14:val="tx1"/>
                  </w14:solidFill>
                </w14:textFill>
              </w:rPr>
              <w:t>进入</w:t>
            </w:r>
            <w:r>
              <w:rPr>
                <w:rFonts w:hint="eastAsia"/>
                <w:color w:val="000000" w:themeColor="text1"/>
                <w:highlight w:val="none"/>
                <w14:textFill>
                  <w14:solidFill>
                    <w14:schemeClr w14:val="tx1"/>
                  </w14:solidFill>
                </w14:textFill>
              </w:rPr>
              <w:t>污水处理设施前端，纳入污水处理系统进行处理。厂区雨水采用地面散排方式</w:t>
            </w:r>
            <w:r>
              <w:rPr>
                <w:rFonts w:hint="eastAsia"/>
                <w:color w:val="000000" w:themeColor="text1"/>
                <w:highlight w:val="none"/>
                <w:lang w:val="en-US" w:eastAsia="zh-CN"/>
                <w14:textFill>
                  <w14:solidFill>
                    <w14:schemeClr w14:val="tx1"/>
                  </w14:solidFill>
                </w14:textFill>
              </w:rPr>
              <w:t>处理</w:t>
            </w:r>
            <w:r>
              <w:rPr>
                <w:rFonts w:hint="eastAsia"/>
                <w:color w:val="000000" w:themeColor="text1"/>
                <w:highlight w:val="none"/>
                <w14:textFill>
                  <w14:solidFill>
                    <w14:schemeClr w14:val="tx1"/>
                  </w14:solidFill>
                </w14:textFill>
              </w:rPr>
              <w:t>。</w:t>
            </w:r>
          </w:p>
          <w:p w14:paraId="556E125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1）栅渣压滤水</w:t>
            </w:r>
          </w:p>
          <w:p w14:paraId="0E4C0D3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扩建部分</w:t>
            </w:r>
            <w:r>
              <w:rPr>
                <w:rFonts w:hint="default"/>
                <w:color w:val="000000" w:themeColor="text1"/>
                <w:highlight w:val="none"/>
                <w:lang w:val="en-US" w:eastAsia="zh-CN"/>
                <w14:textFill>
                  <w14:solidFill>
                    <w14:schemeClr w14:val="tx1"/>
                  </w14:solidFill>
                </w14:textFill>
              </w:rPr>
              <w:t>项目污废水处理系统，栅渣产生量为</w:t>
            </w:r>
            <w:r>
              <w:rPr>
                <w:rFonts w:hint="eastAsia"/>
                <w:color w:val="000000" w:themeColor="text1"/>
                <w:highlight w:val="none"/>
                <w:lang w:val="en-US" w:eastAsia="zh-CN"/>
                <w14:textFill>
                  <w14:solidFill>
                    <w14:schemeClr w14:val="tx1"/>
                  </w14:solidFill>
                </w14:textFill>
              </w:rPr>
              <w:t>131.4</w:t>
            </w:r>
            <w:r>
              <w:rPr>
                <w:rFonts w:hint="default"/>
                <w:color w:val="000000" w:themeColor="text1"/>
                <w:highlight w:val="none"/>
                <w:lang w:val="en-US" w:eastAsia="zh-CN"/>
                <w14:textFill>
                  <w14:solidFill>
                    <w14:schemeClr w14:val="tx1"/>
                  </w14:solidFill>
                </w14:textFill>
              </w:rPr>
              <w:t>t/a，含水率80%，经滤水后干栅渣为</w:t>
            </w:r>
            <w:r>
              <w:rPr>
                <w:rFonts w:hint="eastAsia"/>
                <w:color w:val="000000" w:themeColor="text1"/>
                <w:highlight w:val="none"/>
                <w:lang w:val="en-US" w:eastAsia="zh-CN"/>
                <w14:textFill>
                  <w14:solidFill>
                    <w14:schemeClr w14:val="tx1"/>
                  </w14:solidFill>
                </w14:textFill>
              </w:rPr>
              <w:t>65.7</w:t>
            </w:r>
            <w:r>
              <w:rPr>
                <w:rFonts w:hint="default"/>
                <w:color w:val="000000" w:themeColor="text1"/>
                <w:highlight w:val="none"/>
                <w:lang w:val="en-US" w:eastAsia="zh-CN"/>
                <w14:textFill>
                  <w14:solidFill>
                    <w14:schemeClr w14:val="tx1"/>
                  </w14:solidFill>
                </w14:textFill>
              </w:rPr>
              <w:t>t/a，含水率为60%，故压滤过程中产生的滤水量为</w:t>
            </w:r>
            <w:r>
              <w:rPr>
                <w:rFonts w:hint="eastAsia"/>
                <w:color w:val="000000" w:themeColor="text1"/>
                <w:highlight w:val="none"/>
                <w:lang w:val="en-US" w:eastAsia="zh-CN"/>
                <w14:textFill>
                  <w14:solidFill>
                    <w14:schemeClr w14:val="tx1"/>
                  </w14:solidFill>
                </w14:textFill>
              </w:rPr>
              <w:t>65.7</w:t>
            </w:r>
            <w:r>
              <w:rPr>
                <w:rFonts w:hint="default"/>
                <w:color w:val="000000" w:themeColor="text1"/>
                <w:highlight w:val="none"/>
                <w:lang w:val="en-US" w:eastAsia="zh-CN"/>
                <w14:textFill>
                  <w14:solidFill>
                    <w14:schemeClr w14:val="tx1"/>
                  </w14:solidFill>
                </w14:textFill>
              </w:rPr>
              <w:t>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/a。</w:t>
            </w:r>
          </w:p>
          <w:p w14:paraId="1F26AAA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扩建后一期整体工程</w:t>
            </w:r>
            <w:r>
              <w:rPr>
                <w:rFonts w:hint="default"/>
                <w:color w:val="000000" w:themeColor="text1"/>
                <w:highlight w:val="none"/>
                <w:lang w:val="en-US" w:eastAsia="zh-CN"/>
                <w14:textFill>
                  <w14:solidFill>
                    <w14:schemeClr w14:val="tx1"/>
                  </w14:solidFill>
                </w14:textFill>
              </w:rPr>
              <w:t>栅渣产生量为</w:t>
            </w:r>
            <w:r>
              <w:rPr>
                <w:rFonts w:hint="eastAsia"/>
                <w:color w:val="000000" w:themeColor="text1"/>
                <w:highlight w:val="none"/>
                <w:lang w:val="en-US" w:eastAsia="zh-CN"/>
                <w14:textFill>
                  <w14:solidFill>
                    <w14:schemeClr w14:val="tx1"/>
                  </w14:solidFill>
                </w14:textFill>
              </w:rPr>
              <w:t>262.8</w:t>
            </w:r>
            <w:r>
              <w:rPr>
                <w:rFonts w:hint="default"/>
                <w:color w:val="000000" w:themeColor="text1"/>
                <w:highlight w:val="none"/>
                <w:lang w:val="en-US" w:eastAsia="zh-CN"/>
                <w14:textFill>
                  <w14:solidFill>
                    <w14:schemeClr w14:val="tx1"/>
                  </w14:solidFill>
                </w14:textFill>
              </w:rPr>
              <w:t>t/a，含水率80%，经滤水后干栅渣为</w:t>
            </w:r>
            <w:r>
              <w:rPr>
                <w:rFonts w:hint="eastAsia"/>
                <w:color w:val="000000" w:themeColor="text1"/>
                <w:highlight w:val="none"/>
                <w:lang w:val="en-US" w:eastAsia="zh-CN"/>
                <w14:textFill>
                  <w14:solidFill>
                    <w14:schemeClr w14:val="tx1"/>
                  </w14:solidFill>
                </w14:textFill>
              </w:rPr>
              <w:t>131.4</w:t>
            </w:r>
            <w:r>
              <w:rPr>
                <w:rFonts w:hint="default"/>
                <w:color w:val="000000" w:themeColor="text1"/>
                <w:highlight w:val="none"/>
                <w:lang w:val="en-US" w:eastAsia="zh-CN"/>
                <w14:textFill>
                  <w14:solidFill>
                    <w14:schemeClr w14:val="tx1"/>
                  </w14:solidFill>
                </w14:textFill>
              </w:rPr>
              <w:t>t/a，含水率为60%，故压滤过程中产生的滤水量为</w:t>
            </w:r>
            <w:r>
              <w:rPr>
                <w:rFonts w:hint="eastAsia"/>
                <w:color w:val="000000" w:themeColor="text1"/>
                <w:highlight w:val="none"/>
                <w:lang w:val="en-US" w:eastAsia="zh-CN"/>
                <w14:textFill>
                  <w14:solidFill>
                    <w14:schemeClr w14:val="tx1"/>
                  </w14:solidFill>
                </w14:textFill>
              </w:rPr>
              <w:t>131.4</w:t>
            </w:r>
            <w:r>
              <w:rPr>
                <w:rFonts w:hint="default"/>
                <w:color w:val="000000" w:themeColor="text1"/>
                <w:highlight w:val="none"/>
                <w:lang w:val="en-US" w:eastAsia="zh-CN"/>
                <w14:textFill>
                  <w14:solidFill>
                    <w14:schemeClr w14:val="tx1"/>
                  </w14:solidFill>
                </w14:textFill>
              </w:rPr>
              <w:t>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/a。栅渣压滤水通过专用管道导流至前端处理单元，与原污水合并处理。</w:t>
            </w:r>
          </w:p>
          <w:p w14:paraId="3EFC711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2）沉沙分离水</w:t>
            </w:r>
          </w:p>
          <w:p w14:paraId="66A3958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扩建</w:t>
            </w:r>
            <w:r>
              <w:rPr>
                <w:rFonts w:hint="eastAsia"/>
                <w:color w:val="000000" w:themeColor="text1"/>
                <w:highlight w:val="none"/>
                <w14:textFill>
                  <w14:solidFill>
                    <w14:schemeClr w14:val="tx1"/>
                  </w14:solidFill>
                </w14:textFill>
              </w:rPr>
              <w:t>项目污废水处理系统，沉砂池产生沉砂量为</w:t>
            </w:r>
            <w:r>
              <w:rPr>
                <w:rFonts w:hint="eastAsia"/>
                <w:color w:val="000000" w:themeColor="text1"/>
                <w:highlight w:val="none"/>
                <w:lang w:val="en-US" w:eastAsia="zh-CN"/>
                <w14:textFill>
                  <w14:solidFill>
                    <w14:schemeClr w14:val="tx1"/>
                  </w14:solidFill>
                </w14:textFill>
              </w:rPr>
              <w:t>246.375</w:t>
            </w:r>
            <w:r>
              <w:rPr>
                <w:rFonts w:hint="eastAsia"/>
                <w:color w:val="000000" w:themeColor="text1"/>
                <w:highlight w:val="none"/>
                <w14:textFill>
                  <w14:solidFill>
                    <w14:schemeClr w14:val="tx1"/>
                  </w14:solidFill>
                </w14:textFill>
              </w:rPr>
              <w:t>t/a，含水率80%，经砂水分离器滤水后干砂量为</w:t>
            </w:r>
            <w:r>
              <w:rPr>
                <w:rFonts w:hint="eastAsia"/>
                <w:color w:val="000000" w:themeColor="text1"/>
                <w:highlight w:val="none"/>
                <w:lang w:val="en-US" w:eastAsia="zh-CN"/>
                <w14:textFill>
                  <w14:solidFill>
                    <w14:schemeClr w14:val="tx1"/>
                  </w14:solidFill>
                </w14:textFill>
              </w:rPr>
              <w:t>123.19</w:t>
            </w:r>
            <w:r>
              <w:rPr>
                <w:rFonts w:hint="eastAsia"/>
                <w:color w:val="000000" w:themeColor="text1"/>
                <w:highlight w:val="none"/>
                <w14:textFill>
                  <w14:solidFill>
                    <w14:schemeClr w14:val="tx1"/>
                  </w14:solidFill>
                </w14:textFill>
              </w:rPr>
              <w:t>t/a，含水率为60%，故压滤过程中产生的滤水量为</w:t>
            </w:r>
            <w:r>
              <w:rPr>
                <w:rFonts w:hint="eastAsia"/>
                <w:color w:val="000000" w:themeColor="text1"/>
                <w:highlight w:val="none"/>
                <w:lang w:val="en-US" w:eastAsia="zh-CN"/>
                <w14:textFill>
                  <w14:solidFill>
                    <w14:schemeClr w14:val="tx1"/>
                  </w14:solidFill>
                </w14:textFill>
              </w:rPr>
              <w:t>123.185</w:t>
            </w:r>
            <w:r>
              <w:rPr>
                <w:rFonts w:hint="eastAsia"/>
                <w:color w:val="000000" w:themeColor="text1"/>
                <w:highlight w:val="none"/>
                <w14:textFill>
                  <w14:solidFill>
                    <w14:schemeClr w14:val="tx1"/>
                  </w14:solidFill>
                </w14:textFill>
              </w:rPr>
              <w:t>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/a。</w:t>
            </w:r>
          </w:p>
          <w:p w14:paraId="20E8451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扩建后一期整体工程</w:t>
            </w:r>
            <w:r>
              <w:rPr>
                <w:rFonts w:hint="eastAsia"/>
                <w:color w:val="000000" w:themeColor="text1"/>
                <w:highlight w:val="none"/>
                <w14:textFill>
                  <w14:solidFill>
                    <w14:schemeClr w14:val="tx1"/>
                  </w14:solidFill>
                </w14:textFill>
              </w:rPr>
              <w:t>污废水处理系统，沉砂池产生沉砂量为</w:t>
            </w:r>
            <w:r>
              <w:rPr>
                <w:rFonts w:hint="eastAsia"/>
                <w:color w:val="000000" w:themeColor="text1"/>
                <w:highlight w:val="none"/>
                <w:lang w:val="en-US" w:eastAsia="zh-CN"/>
                <w14:textFill>
                  <w14:solidFill>
                    <w14:schemeClr w14:val="tx1"/>
                  </w14:solidFill>
                </w14:textFill>
              </w:rPr>
              <w:t>492.75</w:t>
            </w:r>
            <w:r>
              <w:rPr>
                <w:rFonts w:hint="eastAsia"/>
                <w:color w:val="000000" w:themeColor="text1"/>
                <w:highlight w:val="none"/>
                <w14:textFill>
                  <w14:solidFill>
                    <w14:schemeClr w14:val="tx1"/>
                  </w14:solidFill>
                </w14:textFill>
              </w:rPr>
              <w:t>t/a，含水率80%，经砂水分离器滤水后干砂量为</w:t>
            </w:r>
            <w:r>
              <w:rPr>
                <w:rFonts w:hint="eastAsia"/>
                <w:color w:val="000000" w:themeColor="text1"/>
                <w:highlight w:val="none"/>
                <w:lang w:val="en-US" w:eastAsia="zh-CN"/>
                <w14:textFill>
                  <w14:solidFill>
                    <w14:schemeClr w14:val="tx1"/>
                  </w14:solidFill>
                </w14:textFill>
              </w:rPr>
              <w:t>246.38</w:t>
            </w:r>
            <w:r>
              <w:rPr>
                <w:rFonts w:hint="eastAsia"/>
                <w:color w:val="000000" w:themeColor="text1"/>
                <w:highlight w:val="none"/>
                <w14:textFill>
                  <w14:solidFill>
                    <w14:schemeClr w14:val="tx1"/>
                  </w14:solidFill>
                </w14:textFill>
              </w:rPr>
              <w:t>t/a，含水率为60%，故压滤过程中产生的滤水量为</w:t>
            </w:r>
            <w:r>
              <w:rPr>
                <w:rFonts w:hint="eastAsia"/>
                <w:color w:val="000000" w:themeColor="text1"/>
                <w:highlight w:val="none"/>
                <w:lang w:val="en-US" w:eastAsia="zh-CN"/>
                <w14:textFill>
                  <w14:solidFill>
                    <w14:schemeClr w14:val="tx1"/>
                  </w14:solidFill>
                </w14:textFill>
              </w:rPr>
              <w:t>246.37</w:t>
            </w:r>
            <w:r>
              <w:rPr>
                <w:rFonts w:hint="eastAsia"/>
                <w:color w:val="000000" w:themeColor="text1"/>
                <w:highlight w:val="none"/>
                <w14:textFill>
                  <w14:solidFill>
                    <w14:schemeClr w14:val="tx1"/>
                  </w14:solidFill>
                </w14:textFill>
              </w:rPr>
              <w:t>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/a。沉砂分离水通过专用管道导流至前端处理单元，与原污水合并处理。</w:t>
            </w:r>
          </w:p>
          <w:p w14:paraId="2B530B5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3）污泥脱水废水</w:t>
            </w:r>
          </w:p>
          <w:p w14:paraId="5E0DF84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扩建部分</w:t>
            </w:r>
            <w:r>
              <w:rPr>
                <w:rFonts w:hint="eastAsia"/>
                <w:color w:val="000000" w:themeColor="text1"/>
                <w:highlight w:val="none"/>
                <w14:textFill>
                  <w14:solidFill>
                    <w14:schemeClr w14:val="tx1"/>
                  </w14:solidFill>
                </w14:textFill>
              </w:rPr>
              <w:t>污泥产生量为</w:t>
            </w:r>
            <w:r>
              <w:rPr>
                <w:rFonts w:hint="eastAsia"/>
                <w:color w:val="000000" w:themeColor="text1"/>
                <w:highlight w:val="none"/>
                <w:lang w:val="en-US" w:eastAsia="zh-CN"/>
                <w14:textFill>
                  <w14:solidFill>
                    <w14:schemeClr w14:val="tx1"/>
                  </w14:solidFill>
                </w14:textFill>
              </w:rPr>
              <w:t>120</w:t>
            </w:r>
            <w:r>
              <w:rPr>
                <w:rFonts w:hint="eastAsia"/>
                <w:color w:val="000000" w:themeColor="text1"/>
                <w:highlight w:val="none"/>
                <w14:textFill>
                  <w14:solidFill>
                    <w14:schemeClr w14:val="tx1"/>
                  </w14:solidFill>
                </w14:textFill>
              </w:rPr>
              <w:t>t/d，</w:t>
            </w:r>
            <w:r>
              <w:rPr>
                <w:rFonts w:hint="eastAsia"/>
                <w:color w:val="000000" w:themeColor="text1"/>
                <w:highlight w:val="none"/>
                <w:lang w:val="en-US" w:eastAsia="zh-CN"/>
                <w14:textFill>
                  <w14:solidFill>
                    <w14:schemeClr w14:val="tx1"/>
                  </w14:solidFill>
                </w14:textFill>
              </w:rPr>
              <w:t>43800</w:t>
            </w:r>
            <w:r>
              <w:rPr>
                <w:rFonts w:hint="eastAsia"/>
                <w:color w:val="000000" w:themeColor="text1"/>
                <w:highlight w:val="none"/>
                <w14:textFill>
                  <w14:solidFill>
                    <w14:schemeClr w14:val="tx1"/>
                  </w14:solidFill>
                </w14:textFill>
              </w:rPr>
              <w:t>t/a，含水率为98%，经污泥脱水机压滤脱水处理后污泥量为</w:t>
            </w:r>
            <w:r>
              <w:rPr>
                <w:rFonts w:hint="eastAsia"/>
                <w:color w:val="000000" w:themeColor="text1"/>
                <w:highlight w:val="none"/>
                <w:lang w:val="en-US" w:eastAsia="zh-CN"/>
                <w14:textFill>
                  <w14:solidFill>
                    <w14:schemeClr w14:val="tx1"/>
                  </w14:solidFill>
                </w14:textFill>
              </w:rPr>
              <w:t>6</w:t>
            </w:r>
            <w:r>
              <w:rPr>
                <w:rFonts w:hint="eastAsia"/>
                <w:color w:val="000000" w:themeColor="text1"/>
                <w:highlight w:val="none"/>
                <w14:textFill>
                  <w14:solidFill>
                    <w14:schemeClr w14:val="tx1"/>
                  </w14:solidFill>
                </w14:textFill>
              </w:rPr>
              <w:t>t/d，</w:t>
            </w:r>
            <w:r>
              <w:rPr>
                <w:rFonts w:hint="eastAsia"/>
                <w:color w:val="000000" w:themeColor="text1"/>
                <w:highlight w:val="none"/>
                <w:lang w:val="en-US" w:eastAsia="zh-CN"/>
                <w14:textFill>
                  <w14:solidFill>
                    <w14:schemeClr w14:val="tx1"/>
                  </w14:solidFill>
                </w14:textFill>
              </w:rPr>
              <w:t>2190</w:t>
            </w:r>
            <w:r>
              <w:rPr>
                <w:rFonts w:hint="eastAsia"/>
                <w:color w:val="000000" w:themeColor="text1"/>
                <w:highlight w:val="none"/>
                <w14:textFill>
                  <w14:solidFill>
                    <w14:schemeClr w14:val="tx1"/>
                  </w14:solidFill>
                </w14:textFill>
              </w:rPr>
              <w:t>t/a，含水率为60%，则污泥脱水机压滤过程中产生的滤水量为</w:t>
            </w:r>
            <w:r>
              <w:rPr>
                <w:rFonts w:hint="eastAsia"/>
                <w:color w:val="000000" w:themeColor="text1"/>
                <w:highlight w:val="none"/>
                <w:lang w:val="en-US" w:eastAsia="zh-CN"/>
                <w14:textFill>
                  <w14:solidFill>
                    <w14:schemeClr w14:val="tx1"/>
                  </w14:solidFill>
                </w14:textFill>
              </w:rPr>
              <w:t>114</w:t>
            </w:r>
            <w:r>
              <w:rPr>
                <w:rFonts w:hint="eastAsia"/>
                <w:color w:val="000000" w:themeColor="text1"/>
                <w:highlight w:val="none"/>
                <w14:textFill>
                  <w14:solidFill>
                    <w14:schemeClr w14:val="tx1"/>
                  </w14:solidFill>
                </w14:textFill>
              </w:rPr>
              <w:t>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/d，</w:t>
            </w:r>
            <w:r>
              <w:rPr>
                <w:rFonts w:hint="eastAsia"/>
                <w:color w:val="000000" w:themeColor="text1"/>
                <w:highlight w:val="none"/>
                <w:lang w:val="en-US" w:eastAsia="zh-CN"/>
                <w14:textFill>
                  <w14:solidFill>
                    <w14:schemeClr w14:val="tx1"/>
                  </w14:solidFill>
                </w14:textFill>
              </w:rPr>
              <w:t>41610</w:t>
            </w:r>
            <w:r>
              <w:rPr>
                <w:rFonts w:hint="eastAsia"/>
                <w:color w:val="000000" w:themeColor="text1"/>
                <w:highlight w:val="none"/>
                <w14:textFill>
                  <w14:solidFill>
                    <w14:schemeClr w14:val="tx1"/>
                  </w14:solidFill>
                </w14:textFill>
              </w:rPr>
              <w:t>t/d。</w:t>
            </w:r>
          </w:p>
          <w:p w14:paraId="1C08912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扩建后一期整体</w:t>
            </w:r>
            <w:r>
              <w:rPr>
                <w:rFonts w:hint="eastAsia"/>
                <w:color w:val="000000" w:themeColor="text1"/>
                <w:highlight w:val="none"/>
                <w14:textFill>
                  <w14:solidFill>
                    <w14:schemeClr w14:val="tx1"/>
                  </w14:solidFill>
                </w14:textFill>
              </w:rPr>
              <w:t>项目污泥产生量为</w:t>
            </w:r>
            <w:r>
              <w:rPr>
                <w:rFonts w:hint="eastAsia"/>
                <w:color w:val="000000" w:themeColor="text1"/>
                <w:highlight w:val="none"/>
                <w:lang w:val="en-US" w:eastAsia="zh-CN"/>
                <w14:textFill>
                  <w14:solidFill>
                    <w14:schemeClr w14:val="tx1"/>
                  </w14:solidFill>
                </w14:textFill>
              </w:rPr>
              <w:t>240</w:t>
            </w:r>
            <w:r>
              <w:rPr>
                <w:rFonts w:hint="eastAsia"/>
                <w:color w:val="000000" w:themeColor="text1"/>
                <w:highlight w:val="none"/>
                <w14:textFill>
                  <w14:solidFill>
                    <w14:schemeClr w14:val="tx1"/>
                  </w14:solidFill>
                </w14:textFill>
              </w:rPr>
              <w:t>t/d，</w:t>
            </w:r>
            <w:r>
              <w:rPr>
                <w:rFonts w:hint="eastAsia"/>
                <w:color w:val="000000" w:themeColor="text1"/>
                <w:highlight w:val="none"/>
                <w:lang w:val="en-US" w:eastAsia="zh-CN"/>
                <w14:textFill>
                  <w14:solidFill>
                    <w14:schemeClr w14:val="tx1"/>
                  </w14:solidFill>
                </w14:textFill>
              </w:rPr>
              <w:t>87600</w:t>
            </w:r>
            <w:r>
              <w:rPr>
                <w:rFonts w:hint="eastAsia"/>
                <w:color w:val="000000" w:themeColor="text1"/>
                <w:highlight w:val="none"/>
                <w14:textFill>
                  <w14:solidFill>
                    <w14:schemeClr w14:val="tx1"/>
                  </w14:solidFill>
                </w14:textFill>
              </w:rPr>
              <w:t>t/a，含水率为98%，经污泥脱水机压滤脱水处理后污泥量为</w:t>
            </w:r>
            <w:r>
              <w:rPr>
                <w:rFonts w:hint="eastAsia"/>
                <w:color w:val="000000" w:themeColor="text1"/>
                <w:highlight w:val="none"/>
                <w:lang w:val="en-US" w:eastAsia="zh-CN"/>
                <w14:textFill>
                  <w14:solidFill>
                    <w14:schemeClr w14:val="tx1"/>
                  </w14:solidFill>
                </w14:textFill>
              </w:rPr>
              <w:t>12</w:t>
            </w:r>
            <w:r>
              <w:rPr>
                <w:rFonts w:hint="eastAsia"/>
                <w:color w:val="000000" w:themeColor="text1"/>
                <w:highlight w:val="none"/>
                <w14:textFill>
                  <w14:solidFill>
                    <w14:schemeClr w14:val="tx1"/>
                  </w14:solidFill>
                </w14:textFill>
              </w:rPr>
              <w:t>t/d，</w:t>
            </w:r>
            <w:r>
              <w:rPr>
                <w:rFonts w:hint="eastAsia"/>
                <w:color w:val="000000" w:themeColor="text1"/>
                <w:highlight w:val="none"/>
                <w:lang w:val="en-US" w:eastAsia="zh-CN"/>
                <w14:textFill>
                  <w14:solidFill>
                    <w14:schemeClr w14:val="tx1"/>
                  </w14:solidFill>
                </w14:textFill>
              </w:rPr>
              <w:t>4380</w:t>
            </w:r>
            <w:r>
              <w:rPr>
                <w:rFonts w:hint="eastAsia"/>
                <w:color w:val="000000" w:themeColor="text1"/>
                <w:highlight w:val="none"/>
                <w14:textFill>
                  <w14:solidFill>
                    <w14:schemeClr w14:val="tx1"/>
                  </w14:solidFill>
                </w14:textFill>
              </w:rPr>
              <w:t>t/a，含水率为60%，则污泥脱水机压滤过程中产生的滤水量为</w:t>
            </w:r>
            <w:r>
              <w:rPr>
                <w:rFonts w:hint="eastAsia"/>
                <w:color w:val="000000" w:themeColor="text1"/>
                <w:highlight w:val="none"/>
                <w:lang w:val="en-US" w:eastAsia="zh-CN"/>
                <w14:textFill>
                  <w14:solidFill>
                    <w14:schemeClr w14:val="tx1"/>
                  </w14:solidFill>
                </w14:textFill>
              </w:rPr>
              <w:t>228</w:t>
            </w:r>
            <w:r>
              <w:rPr>
                <w:rFonts w:hint="eastAsia"/>
                <w:color w:val="000000" w:themeColor="text1"/>
                <w:highlight w:val="none"/>
                <w14:textFill>
                  <w14:solidFill>
                    <w14:schemeClr w14:val="tx1"/>
                  </w14:solidFill>
                </w14:textFill>
              </w:rPr>
              <w:t>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/d，</w:t>
            </w:r>
            <w:r>
              <w:rPr>
                <w:rFonts w:hint="eastAsia"/>
                <w:color w:val="000000" w:themeColor="text1"/>
                <w:highlight w:val="none"/>
                <w:lang w:val="en-US" w:eastAsia="zh-CN"/>
                <w14:textFill>
                  <w14:solidFill>
                    <w14:schemeClr w14:val="tx1"/>
                  </w14:solidFill>
                </w14:textFill>
              </w:rPr>
              <w:t>83220</w:t>
            </w:r>
            <w:r>
              <w:rPr>
                <w:rFonts w:hint="eastAsia"/>
                <w:color w:val="000000" w:themeColor="text1"/>
                <w:highlight w:val="none"/>
                <w14:textFill>
                  <w14:solidFill>
                    <w14:schemeClr w14:val="tx1"/>
                  </w14:solidFill>
                </w14:textFill>
              </w:rPr>
              <w:t>t/d。污泥脱水废水通过专用管道导流至前端处理单元，与原污水合并处理。</w:t>
            </w:r>
          </w:p>
          <w:p w14:paraId="6A13C37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14:textFill>
                  <w14:solidFill>
                    <w14:schemeClr w14:val="tx1"/>
                  </w14:solidFill>
                </w14:textFill>
              </w:rPr>
              <w:t>）工作人员生活污水</w:t>
            </w:r>
          </w:p>
          <w:p w14:paraId="7276F7E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本次</w:t>
            </w:r>
            <w:r>
              <w:rPr>
                <w:rFonts w:hint="eastAsia"/>
                <w:color w:val="000000" w:themeColor="text1"/>
                <w:highlight w:val="none"/>
                <w:lang w:val="en-US" w:eastAsia="zh-CN"/>
                <w14:textFill>
                  <w14:solidFill>
                    <w14:schemeClr w14:val="tx1"/>
                  </w14:solidFill>
                </w14:textFill>
              </w:rPr>
              <w:t>改</w:t>
            </w:r>
            <w:r>
              <w:rPr>
                <w:rFonts w:hint="eastAsia"/>
                <w:color w:val="000000" w:themeColor="text1"/>
                <w:highlight w:val="none"/>
                <w14:textFill>
                  <w14:solidFill>
                    <w14:schemeClr w14:val="tx1"/>
                  </w14:solidFill>
                </w14:textFill>
              </w:rPr>
              <w:t>扩建工程，不新增工作人员，无新增生活污水产生。</w:t>
            </w:r>
          </w:p>
          <w:p w14:paraId="1208D56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5</w:t>
            </w:r>
            <w:r>
              <w:rPr>
                <w:rFonts w:hint="eastAsia"/>
                <w:color w:val="000000" w:themeColor="text1"/>
                <w:highlight w:val="none"/>
                <w14:textFill>
                  <w14:solidFill>
                    <w14:schemeClr w14:val="tx1"/>
                  </w14:solidFill>
                </w14:textFill>
              </w:rPr>
              <w:t>）污水处理厂出水</w:t>
            </w:r>
          </w:p>
          <w:p w14:paraId="707D99E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污水处理厂</w:t>
            </w:r>
            <w:r>
              <w:rPr>
                <w:rFonts w:hint="eastAsia"/>
                <w:color w:val="000000" w:themeColor="text1"/>
                <w:highlight w:val="none"/>
                <w:lang w:val="en-US" w:eastAsia="zh-CN"/>
                <w14:textFill>
                  <w14:solidFill>
                    <w14:schemeClr w14:val="tx1"/>
                  </w14:solidFill>
                </w14:textFill>
              </w:rPr>
              <w:t>一期项目</w:t>
            </w:r>
            <w:r>
              <w:rPr>
                <w:rFonts w:hint="eastAsia"/>
                <w:color w:val="000000" w:themeColor="text1"/>
                <w:highlight w:val="none"/>
                <w14:textFill>
                  <w14:solidFill>
                    <w14:schemeClr w14:val="tx1"/>
                  </w14:solidFill>
                </w14:textFill>
              </w:rPr>
              <w:t>主要处理</w:t>
            </w:r>
            <w:r>
              <w:rPr>
                <w:rFonts w:hint="eastAsia"/>
                <w:color w:val="000000" w:themeColor="text1"/>
                <w:highlight w:val="none"/>
                <w:lang w:val="en-US" w:eastAsia="zh-CN"/>
                <w14:textFill>
                  <w14:solidFill>
                    <w14:schemeClr w14:val="tx1"/>
                  </w14:solidFill>
                </w14:textFill>
              </w:rPr>
              <w:t>巴彦高勒镇城区及周边区域的居民生活污水及部分工业废水</w:t>
            </w:r>
            <w:r>
              <w:rPr>
                <w:rFonts w:hint="eastAsia"/>
                <w:color w:val="000000" w:themeColor="text1"/>
                <w:highlight w:val="none"/>
                <w14:textFill>
                  <w14:solidFill>
                    <w14:schemeClr w14:val="tx1"/>
                  </w14:solidFill>
                </w14:textFill>
              </w:rPr>
              <w:t>，处理规模为</w:t>
            </w:r>
            <w:r>
              <w:rPr>
                <w:rFonts w:hint="eastAsia"/>
                <w:color w:val="000000" w:themeColor="text1"/>
                <w:highlight w:val="none"/>
                <w:lang w:val="en-US" w:eastAsia="zh-CN"/>
                <w14:textFill>
                  <w14:solidFill>
                    <w14:schemeClr w14:val="tx1"/>
                  </w14:solidFill>
                </w14:textFill>
              </w:rPr>
              <w:t>30000</w:t>
            </w:r>
            <w:r>
              <w:rPr>
                <w:rFonts w:hint="eastAsia"/>
                <w:color w:val="000000" w:themeColor="text1"/>
                <w:highlight w:val="none"/>
                <w14:textFill>
                  <w14:solidFill>
                    <w14:schemeClr w14:val="tx1"/>
                  </w14:solidFill>
                </w14:textFill>
              </w:rPr>
              <w:t>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/d，经处理后达到《城镇污水处理厂污染物排放标准》（GB18918-2002）（含2006年、2025年修改单）中的一级标准的A标准后</w:t>
            </w:r>
            <w:r>
              <w:rPr>
                <w:rFonts w:hint="eastAsia"/>
                <w:color w:val="000000" w:themeColor="text1"/>
                <w:highlight w:val="none"/>
                <w:lang w:val="en-US" w:eastAsia="zh-CN"/>
                <w14:textFill>
                  <w14:solidFill>
                    <w14:schemeClr w14:val="tx1"/>
                  </w14:solidFill>
                </w14:textFill>
              </w:rPr>
              <w:t>首先进入人工湿地，最终</w:t>
            </w:r>
            <w:r>
              <w:rPr>
                <w:rFonts w:hint="eastAsia"/>
                <w:color w:val="000000" w:themeColor="text1"/>
                <w:highlight w:val="none"/>
                <w14:textFill>
                  <w14:solidFill>
                    <w14:schemeClr w14:val="tx1"/>
                  </w14:solidFill>
                </w14:textFill>
              </w:rPr>
              <w:t>排入</w:t>
            </w:r>
            <w:r>
              <w:rPr>
                <w:rFonts w:hint="eastAsia"/>
                <w:color w:val="000000" w:themeColor="text1"/>
                <w:highlight w:val="none"/>
                <w:lang w:val="en-US" w:eastAsia="zh-CN"/>
                <w14:textFill>
                  <w14:solidFill>
                    <w14:schemeClr w14:val="tx1"/>
                  </w14:solidFill>
                </w14:textFill>
              </w:rPr>
              <w:t>二排干</w:t>
            </w:r>
            <w:r>
              <w:rPr>
                <w:rFonts w:hint="eastAsia"/>
                <w:color w:val="000000" w:themeColor="text1"/>
                <w:highlight w:val="none"/>
                <w14:textFill>
                  <w14:solidFill>
                    <w14:schemeClr w14:val="tx1"/>
                  </w14:solidFill>
                </w14:textFill>
              </w:rPr>
              <w:t>。</w:t>
            </w:r>
          </w:p>
          <w:p w14:paraId="20C8667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根据污水处理厂进水水质分析，污水中的主要污染物为COD、BOD</w:t>
            </w:r>
            <w:r>
              <w:rPr>
                <w:rFonts w:hint="eastAsia"/>
                <w:color w:val="000000" w:themeColor="text1"/>
                <w:highlight w:val="none"/>
                <w:vertAlign w:val="subscript"/>
                <w14:textFill>
                  <w14:solidFill>
                    <w14:schemeClr w14:val="tx1"/>
                  </w14:solidFill>
                </w14:textFill>
              </w:rPr>
              <w:t>5</w:t>
            </w:r>
            <w:r>
              <w:rPr>
                <w:rFonts w:hint="eastAsia"/>
                <w:color w:val="000000" w:themeColor="text1"/>
                <w:highlight w:val="none"/>
                <w14:textFill>
                  <w14:solidFill>
                    <w14:schemeClr w14:val="tx1"/>
                  </w14:solidFill>
                </w14:textFill>
              </w:rPr>
              <w:t>、悬浮物和氨氮，浓度为COD</w:t>
            </w:r>
            <w:r>
              <w:rPr>
                <w:rFonts w:hint="eastAsia"/>
                <w:color w:val="000000" w:themeColor="text1"/>
                <w:highlight w:val="none"/>
                <w:lang w:val="en-US" w:eastAsia="zh-CN"/>
                <w14:textFill>
                  <w14:solidFill>
                    <w14:schemeClr w14:val="tx1"/>
                  </w14:solidFill>
                </w14:textFill>
              </w:rPr>
              <w:t>500</w:t>
            </w:r>
            <w:r>
              <w:rPr>
                <w:rFonts w:hint="eastAsia"/>
                <w:color w:val="000000" w:themeColor="text1"/>
                <w:highlight w:val="none"/>
                <w14:textFill>
                  <w14:solidFill>
                    <w14:schemeClr w14:val="tx1"/>
                  </w14:solidFill>
                </w14:textFill>
              </w:rPr>
              <w:t>mg/L，BOD</w:t>
            </w:r>
            <w:r>
              <w:rPr>
                <w:rFonts w:hint="eastAsia"/>
                <w:color w:val="000000" w:themeColor="text1"/>
                <w:highlight w:val="none"/>
                <w:vertAlign w:val="subscript"/>
                <w14:textFill>
                  <w14:solidFill>
                    <w14:schemeClr w14:val="tx1"/>
                  </w14:solidFill>
                </w14:textFill>
              </w:rPr>
              <w:t>5</w:t>
            </w:r>
            <w:r>
              <w:rPr>
                <w:rFonts w:hint="eastAsia"/>
                <w:color w:val="000000" w:themeColor="text1"/>
                <w:highlight w:val="none"/>
                <w:lang w:val="en-US" w:eastAsia="zh-CN"/>
                <w14:textFill>
                  <w14:solidFill>
                    <w14:schemeClr w14:val="tx1"/>
                  </w14:solidFill>
                </w14:textFill>
              </w:rPr>
              <w:t>350</w:t>
            </w:r>
            <w:r>
              <w:rPr>
                <w:rFonts w:hint="eastAsia"/>
                <w:color w:val="000000" w:themeColor="text1"/>
                <w:highlight w:val="none"/>
                <w14:textFill>
                  <w14:solidFill>
                    <w14:schemeClr w14:val="tx1"/>
                  </w14:solidFill>
                </w14:textFill>
              </w:rPr>
              <w:t>mg/L，悬浮物</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14:textFill>
                  <w14:solidFill>
                    <w14:schemeClr w14:val="tx1"/>
                  </w14:solidFill>
                </w14:textFill>
              </w:rPr>
              <w:t>00mg/L，氨氮</w:t>
            </w:r>
            <w:r>
              <w:rPr>
                <w:rFonts w:hint="eastAsia"/>
                <w:color w:val="000000" w:themeColor="text1"/>
                <w:highlight w:val="none"/>
                <w:lang w:val="en-US" w:eastAsia="zh-CN"/>
                <w14:textFill>
                  <w14:solidFill>
                    <w14:schemeClr w14:val="tx1"/>
                  </w14:solidFill>
                </w14:textFill>
              </w:rPr>
              <w:t>45</w:t>
            </w:r>
            <w:r>
              <w:rPr>
                <w:rFonts w:hint="eastAsia"/>
                <w:color w:val="000000" w:themeColor="text1"/>
                <w:highlight w:val="none"/>
                <w14:textFill>
                  <w14:solidFill>
                    <w14:schemeClr w14:val="tx1"/>
                  </w14:solidFill>
                </w14:textFill>
              </w:rPr>
              <w:t>mg/L，总磷</w:t>
            </w:r>
            <w:r>
              <w:rPr>
                <w:rFonts w:hint="eastAsia"/>
                <w:color w:val="000000" w:themeColor="text1"/>
                <w:highlight w:val="none"/>
                <w:lang w:val="en-US" w:eastAsia="zh-CN"/>
                <w14:textFill>
                  <w14:solidFill>
                    <w14:schemeClr w14:val="tx1"/>
                  </w14:solidFill>
                </w14:textFill>
              </w:rPr>
              <w:t>8</w:t>
            </w:r>
            <w:r>
              <w:rPr>
                <w:rFonts w:hint="eastAsia"/>
                <w:color w:val="000000" w:themeColor="text1"/>
                <w:highlight w:val="none"/>
                <w14:textFill>
                  <w14:solidFill>
                    <w14:schemeClr w14:val="tx1"/>
                  </w14:solidFill>
                </w14:textFill>
              </w:rPr>
              <w:t>mg/L，总氮</w:t>
            </w:r>
            <w:r>
              <w:rPr>
                <w:rFonts w:hint="eastAsia"/>
                <w:color w:val="000000" w:themeColor="text1"/>
                <w:highlight w:val="none"/>
                <w:lang w:val="en-US" w:eastAsia="zh-CN"/>
                <w14:textFill>
                  <w14:solidFill>
                    <w14:schemeClr w14:val="tx1"/>
                  </w14:solidFill>
                </w14:textFill>
              </w:rPr>
              <w:t>70</w:t>
            </w:r>
            <w:r>
              <w:rPr>
                <w:rFonts w:hint="eastAsia"/>
                <w:color w:val="000000" w:themeColor="text1"/>
                <w:highlight w:val="none"/>
                <w14:textFill>
                  <w14:solidFill>
                    <w14:schemeClr w14:val="tx1"/>
                  </w14:solidFill>
                </w14:textFill>
              </w:rPr>
              <w:t>mg/L，经污水处理厂处理后，浓度变为COD50mg/L，BOD</w:t>
            </w:r>
            <w:r>
              <w:rPr>
                <w:rFonts w:hint="eastAsia"/>
                <w:color w:val="000000" w:themeColor="text1"/>
                <w:highlight w:val="none"/>
                <w:vertAlign w:val="subscript"/>
                <w14:textFill>
                  <w14:solidFill>
                    <w14:schemeClr w14:val="tx1"/>
                  </w14:solidFill>
                </w14:textFill>
              </w:rPr>
              <w:t>5</w:t>
            </w:r>
            <w:r>
              <w:rPr>
                <w:rFonts w:hint="eastAsia"/>
                <w:color w:val="000000" w:themeColor="text1"/>
                <w:highlight w:val="none"/>
                <w14:textFill>
                  <w14:solidFill>
                    <w14:schemeClr w14:val="tx1"/>
                  </w14:solidFill>
                </w14:textFill>
              </w:rPr>
              <w:t>10mg/L，悬浮物10mg/L，氨氮5mg/L，总磷0.5mg/L，总氮</w:t>
            </w:r>
            <w:r>
              <w:rPr>
                <w:rFonts w:hint="eastAsia"/>
                <w:color w:val="000000" w:themeColor="text1"/>
                <w:highlight w:val="none"/>
                <w:lang w:val="en-US" w:eastAsia="zh-CN"/>
                <w14:textFill>
                  <w14:solidFill>
                    <w14:schemeClr w14:val="tx1"/>
                  </w14:solidFill>
                </w14:textFill>
              </w:rPr>
              <w:t>10</w:t>
            </w:r>
            <w:r>
              <w:rPr>
                <w:rFonts w:hint="eastAsia"/>
                <w:color w:val="000000" w:themeColor="text1"/>
                <w:highlight w:val="none"/>
                <w14:textFill>
                  <w14:solidFill>
                    <w14:schemeClr w14:val="tx1"/>
                  </w14:solidFill>
                </w14:textFill>
              </w:rPr>
              <w:t>mg/L。</w:t>
            </w:r>
          </w:p>
          <w:p w14:paraId="3B06ACE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根据污水处理厂进、出水水质要求，结合《排污许可证申请与核发技术规范</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水处理（试行）》（HJ978-2018）中“排污单位水污染物年许可排放量”计算方法，本项目的废水污染物产排情况见下表。</w:t>
            </w:r>
          </w:p>
          <w:p w14:paraId="3F01A109">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表2-17  扩建部分污染物产排情况一览表</w:t>
            </w:r>
          </w:p>
          <w:tbl>
            <w:tblPr>
              <w:tblStyle w:val="12"/>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073"/>
              <w:gridCol w:w="792"/>
              <w:gridCol w:w="688"/>
              <w:gridCol w:w="757"/>
              <w:gridCol w:w="996"/>
              <w:gridCol w:w="688"/>
              <w:gridCol w:w="876"/>
              <w:gridCol w:w="876"/>
              <w:gridCol w:w="757"/>
              <w:gridCol w:w="405"/>
            </w:tblGrid>
            <w:tr w14:paraId="06CFA9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31" w:type="pct"/>
                  <w:vMerge w:val="restart"/>
                  <w:tcBorders>
                    <w:tl2br w:val="nil"/>
                    <w:tr2bl w:val="nil"/>
                  </w:tcBorders>
                  <w:shd w:val="clear" w:color="auto" w:fill="auto"/>
                  <w:vAlign w:val="center"/>
                </w:tcPr>
                <w:p w14:paraId="074B9E2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处理规模</w:t>
                  </w:r>
                </w:p>
              </w:tc>
              <w:tc>
                <w:tcPr>
                  <w:tcW w:w="568" w:type="pct"/>
                  <w:vMerge w:val="restart"/>
                  <w:tcBorders>
                    <w:tl2br w:val="nil"/>
                    <w:tr2bl w:val="nil"/>
                  </w:tcBorders>
                  <w:shd w:val="clear" w:color="auto" w:fill="auto"/>
                  <w:vAlign w:val="center"/>
                </w:tcPr>
                <w:p w14:paraId="0A02B07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污染物</w:t>
                  </w:r>
                </w:p>
              </w:tc>
              <w:tc>
                <w:tcPr>
                  <w:tcW w:w="1500" w:type="pct"/>
                  <w:gridSpan w:val="3"/>
                  <w:tcBorders>
                    <w:tl2br w:val="nil"/>
                    <w:tr2bl w:val="nil"/>
                  </w:tcBorders>
                  <w:shd w:val="clear" w:color="auto" w:fill="auto"/>
                  <w:vAlign w:val="center"/>
                </w:tcPr>
                <w:p w14:paraId="5A7B73B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处理前</w:t>
                  </w:r>
                </w:p>
              </w:tc>
              <w:tc>
                <w:tcPr>
                  <w:tcW w:w="1500" w:type="pct"/>
                  <w:gridSpan w:val="3"/>
                  <w:tcBorders>
                    <w:tl2br w:val="nil"/>
                    <w:tr2bl w:val="nil"/>
                  </w:tcBorders>
                  <w:shd w:val="clear" w:color="auto" w:fill="auto"/>
                  <w:vAlign w:val="center"/>
                </w:tcPr>
                <w:p w14:paraId="2428901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处理后</w:t>
                  </w:r>
                </w:p>
              </w:tc>
              <w:tc>
                <w:tcPr>
                  <w:tcW w:w="500" w:type="pct"/>
                  <w:tcBorders>
                    <w:tl2br w:val="nil"/>
                    <w:tr2bl w:val="nil"/>
                  </w:tcBorders>
                  <w:shd w:val="clear" w:color="auto" w:fill="auto"/>
                  <w:vAlign w:val="center"/>
                </w:tcPr>
                <w:p w14:paraId="6A7E603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去除效率</w:t>
                  </w:r>
                </w:p>
              </w:tc>
              <w:tc>
                <w:tcPr>
                  <w:tcW w:w="500" w:type="pct"/>
                  <w:vMerge w:val="restart"/>
                  <w:tcBorders>
                    <w:tl2br w:val="nil"/>
                    <w:tr2bl w:val="nil"/>
                  </w:tcBorders>
                  <w:shd w:val="clear" w:color="auto" w:fill="auto"/>
                  <w:vAlign w:val="center"/>
                </w:tcPr>
                <w:p w14:paraId="7D18710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排放去向</w:t>
                  </w:r>
                </w:p>
              </w:tc>
            </w:tr>
            <w:tr w14:paraId="7E8FB6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431" w:type="pct"/>
                  <w:vMerge w:val="continue"/>
                  <w:tcBorders>
                    <w:tl2br w:val="nil"/>
                    <w:tr2bl w:val="nil"/>
                  </w:tcBorders>
                  <w:shd w:val="clear" w:color="auto" w:fill="auto"/>
                  <w:vAlign w:val="center"/>
                </w:tcPr>
                <w:p w14:paraId="2D347F66">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568" w:type="pct"/>
                  <w:vMerge w:val="continue"/>
                  <w:tcBorders>
                    <w:tl2br w:val="nil"/>
                    <w:tr2bl w:val="nil"/>
                  </w:tcBorders>
                  <w:shd w:val="clear" w:color="auto" w:fill="auto"/>
                  <w:vAlign w:val="center"/>
                </w:tcPr>
                <w:p w14:paraId="452D56B4">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500" w:type="pct"/>
                  <w:tcBorders>
                    <w:tl2br w:val="nil"/>
                    <w:tr2bl w:val="nil"/>
                  </w:tcBorders>
                  <w:shd w:val="clear" w:color="auto" w:fill="auto"/>
                  <w:vAlign w:val="center"/>
                </w:tcPr>
                <w:p w14:paraId="4DD6694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mg/L</w:t>
                  </w:r>
                </w:p>
              </w:tc>
              <w:tc>
                <w:tcPr>
                  <w:tcW w:w="500" w:type="pct"/>
                  <w:tcBorders>
                    <w:tl2br w:val="nil"/>
                    <w:tr2bl w:val="nil"/>
                  </w:tcBorders>
                  <w:shd w:val="clear" w:color="auto" w:fill="auto"/>
                  <w:vAlign w:val="center"/>
                </w:tcPr>
                <w:p w14:paraId="0B89BB6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t/d</w:t>
                  </w:r>
                </w:p>
              </w:tc>
              <w:tc>
                <w:tcPr>
                  <w:tcW w:w="500" w:type="pct"/>
                  <w:tcBorders>
                    <w:tl2br w:val="nil"/>
                    <w:tr2bl w:val="nil"/>
                  </w:tcBorders>
                  <w:shd w:val="clear" w:color="auto" w:fill="auto"/>
                  <w:vAlign w:val="center"/>
                </w:tcPr>
                <w:p w14:paraId="7779F33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t/a</w:t>
                  </w:r>
                </w:p>
              </w:tc>
              <w:tc>
                <w:tcPr>
                  <w:tcW w:w="500" w:type="pct"/>
                  <w:tcBorders>
                    <w:tl2br w:val="nil"/>
                    <w:tr2bl w:val="nil"/>
                  </w:tcBorders>
                  <w:shd w:val="clear" w:color="auto" w:fill="auto"/>
                  <w:vAlign w:val="center"/>
                </w:tcPr>
                <w:p w14:paraId="4DDE910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mg/L</w:t>
                  </w:r>
                </w:p>
              </w:tc>
              <w:tc>
                <w:tcPr>
                  <w:tcW w:w="500" w:type="pct"/>
                  <w:tcBorders>
                    <w:tl2br w:val="nil"/>
                    <w:tr2bl w:val="nil"/>
                  </w:tcBorders>
                  <w:shd w:val="clear" w:color="auto" w:fill="auto"/>
                  <w:vAlign w:val="center"/>
                </w:tcPr>
                <w:p w14:paraId="3121530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t/d</w:t>
                  </w:r>
                </w:p>
              </w:tc>
              <w:tc>
                <w:tcPr>
                  <w:tcW w:w="500" w:type="pct"/>
                  <w:tcBorders>
                    <w:tl2br w:val="nil"/>
                    <w:tr2bl w:val="nil"/>
                  </w:tcBorders>
                  <w:shd w:val="clear" w:color="auto" w:fill="auto"/>
                  <w:vAlign w:val="center"/>
                </w:tcPr>
                <w:p w14:paraId="7926479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t/a</w:t>
                  </w:r>
                </w:p>
              </w:tc>
              <w:tc>
                <w:tcPr>
                  <w:tcW w:w="500" w:type="pct"/>
                  <w:tcBorders>
                    <w:tl2br w:val="nil"/>
                    <w:tr2bl w:val="nil"/>
                  </w:tcBorders>
                  <w:shd w:val="clear" w:color="auto" w:fill="auto"/>
                  <w:vAlign w:val="center"/>
                </w:tcPr>
                <w:p w14:paraId="03EB9E7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w:t>
                  </w:r>
                </w:p>
              </w:tc>
              <w:tc>
                <w:tcPr>
                  <w:tcW w:w="500" w:type="pct"/>
                  <w:vMerge w:val="continue"/>
                  <w:tcBorders>
                    <w:tl2br w:val="nil"/>
                    <w:tr2bl w:val="nil"/>
                  </w:tcBorders>
                  <w:shd w:val="clear" w:color="auto" w:fill="auto"/>
                  <w:vAlign w:val="center"/>
                </w:tcPr>
                <w:p w14:paraId="495D5543">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r>
            <w:tr w14:paraId="36B430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431" w:type="pct"/>
                  <w:vMerge w:val="restart"/>
                  <w:tcBorders>
                    <w:tl2br w:val="nil"/>
                    <w:tr2bl w:val="nil"/>
                  </w:tcBorders>
                  <w:shd w:val="clear" w:color="auto" w:fill="auto"/>
                  <w:vAlign w:val="center"/>
                </w:tcPr>
                <w:p w14:paraId="21A7122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15</w:t>
                  </w: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000t/d</w:t>
                  </w:r>
                </w:p>
              </w:tc>
              <w:tc>
                <w:tcPr>
                  <w:tcW w:w="568" w:type="pct"/>
                  <w:tcBorders>
                    <w:tl2br w:val="nil"/>
                    <w:tr2bl w:val="nil"/>
                  </w:tcBorders>
                  <w:shd w:val="clear" w:color="auto" w:fill="auto"/>
                  <w:vAlign w:val="center"/>
                </w:tcPr>
                <w:p w14:paraId="65F8BF7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COD</w:t>
                  </w:r>
                </w:p>
              </w:tc>
              <w:tc>
                <w:tcPr>
                  <w:tcW w:w="500" w:type="pct"/>
                  <w:tcBorders>
                    <w:tl2br w:val="nil"/>
                    <w:tr2bl w:val="nil"/>
                  </w:tcBorders>
                  <w:shd w:val="clear" w:color="auto" w:fill="auto"/>
                  <w:vAlign w:val="center"/>
                </w:tcPr>
                <w:p w14:paraId="4E91569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500</w:t>
                  </w:r>
                </w:p>
              </w:tc>
              <w:tc>
                <w:tcPr>
                  <w:tcW w:w="500" w:type="pct"/>
                  <w:tcBorders>
                    <w:tl2br w:val="nil"/>
                    <w:tr2bl w:val="nil"/>
                  </w:tcBorders>
                  <w:shd w:val="clear" w:color="auto" w:fill="auto"/>
                  <w:vAlign w:val="center"/>
                </w:tcPr>
                <w:p w14:paraId="1B7AD07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7.5</w:t>
                  </w:r>
                </w:p>
              </w:tc>
              <w:tc>
                <w:tcPr>
                  <w:tcW w:w="500" w:type="pct"/>
                  <w:tcBorders>
                    <w:tl2br w:val="nil"/>
                    <w:tr2bl w:val="nil"/>
                  </w:tcBorders>
                  <w:shd w:val="clear" w:color="auto" w:fill="auto"/>
                  <w:vAlign w:val="center"/>
                </w:tcPr>
                <w:p w14:paraId="7D42154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2737.5</w:t>
                  </w:r>
                </w:p>
              </w:tc>
              <w:tc>
                <w:tcPr>
                  <w:tcW w:w="500" w:type="pct"/>
                  <w:tcBorders>
                    <w:tl2br w:val="nil"/>
                    <w:tr2bl w:val="nil"/>
                  </w:tcBorders>
                  <w:shd w:val="clear" w:color="auto" w:fill="auto"/>
                  <w:vAlign w:val="center"/>
                </w:tcPr>
                <w:p w14:paraId="733A15D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50</w:t>
                  </w:r>
                </w:p>
              </w:tc>
              <w:tc>
                <w:tcPr>
                  <w:tcW w:w="500" w:type="pct"/>
                  <w:tcBorders>
                    <w:tl2br w:val="nil"/>
                    <w:tr2bl w:val="nil"/>
                  </w:tcBorders>
                  <w:shd w:val="clear" w:color="auto" w:fill="auto"/>
                  <w:vAlign w:val="center"/>
                </w:tcPr>
                <w:p w14:paraId="086D518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0.75</w:t>
                  </w:r>
                </w:p>
              </w:tc>
              <w:tc>
                <w:tcPr>
                  <w:tcW w:w="500" w:type="pct"/>
                  <w:tcBorders>
                    <w:tl2br w:val="nil"/>
                    <w:tr2bl w:val="nil"/>
                  </w:tcBorders>
                  <w:shd w:val="clear" w:color="auto" w:fill="auto"/>
                  <w:vAlign w:val="center"/>
                </w:tcPr>
                <w:p w14:paraId="6408702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273.75</w:t>
                  </w:r>
                </w:p>
              </w:tc>
              <w:tc>
                <w:tcPr>
                  <w:tcW w:w="500" w:type="pct"/>
                  <w:tcBorders>
                    <w:tl2br w:val="nil"/>
                    <w:tr2bl w:val="nil"/>
                  </w:tcBorders>
                  <w:shd w:val="clear" w:color="auto" w:fill="auto"/>
                  <w:vAlign w:val="center"/>
                </w:tcPr>
                <w:p w14:paraId="789229A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90</w:t>
                  </w:r>
                </w:p>
              </w:tc>
              <w:tc>
                <w:tcPr>
                  <w:tcW w:w="500" w:type="pct"/>
                  <w:vMerge w:val="restart"/>
                  <w:tcBorders>
                    <w:tl2br w:val="nil"/>
                    <w:tr2bl w:val="nil"/>
                  </w:tcBorders>
                  <w:shd w:val="clear" w:color="auto" w:fill="auto"/>
                  <w:vAlign w:val="center"/>
                </w:tcPr>
                <w:p w14:paraId="584C23D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人工湿地+二排干</w:t>
                  </w:r>
                </w:p>
              </w:tc>
            </w:tr>
            <w:tr w14:paraId="3EDB6FB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60" w:hRule="atLeast"/>
              </w:trPr>
              <w:tc>
                <w:tcPr>
                  <w:tcW w:w="431" w:type="pct"/>
                  <w:vMerge w:val="continue"/>
                  <w:tcBorders>
                    <w:tl2br w:val="nil"/>
                    <w:tr2bl w:val="nil"/>
                  </w:tcBorders>
                  <w:shd w:val="clear" w:color="auto" w:fill="auto"/>
                  <w:vAlign w:val="center"/>
                </w:tcPr>
                <w:p w14:paraId="3595DE04">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568" w:type="pct"/>
                  <w:tcBorders>
                    <w:tl2br w:val="nil"/>
                    <w:tr2bl w:val="nil"/>
                  </w:tcBorders>
                  <w:shd w:val="clear" w:color="auto" w:fill="auto"/>
                  <w:vAlign w:val="center"/>
                </w:tcPr>
                <w:p w14:paraId="4055C2E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BOD</w:t>
                  </w: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5</w:t>
                  </w:r>
                </w:p>
              </w:tc>
              <w:tc>
                <w:tcPr>
                  <w:tcW w:w="500" w:type="pct"/>
                  <w:tcBorders>
                    <w:tl2br w:val="nil"/>
                    <w:tr2bl w:val="nil"/>
                  </w:tcBorders>
                  <w:shd w:val="clear" w:color="auto" w:fill="auto"/>
                  <w:vAlign w:val="center"/>
                </w:tcPr>
                <w:p w14:paraId="51CA33B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350</w:t>
                  </w:r>
                </w:p>
              </w:tc>
              <w:tc>
                <w:tcPr>
                  <w:tcW w:w="500" w:type="pct"/>
                  <w:tcBorders>
                    <w:tl2br w:val="nil"/>
                    <w:tr2bl w:val="nil"/>
                  </w:tcBorders>
                  <w:shd w:val="clear" w:color="auto" w:fill="auto"/>
                  <w:vAlign w:val="center"/>
                </w:tcPr>
                <w:p w14:paraId="4212D25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5.25</w:t>
                  </w:r>
                </w:p>
              </w:tc>
              <w:tc>
                <w:tcPr>
                  <w:tcW w:w="500" w:type="pct"/>
                  <w:tcBorders>
                    <w:tl2br w:val="nil"/>
                    <w:tr2bl w:val="nil"/>
                  </w:tcBorders>
                  <w:shd w:val="clear" w:color="auto" w:fill="auto"/>
                  <w:vAlign w:val="center"/>
                </w:tcPr>
                <w:p w14:paraId="26511BB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1916.25</w:t>
                  </w:r>
                </w:p>
              </w:tc>
              <w:tc>
                <w:tcPr>
                  <w:tcW w:w="500" w:type="pct"/>
                  <w:tcBorders>
                    <w:tl2br w:val="nil"/>
                    <w:tr2bl w:val="nil"/>
                  </w:tcBorders>
                  <w:shd w:val="clear" w:color="auto" w:fill="auto"/>
                  <w:vAlign w:val="center"/>
                </w:tcPr>
                <w:p w14:paraId="7EEA9EA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10</w:t>
                  </w:r>
                </w:p>
              </w:tc>
              <w:tc>
                <w:tcPr>
                  <w:tcW w:w="500" w:type="pct"/>
                  <w:tcBorders>
                    <w:tl2br w:val="nil"/>
                    <w:tr2bl w:val="nil"/>
                  </w:tcBorders>
                  <w:shd w:val="clear" w:color="auto" w:fill="auto"/>
                  <w:vAlign w:val="center"/>
                </w:tcPr>
                <w:p w14:paraId="4C7D0F8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0.15</w:t>
                  </w:r>
                </w:p>
              </w:tc>
              <w:tc>
                <w:tcPr>
                  <w:tcW w:w="500" w:type="pct"/>
                  <w:tcBorders>
                    <w:tl2br w:val="nil"/>
                    <w:tr2bl w:val="nil"/>
                  </w:tcBorders>
                  <w:shd w:val="clear" w:color="auto" w:fill="auto"/>
                  <w:vAlign w:val="center"/>
                </w:tcPr>
                <w:p w14:paraId="0B3E3E2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54.75</w:t>
                  </w:r>
                </w:p>
              </w:tc>
              <w:tc>
                <w:tcPr>
                  <w:tcW w:w="500" w:type="pct"/>
                  <w:tcBorders>
                    <w:tl2br w:val="nil"/>
                    <w:tr2bl w:val="nil"/>
                  </w:tcBorders>
                  <w:shd w:val="clear" w:color="auto" w:fill="auto"/>
                  <w:vAlign w:val="center"/>
                </w:tcPr>
                <w:p w14:paraId="3E79469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97.14</w:t>
                  </w:r>
                </w:p>
              </w:tc>
              <w:tc>
                <w:tcPr>
                  <w:tcW w:w="500" w:type="pct"/>
                  <w:vMerge w:val="continue"/>
                  <w:tcBorders>
                    <w:tl2br w:val="nil"/>
                    <w:tr2bl w:val="nil"/>
                  </w:tcBorders>
                  <w:shd w:val="clear" w:color="auto" w:fill="auto"/>
                  <w:vAlign w:val="center"/>
                </w:tcPr>
                <w:p w14:paraId="2AB1683D">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r>
            <w:tr w14:paraId="0A90DC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431" w:type="pct"/>
                  <w:vMerge w:val="continue"/>
                  <w:tcBorders>
                    <w:tl2br w:val="nil"/>
                    <w:tr2bl w:val="nil"/>
                  </w:tcBorders>
                  <w:shd w:val="clear" w:color="auto" w:fill="auto"/>
                  <w:vAlign w:val="center"/>
                </w:tcPr>
                <w:p w14:paraId="03688DA6">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568" w:type="pct"/>
                  <w:tcBorders>
                    <w:tl2br w:val="nil"/>
                    <w:tr2bl w:val="nil"/>
                  </w:tcBorders>
                  <w:shd w:val="clear" w:color="auto" w:fill="auto"/>
                  <w:vAlign w:val="center"/>
                </w:tcPr>
                <w:p w14:paraId="1346A88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SS</w:t>
                  </w:r>
                </w:p>
              </w:tc>
              <w:tc>
                <w:tcPr>
                  <w:tcW w:w="500" w:type="pct"/>
                  <w:tcBorders>
                    <w:tl2br w:val="nil"/>
                    <w:tr2bl w:val="nil"/>
                  </w:tcBorders>
                  <w:shd w:val="clear" w:color="auto" w:fill="auto"/>
                  <w:vAlign w:val="center"/>
                </w:tcPr>
                <w:p w14:paraId="23C5076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400</w:t>
                  </w:r>
                </w:p>
              </w:tc>
              <w:tc>
                <w:tcPr>
                  <w:tcW w:w="500" w:type="pct"/>
                  <w:tcBorders>
                    <w:tl2br w:val="nil"/>
                    <w:tr2bl w:val="nil"/>
                  </w:tcBorders>
                  <w:shd w:val="clear" w:color="auto" w:fill="auto"/>
                  <w:vAlign w:val="center"/>
                </w:tcPr>
                <w:p w14:paraId="198BBBC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6</w:t>
                  </w:r>
                </w:p>
              </w:tc>
              <w:tc>
                <w:tcPr>
                  <w:tcW w:w="500" w:type="pct"/>
                  <w:tcBorders>
                    <w:tl2br w:val="nil"/>
                    <w:tr2bl w:val="nil"/>
                  </w:tcBorders>
                  <w:shd w:val="clear" w:color="auto" w:fill="auto"/>
                  <w:vAlign w:val="center"/>
                </w:tcPr>
                <w:p w14:paraId="31CDE4C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2190</w:t>
                  </w:r>
                </w:p>
              </w:tc>
              <w:tc>
                <w:tcPr>
                  <w:tcW w:w="500" w:type="pct"/>
                  <w:tcBorders>
                    <w:tl2br w:val="nil"/>
                    <w:tr2bl w:val="nil"/>
                  </w:tcBorders>
                  <w:shd w:val="clear" w:color="auto" w:fill="auto"/>
                  <w:vAlign w:val="center"/>
                </w:tcPr>
                <w:p w14:paraId="3E74421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10</w:t>
                  </w:r>
                </w:p>
              </w:tc>
              <w:tc>
                <w:tcPr>
                  <w:tcW w:w="500" w:type="pct"/>
                  <w:tcBorders>
                    <w:tl2br w:val="nil"/>
                    <w:tr2bl w:val="nil"/>
                  </w:tcBorders>
                  <w:shd w:val="clear" w:color="auto" w:fill="auto"/>
                  <w:vAlign w:val="center"/>
                </w:tcPr>
                <w:p w14:paraId="4E1C8A6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0.15</w:t>
                  </w:r>
                </w:p>
              </w:tc>
              <w:tc>
                <w:tcPr>
                  <w:tcW w:w="500" w:type="pct"/>
                  <w:tcBorders>
                    <w:tl2br w:val="nil"/>
                    <w:tr2bl w:val="nil"/>
                  </w:tcBorders>
                  <w:shd w:val="clear" w:color="auto" w:fill="auto"/>
                  <w:vAlign w:val="center"/>
                </w:tcPr>
                <w:p w14:paraId="2F21B02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54.75</w:t>
                  </w:r>
                </w:p>
              </w:tc>
              <w:tc>
                <w:tcPr>
                  <w:tcW w:w="500" w:type="pct"/>
                  <w:tcBorders>
                    <w:tl2br w:val="nil"/>
                    <w:tr2bl w:val="nil"/>
                  </w:tcBorders>
                  <w:shd w:val="clear" w:color="auto" w:fill="auto"/>
                  <w:vAlign w:val="center"/>
                </w:tcPr>
                <w:p w14:paraId="0F46C62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97.5</w:t>
                  </w:r>
                </w:p>
              </w:tc>
              <w:tc>
                <w:tcPr>
                  <w:tcW w:w="500" w:type="pct"/>
                  <w:vMerge w:val="continue"/>
                  <w:tcBorders>
                    <w:tl2br w:val="nil"/>
                    <w:tr2bl w:val="nil"/>
                  </w:tcBorders>
                  <w:shd w:val="clear" w:color="auto" w:fill="auto"/>
                  <w:vAlign w:val="center"/>
                </w:tcPr>
                <w:p w14:paraId="318C4AE6">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r>
            <w:tr w14:paraId="298015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60" w:hRule="atLeast"/>
              </w:trPr>
              <w:tc>
                <w:tcPr>
                  <w:tcW w:w="431" w:type="pct"/>
                  <w:vMerge w:val="continue"/>
                  <w:tcBorders>
                    <w:tl2br w:val="nil"/>
                    <w:tr2bl w:val="nil"/>
                  </w:tcBorders>
                  <w:shd w:val="clear" w:color="auto" w:fill="auto"/>
                  <w:vAlign w:val="center"/>
                </w:tcPr>
                <w:p w14:paraId="3F5527DA">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568" w:type="pct"/>
                  <w:tcBorders>
                    <w:tl2br w:val="nil"/>
                    <w:tr2bl w:val="nil"/>
                  </w:tcBorders>
                  <w:shd w:val="clear" w:color="auto" w:fill="auto"/>
                  <w:vAlign w:val="center"/>
                </w:tcPr>
                <w:p w14:paraId="25E8448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NH</w:t>
                  </w:r>
                  <w:r>
                    <w:rPr>
                      <w:rFonts w:hint="default" w:ascii="Times New Roman" w:hAnsi="Times New Roman" w:cs="Times New Roman" w:eastAsiaTheme="minorEastAsia"/>
                      <w:color w:val="000000" w:themeColor="text1"/>
                      <w:sz w:val="21"/>
                      <w:szCs w:val="21"/>
                      <w:highlight w:val="none"/>
                      <w:vertAlign w:val="subscript"/>
                      <w:lang w:val="en-US" w:eastAsia="zh-CN" w:bidi="ar"/>
                      <w14:textFill>
                        <w14:solidFill>
                          <w14:schemeClr w14:val="tx1"/>
                        </w14:solidFill>
                      </w14:textFill>
                    </w:rPr>
                    <w:t>3</w:t>
                  </w: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-N</w:t>
                  </w:r>
                </w:p>
              </w:tc>
              <w:tc>
                <w:tcPr>
                  <w:tcW w:w="500" w:type="pct"/>
                  <w:tcBorders>
                    <w:tl2br w:val="nil"/>
                    <w:tr2bl w:val="nil"/>
                  </w:tcBorders>
                  <w:shd w:val="clear" w:color="auto" w:fill="auto"/>
                  <w:vAlign w:val="center"/>
                </w:tcPr>
                <w:p w14:paraId="0B66339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45</w:t>
                  </w:r>
                </w:p>
              </w:tc>
              <w:tc>
                <w:tcPr>
                  <w:tcW w:w="500" w:type="pct"/>
                  <w:tcBorders>
                    <w:tl2br w:val="nil"/>
                    <w:tr2bl w:val="nil"/>
                  </w:tcBorders>
                  <w:shd w:val="clear" w:color="auto" w:fill="auto"/>
                  <w:vAlign w:val="center"/>
                </w:tcPr>
                <w:p w14:paraId="4E4F37E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0.675</w:t>
                  </w:r>
                </w:p>
              </w:tc>
              <w:tc>
                <w:tcPr>
                  <w:tcW w:w="500" w:type="pct"/>
                  <w:tcBorders>
                    <w:tl2br w:val="nil"/>
                    <w:tr2bl w:val="nil"/>
                  </w:tcBorders>
                  <w:shd w:val="clear" w:color="auto" w:fill="auto"/>
                  <w:vAlign w:val="center"/>
                </w:tcPr>
                <w:p w14:paraId="10BFEA8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246.375</w:t>
                  </w:r>
                </w:p>
              </w:tc>
              <w:tc>
                <w:tcPr>
                  <w:tcW w:w="500" w:type="pct"/>
                  <w:tcBorders>
                    <w:tl2br w:val="nil"/>
                    <w:tr2bl w:val="nil"/>
                  </w:tcBorders>
                  <w:shd w:val="clear" w:color="auto" w:fill="auto"/>
                  <w:vAlign w:val="center"/>
                </w:tcPr>
                <w:p w14:paraId="5C381C7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5</w:t>
                  </w:r>
                </w:p>
              </w:tc>
              <w:tc>
                <w:tcPr>
                  <w:tcW w:w="500" w:type="pct"/>
                  <w:tcBorders>
                    <w:tl2br w:val="nil"/>
                    <w:tr2bl w:val="nil"/>
                  </w:tcBorders>
                  <w:shd w:val="clear" w:color="auto" w:fill="auto"/>
                  <w:vAlign w:val="center"/>
                </w:tcPr>
                <w:p w14:paraId="270FAB9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0.075</w:t>
                  </w:r>
                </w:p>
              </w:tc>
              <w:tc>
                <w:tcPr>
                  <w:tcW w:w="500" w:type="pct"/>
                  <w:tcBorders>
                    <w:tl2br w:val="nil"/>
                    <w:tr2bl w:val="nil"/>
                  </w:tcBorders>
                  <w:shd w:val="clear" w:color="auto" w:fill="auto"/>
                  <w:vAlign w:val="center"/>
                </w:tcPr>
                <w:p w14:paraId="7265A77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27.375</w:t>
                  </w:r>
                </w:p>
              </w:tc>
              <w:tc>
                <w:tcPr>
                  <w:tcW w:w="500" w:type="pct"/>
                  <w:tcBorders>
                    <w:tl2br w:val="nil"/>
                    <w:tr2bl w:val="nil"/>
                  </w:tcBorders>
                  <w:shd w:val="clear" w:color="auto" w:fill="auto"/>
                  <w:vAlign w:val="center"/>
                </w:tcPr>
                <w:p w14:paraId="0612E39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88.89</w:t>
                  </w:r>
                </w:p>
              </w:tc>
              <w:tc>
                <w:tcPr>
                  <w:tcW w:w="500" w:type="pct"/>
                  <w:vMerge w:val="continue"/>
                  <w:tcBorders>
                    <w:tl2br w:val="nil"/>
                    <w:tr2bl w:val="nil"/>
                  </w:tcBorders>
                  <w:shd w:val="clear" w:color="auto" w:fill="auto"/>
                  <w:vAlign w:val="center"/>
                </w:tcPr>
                <w:p w14:paraId="3565F186">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r>
            <w:tr w14:paraId="5C4E74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431" w:type="pct"/>
                  <w:vMerge w:val="continue"/>
                  <w:tcBorders>
                    <w:tl2br w:val="nil"/>
                    <w:tr2bl w:val="nil"/>
                  </w:tcBorders>
                  <w:shd w:val="clear" w:color="auto" w:fill="auto"/>
                  <w:vAlign w:val="center"/>
                </w:tcPr>
                <w:p w14:paraId="007652A6">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568" w:type="pct"/>
                  <w:tcBorders>
                    <w:tl2br w:val="nil"/>
                    <w:tr2bl w:val="nil"/>
                  </w:tcBorders>
                  <w:shd w:val="clear" w:color="auto" w:fill="auto"/>
                  <w:vAlign w:val="center"/>
                </w:tcPr>
                <w:p w14:paraId="5121703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TP</w:t>
                  </w:r>
                </w:p>
              </w:tc>
              <w:tc>
                <w:tcPr>
                  <w:tcW w:w="500" w:type="pct"/>
                  <w:tcBorders>
                    <w:tl2br w:val="nil"/>
                    <w:tr2bl w:val="nil"/>
                  </w:tcBorders>
                  <w:shd w:val="clear" w:color="auto" w:fill="auto"/>
                  <w:vAlign w:val="center"/>
                </w:tcPr>
                <w:p w14:paraId="52CA800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8</w:t>
                  </w:r>
                </w:p>
              </w:tc>
              <w:tc>
                <w:tcPr>
                  <w:tcW w:w="500" w:type="pct"/>
                  <w:tcBorders>
                    <w:tl2br w:val="nil"/>
                    <w:tr2bl w:val="nil"/>
                  </w:tcBorders>
                  <w:shd w:val="clear" w:color="auto" w:fill="auto"/>
                  <w:vAlign w:val="center"/>
                </w:tcPr>
                <w:p w14:paraId="02E0268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0.12</w:t>
                  </w:r>
                </w:p>
              </w:tc>
              <w:tc>
                <w:tcPr>
                  <w:tcW w:w="500" w:type="pct"/>
                  <w:tcBorders>
                    <w:tl2br w:val="nil"/>
                    <w:tr2bl w:val="nil"/>
                  </w:tcBorders>
                  <w:shd w:val="clear" w:color="auto" w:fill="auto"/>
                  <w:vAlign w:val="center"/>
                </w:tcPr>
                <w:p w14:paraId="1846726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43.8</w:t>
                  </w:r>
                </w:p>
              </w:tc>
              <w:tc>
                <w:tcPr>
                  <w:tcW w:w="500" w:type="pct"/>
                  <w:tcBorders>
                    <w:tl2br w:val="nil"/>
                    <w:tr2bl w:val="nil"/>
                  </w:tcBorders>
                  <w:shd w:val="clear" w:color="auto" w:fill="auto"/>
                  <w:vAlign w:val="center"/>
                </w:tcPr>
                <w:p w14:paraId="4BFBD84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0.5</w:t>
                  </w:r>
                </w:p>
              </w:tc>
              <w:tc>
                <w:tcPr>
                  <w:tcW w:w="500" w:type="pct"/>
                  <w:tcBorders>
                    <w:tl2br w:val="nil"/>
                    <w:tr2bl w:val="nil"/>
                  </w:tcBorders>
                  <w:shd w:val="clear" w:color="auto" w:fill="auto"/>
                  <w:vAlign w:val="center"/>
                </w:tcPr>
                <w:p w14:paraId="5F39DE2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0.0075</w:t>
                  </w:r>
                </w:p>
              </w:tc>
              <w:tc>
                <w:tcPr>
                  <w:tcW w:w="500" w:type="pct"/>
                  <w:tcBorders>
                    <w:tl2br w:val="nil"/>
                    <w:tr2bl w:val="nil"/>
                  </w:tcBorders>
                  <w:shd w:val="clear" w:color="auto" w:fill="auto"/>
                  <w:vAlign w:val="center"/>
                </w:tcPr>
                <w:p w14:paraId="55C4823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2.7375</w:t>
                  </w:r>
                </w:p>
              </w:tc>
              <w:tc>
                <w:tcPr>
                  <w:tcW w:w="500" w:type="pct"/>
                  <w:tcBorders>
                    <w:tl2br w:val="nil"/>
                    <w:tr2bl w:val="nil"/>
                  </w:tcBorders>
                  <w:shd w:val="clear" w:color="auto" w:fill="auto"/>
                  <w:vAlign w:val="center"/>
                </w:tcPr>
                <w:p w14:paraId="744F2D5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lang w:val="en-US"/>
                      <w14:textFill>
                        <w14:solidFill>
                          <w14:schemeClr w14:val="tx1"/>
                        </w14:solidFill>
                      </w14:textFill>
                    </w:rPr>
                  </w:pPr>
                  <w:r>
                    <w:rPr>
                      <w:rFonts w:hint="eastAsia"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93.75</w:t>
                  </w:r>
                </w:p>
              </w:tc>
              <w:tc>
                <w:tcPr>
                  <w:tcW w:w="500" w:type="pct"/>
                  <w:vMerge w:val="continue"/>
                  <w:tcBorders>
                    <w:tl2br w:val="nil"/>
                    <w:tr2bl w:val="nil"/>
                  </w:tcBorders>
                  <w:shd w:val="clear" w:color="auto" w:fill="auto"/>
                  <w:vAlign w:val="center"/>
                </w:tcPr>
                <w:p w14:paraId="63A82F8E">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r>
            <w:tr w14:paraId="07DFF7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431" w:type="pct"/>
                  <w:vMerge w:val="continue"/>
                  <w:tcBorders>
                    <w:tl2br w:val="nil"/>
                    <w:tr2bl w:val="nil"/>
                  </w:tcBorders>
                  <w:shd w:val="clear" w:color="auto" w:fill="auto"/>
                  <w:vAlign w:val="center"/>
                </w:tcPr>
                <w:p w14:paraId="52ED0373">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568" w:type="pct"/>
                  <w:tcBorders>
                    <w:tl2br w:val="nil"/>
                    <w:tr2bl w:val="nil"/>
                  </w:tcBorders>
                  <w:shd w:val="clear" w:color="auto" w:fill="auto"/>
                  <w:vAlign w:val="center"/>
                </w:tcPr>
                <w:p w14:paraId="1D7D4EE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TN</w:t>
                  </w:r>
                </w:p>
              </w:tc>
              <w:tc>
                <w:tcPr>
                  <w:tcW w:w="500" w:type="pct"/>
                  <w:tcBorders>
                    <w:tl2br w:val="nil"/>
                    <w:tr2bl w:val="nil"/>
                  </w:tcBorders>
                  <w:shd w:val="clear" w:color="auto" w:fill="auto"/>
                  <w:vAlign w:val="center"/>
                </w:tcPr>
                <w:p w14:paraId="60261D3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70</w:t>
                  </w:r>
                </w:p>
              </w:tc>
              <w:tc>
                <w:tcPr>
                  <w:tcW w:w="500" w:type="pct"/>
                  <w:tcBorders>
                    <w:tl2br w:val="nil"/>
                    <w:tr2bl w:val="nil"/>
                  </w:tcBorders>
                  <w:shd w:val="clear" w:color="auto" w:fill="auto"/>
                  <w:vAlign w:val="center"/>
                </w:tcPr>
                <w:p w14:paraId="78EC3D0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1.05</w:t>
                  </w:r>
                </w:p>
              </w:tc>
              <w:tc>
                <w:tcPr>
                  <w:tcW w:w="500" w:type="pct"/>
                  <w:tcBorders>
                    <w:tl2br w:val="nil"/>
                    <w:tr2bl w:val="nil"/>
                  </w:tcBorders>
                  <w:shd w:val="clear" w:color="auto" w:fill="auto"/>
                  <w:vAlign w:val="center"/>
                </w:tcPr>
                <w:p w14:paraId="71D8815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383.25</w:t>
                  </w:r>
                </w:p>
              </w:tc>
              <w:tc>
                <w:tcPr>
                  <w:tcW w:w="500" w:type="pct"/>
                  <w:tcBorders>
                    <w:tl2br w:val="nil"/>
                    <w:tr2bl w:val="nil"/>
                  </w:tcBorders>
                  <w:shd w:val="clear" w:color="auto" w:fill="auto"/>
                  <w:vAlign w:val="center"/>
                </w:tcPr>
                <w:p w14:paraId="003E712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15</w:t>
                  </w:r>
                </w:p>
              </w:tc>
              <w:tc>
                <w:tcPr>
                  <w:tcW w:w="500" w:type="pct"/>
                  <w:tcBorders>
                    <w:tl2br w:val="nil"/>
                    <w:tr2bl w:val="nil"/>
                  </w:tcBorders>
                  <w:shd w:val="clear" w:color="auto" w:fill="auto"/>
                  <w:vAlign w:val="center"/>
                </w:tcPr>
                <w:p w14:paraId="0D014F1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lang w:val="en-US"/>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0.225</w:t>
                  </w:r>
                </w:p>
              </w:tc>
              <w:tc>
                <w:tcPr>
                  <w:tcW w:w="500" w:type="pct"/>
                  <w:tcBorders>
                    <w:tl2br w:val="nil"/>
                    <w:tr2bl w:val="nil"/>
                  </w:tcBorders>
                  <w:shd w:val="clear" w:color="auto" w:fill="auto"/>
                  <w:vAlign w:val="center"/>
                </w:tcPr>
                <w:p w14:paraId="40FE1C5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lang w:val="en-US"/>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82.125</w:t>
                  </w:r>
                </w:p>
              </w:tc>
              <w:tc>
                <w:tcPr>
                  <w:tcW w:w="500" w:type="pct"/>
                  <w:tcBorders>
                    <w:tl2br w:val="nil"/>
                    <w:tr2bl w:val="nil"/>
                  </w:tcBorders>
                  <w:shd w:val="clear" w:color="auto" w:fill="auto"/>
                  <w:vAlign w:val="center"/>
                </w:tcPr>
                <w:p w14:paraId="432EE35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lang w:val="en-US"/>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78.57</w:t>
                  </w:r>
                </w:p>
              </w:tc>
              <w:tc>
                <w:tcPr>
                  <w:tcW w:w="500" w:type="pct"/>
                  <w:vMerge w:val="continue"/>
                  <w:tcBorders>
                    <w:tl2br w:val="nil"/>
                    <w:tr2bl w:val="nil"/>
                  </w:tcBorders>
                  <w:shd w:val="clear" w:color="auto" w:fill="auto"/>
                  <w:vAlign w:val="center"/>
                </w:tcPr>
                <w:p w14:paraId="0343EE12">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r>
          </w:tbl>
          <w:p w14:paraId="71C3ED5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p>
          <w:p w14:paraId="241306D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按照设计，在满足污水处理厂进水水质的前提下，项目采用的工艺对污水中主要污染物的去除率CODcr</w:t>
            </w:r>
            <w:r>
              <w:rPr>
                <w:rFonts w:hint="eastAsia"/>
                <w:color w:val="000000" w:themeColor="text1"/>
                <w:highlight w:val="none"/>
                <w:lang w:val="en-US" w:eastAsia="zh-CN"/>
                <w14:textFill>
                  <w14:solidFill>
                    <w14:schemeClr w14:val="tx1"/>
                  </w14:solidFill>
                </w14:textFill>
              </w:rPr>
              <w:t>为90</w:t>
            </w:r>
            <w:r>
              <w:rPr>
                <w:rFonts w:hint="eastAsia"/>
                <w:color w:val="000000" w:themeColor="text1"/>
                <w:highlight w:val="none"/>
                <w14:textFill>
                  <w14:solidFill>
                    <w14:schemeClr w14:val="tx1"/>
                  </w14:solidFill>
                </w14:textFill>
              </w:rPr>
              <w:t>%，NH</w:t>
            </w:r>
            <w:r>
              <w:rPr>
                <w:rFonts w:hint="eastAsia"/>
                <w:color w:val="000000" w:themeColor="text1"/>
                <w:highlight w:val="none"/>
                <w:vertAlign w:val="subscript"/>
                <w14:textFill>
                  <w14:solidFill>
                    <w14:schemeClr w14:val="tx1"/>
                  </w14:solidFill>
                </w14:textFill>
              </w:rPr>
              <w:t>3</w:t>
            </w:r>
            <w:r>
              <w:rPr>
                <w:rFonts w:hint="eastAsia"/>
                <w:color w:val="000000" w:themeColor="text1"/>
                <w:highlight w:val="none"/>
                <w14:textFill>
                  <w14:solidFill>
                    <w14:schemeClr w14:val="tx1"/>
                  </w14:solidFill>
                </w14:textFill>
              </w:rPr>
              <w:t>-N的去除效率</w:t>
            </w:r>
            <w:r>
              <w:rPr>
                <w:rFonts w:hint="eastAsia"/>
                <w:color w:val="000000" w:themeColor="text1"/>
                <w:highlight w:val="none"/>
                <w:lang w:val="en-US" w:eastAsia="zh-CN"/>
                <w14:textFill>
                  <w14:solidFill>
                    <w14:schemeClr w14:val="tx1"/>
                  </w14:solidFill>
                </w14:textFill>
              </w:rPr>
              <w:t>为88.89</w:t>
            </w:r>
            <w:r>
              <w:rPr>
                <w:rFonts w:hint="eastAsia"/>
                <w:color w:val="000000" w:themeColor="text1"/>
                <w:highlight w:val="none"/>
                <w14:textFill>
                  <w14:solidFill>
                    <w14:schemeClr w14:val="tx1"/>
                  </w14:solidFill>
                </w14:textFill>
              </w:rPr>
              <w:t>%。</w:t>
            </w:r>
          </w:p>
          <w:p w14:paraId="12FD25D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14:textFill>
                  <w14:solidFill>
                    <w14:schemeClr w14:val="tx1"/>
                  </w14:solidFill>
                </w14:textFill>
              </w:rPr>
              <w:t>）排污口设置</w:t>
            </w:r>
          </w:p>
          <w:p w14:paraId="1DCBE65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为磴口一期污水处理厂升级改造项目，现状处理后尾水主要用于湿地补水，待人工湿地建成后，尾水将先排入人工湿地进一步净化，最终依托现有入河排污口排入二排干。鉴于本次改扩建后项目处理规模提升、尾水排放量增加，根据相关环保管理要求，建设单位需按规定编制入河排污口扩大设置论证报告，明确排污口扩大设置的可行性、环境影响及保障措施，确保排污行为合法合规。</w:t>
            </w:r>
          </w:p>
          <w:p w14:paraId="2678C95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5</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厂内道路</w:t>
            </w:r>
          </w:p>
          <w:p w14:paraId="6B1BD1E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为便于交通运输和设备的安装、维护、厂区内主要道路宽6.0m</w:t>
            </w:r>
            <w:r>
              <w:rPr>
                <w:rFonts w:hint="eastAsia"/>
                <w:color w:val="000000" w:themeColor="text1"/>
                <w:highlight w:val="none"/>
                <w:lang w:eastAsia="zh-CN"/>
                <w14:textFill>
                  <w14:solidFill>
                    <w14:schemeClr w14:val="tx1"/>
                  </w14:solidFill>
                </w14:textFill>
              </w:rPr>
              <w:t>，主要道路最小转弯半径9m。道路布置成环状。路面结构采用混凝土。</w:t>
            </w:r>
          </w:p>
          <w:p w14:paraId="0B330385">
            <w:pPr>
              <w:keepNext w:val="0"/>
              <w:keepLines w:val="0"/>
              <w:pageBreakBefore w:val="0"/>
              <w:widowControl w:val="0"/>
              <w:kinsoku/>
              <w:wordWrap/>
              <w:overflowPunct/>
              <w:topLinePunct w:val="0"/>
              <w:autoSpaceDE/>
              <w:autoSpaceDN/>
              <w:bidi w:val="0"/>
              <w:adjustRightInd w:val="0"/>
              <w:snapToGrid w:val="0"/>
              <w:textAlignment w:val="auto"/>
              <w:rPr>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9、</w:t>
            </w:r>
            <w:r>
              <w:rPr>
                <w:rFonts w:hint="eastAsia"/>
                <w:b/>
                <w:bCs/>
                <w:color w:val="000000" w:themeColor="text1"/>
                <w:highlight w:val="none"/>
                <w14:textFill>
                  <w14:solidFill>
                    <w14:schemeClr w14:val="tx1"/>
                  </w14:solidFill>
                </w14:textFill>
              </w:rPr>
              <w:t>工作制度和劳动定员</w:t>
            </w:r>
          </w:p>
          <w:p w14:paraId="4E3F4CA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项目污水处理厂现有工作人员10人，其中1人为管理人员，其余9人三班倒，每班工作8小时，全年工作天数365天，本次改扩建后不新增工作人员人数不变，与原环评一致。</w:t>
            </w:r>
          </w:p>
          <w:p w14:paraId="286E7A0C">
            <w:pPr>
              <w:keepNext w:val="0"/>
              <w:keepLines w:val="0"/>
              <w:pageBreakBefore w:val="0"/>
              <w:widowControl w:val="0"/>
              <w:kinsoku/>
              <w:wordWrap/>
              <w:overflowPunct/>
              <w:topLinePunct w:val="0"/>
              <w:autoSpaceDE/>
              <w:autoSpaceDN/>
              <w:bidi w:val="0"/>
              <w:adjustRightInd w:val="0"/>
              <w:snapToGrid w:val="0"/>
              <w:textAlignment w:val="auto"/>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10、总平面布置</w:t>
            </w:r>
          </w:p>
          <w:p w14:paraId="252B0B6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现状总平面布置</w:t>
            </w:r>
          </w:p>
          <w:p w14:paraId="5F923B3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本污水处理厂厂区功能分区布局科学、边界清晰，核心为一期污水处理区，同步配套管理及生活区</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二期污水处理区、中水厂与一期工程同址不同区布设。各功能区及厂区交通路网具体布置如下：</w:t>
            </w:r>
          </w:p>
          <w:p w14:paraId="4652C00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功能区布局：管理及生活区位于厂区南侧，作为全厂办公、后勤保障配套区域，为一期污水处理区运营提供服务；一期污水处理区位于厂区西侧，是厂区核心生产区域，承担城区生活污水及部分工业污水的处理处置任务；二期污水处理区、中水厂分别布于厂区东侧及厂区内其他区域，与一期工程仅同址布设，无工艺、运营及管理上的关联。</w:t>
            </w:r>
          </w:p>
          <w:p w14:paraId="2EB3452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交通及出入口布局：厂区共设置2个出入口，满足不同物流、人流的通行及管控需求。主出入口位于厂区南侧，紧邻管理及生活区，主要供厂区工作人员、日常办公车辆及普通生产物流通行，保障厂区核心人流、物流的高效运转；次出入口位于厂区西侧，紧邻一期</w:t>
            </w:r>
            <w:r>
              <w:rPr>
                <w:rFonts w:hint="eastAsia"/>
                <w:color w:val="000000" w:themeColor="text1"/>
                <w:highlight w:val="none"/>
                <w:lang w:val="en-US" w:eastAsia="zh-CN"/>
                <w14:textFill>
                  <w14:solidFill>
                    <w14:schemeClr w14:val="tx1"/>
                  </w14:solidFill>
                </w14:textFill>
              </w:rPr>
              <w:t>工程</w:t>
            </w:r>
            <w:r>
              <w:rPr>
                <w:rFonts w:hint="eastAsia"/>
                <w:color w:val="000000" w:themeColor="text1"/>
                <w:highlight w:val="none"/>
                <w14:textFill>
                  <w14:solidFill>
                    <w14:schemeClr w14:val="tx1"/>
                  </w14:solidFill>
                </w14:textFill>
              </w:rPr>
              <w:t>，专门用于污泥运输车辆通行，实现污泥运输的独立动线，有效避免与厂区其他车流、人流交叉干扰。</w:t>
            </w:r>
          </w:p>
          <w:p w14:paraId="04AEA83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厂区路网布局：厂区内部路网采用环形方格网的布局形式，路网覆盖各功能区域及主要生产设施，道路通行能力及转弯半径均满足生产运输、设备检修及消防作业要求，实现各处理区、配套设施及出入口的顺畅连通，保障厂区生产运营及应急处置的交通需求。</w:t>
            </w:r>
          </w:p>
          <w:p w14:paraId="0202DBF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本工程总平面布置</w:t>
            </w:r>
          </w:p>
          <w:p w14:paraId="61B6ED5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工程新建处理设施主要为厌氧缺氧池和后缺氧池、MBR膜池及膜车间。结合污水处理工艺流程要求及厂区自然地形等因素，新建厌氧缺氧池布置于现场生物池的西侧，缺氧池、MBR膜池及膜车间位于厂区北侧。在改造区域四周边缘留有适当宽度防护绿化带，以减小</w:t>
            </w:r>
            <w:r>
              <w:rPr>
                <w:rFonts w:hint="eastAsia"/>
                <w:color w:val="000000" w:themeColor="text1"/>
                <w:highlight w:val="none"/>
                <w:lang w:eastAsia="zh-CN"/>
                <w14:textFill>
                  <w14:solidFill>
                    <w14:schemeClr w14:val="tx1"/>
                  </w14:solidFill>
                </w14:textFill>
              </w:rPr>
              <w:t>污水处理厂</w:t>
            </w:r>
            <w:r>
              <w:rPr>
                <w:rFonts w:hint="eastAsia"/>
                <w:color w:val="000000" w:themeColor="text1"/>
                <w:highlight w:val="none"/>
                <w14:textFill>
                  <w14:solidFill>
                    <w14:schemeClr w14:val="tx1"/>
                  </w14:solidFill>
                </w14:textFill>
              </w:rPr>
              <w:t>对周围的环境影响。建筑物的布置满足工艺的要求，确保了运行过程的连续性，做到联系方便、互不干扰，建筑布局紧凑，交通便捷，车辆和人员的分流有序。</w:t>
            </w:r>
          </w:p>
        </w:tc>
      </w:tr>
      <w:tr w14:paraId="1A9140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96" w:hRule="atLeast"/>
          <w:jc w:val="center"/>
        </w:trPr>
        <w:tc>
          <w:tcPr>
            <w:tcW w:w="400" w:type="pct"/>
            <w:noWrap w:val="0"/>
            <w:vAlign w:val="center"/>
          </w:tcPr>
          <w:p w14:paraId="40B49ECB">
            <w:pPr>
              <w:adjustRightInd w:val="0"/>
              <w:snapToGrid w:val="0"/>
              <w:spacing w:before="0" w:beforeAutospacing="0" w:after="0" w:afterAutospacing="0"/>
              <w:jc w:val="center"/>
              <w:rPr>
                <w:rFonts w:cs="宋体"/>
                <w:color w:val="000000" w:themeColor="text1"/>
                <w:szCs w:val="24"/>
                <w:highlight w:val="none"/>
                <w14:textFill>
                  <w14:solidFill>
                    <w14:schemeClr w14:val="tx1"/>
                  </w14:solidFill>
                </w14:textFill>
              </w:rPr>
            </w:pPr>
            <w:r>
              <w:rPr>
                <w:rFonts w:hint="eastAsia" w:cs="宋体"/>
                <w:color w:val="000000" w:themeColor="text1"/>
                <w:szCs w:val="24"/>
                <w:highlight w:val="none"/>
                <w14:textFill>
                  <w14:solidFill>
                    <w14:schemeClr w14:val="tx1"/>
                  </w14:solidFill>
                </w14:textFill>
              </w:rPr>
              <w:t>工艺流程和产排污环节</w:t>
            </w:r>
          </w:p>
        </w:tc>
        <w:tc>
          <w:tcPr>
            <w:tcW w:w="4599" w:type="pct"/>
            <w:noWrap w:val="0"/>
            <w:vAlign w:val="top"/>
          </w:tcPr>
          <w:p w14:paraId="3E9042A5">
            <w:pPr>
              <w:keepNext w:val="0"/>
              <w:keepLines w:val="0"/>
              <w:pageBreakBefore w:val="0"/>
              <w:widowControl w:val="0"/>
              <w:kinsoku/>
              <w:wordWrap/>
              <w:overflowPunct/>
              <w:topLinePunct w:val="0"/>
              <w:autoSpaceDE/>
              <w:autoSpaceDN/>
              <w:bidi w:val="0"/>
              <w:adjustRightInd w:val="0"/>
              <w:snapToGrid w:val="0"/>
              <w:textAlignment w:val="auto"/>
              <w:rPr>
                <w:rFonts w:hint="default" w:ascii="宋体" w:hAnsi="宋体" w:eastAsia="宋体"/>
                <w:b/>
                <w:bCs w:val="0"/>
                <w:color w:val="000000" w:themeColor="text1"/>
                <w:sz w:val="24"/>
                <w:highlight w:val="none"/>
                <w:lang w:val="en-US" w:eastAsia="zh-CN"/>
                <w14:textFill>
                  <w14:solidFill>
                    <w14:schemeClr w14:val="tx1"/>
                  </w14:solidFill>
                </w14:textFill>
              </w:rPr>
            </w:pPr>
            <w:r>
              <w:rPr>
                <w:rFonts w:hint="eastAsia" w:ascii="宋体" w:hAnsi="宋体"/>
                <w:b/>
                <w:bCs w:val="0"/>
                <w:color w:val="000000" w:themeColor="text1"/>
                <w:sz w:val="24"/>
                <w:highlight w:val="none"/>
                <w:lang w:val="en-US" w:eastAsia="zh-CN"/>
                <w14:textFill>
                  <w14:solidFill>
                    <w14:schemeClr w14:val="tx1"/>
                  </w14:solidFill>
                </w14:textFill>
              </w:rPr>
              <w:t>1</w:t>
            </w:r>
            <w:r>
              <w:rPr>
                <w:rFonts w:hint="eastAsia" w:ascii="宋体" w:hAnsi="宋体"/>
                <w:b/>
                <w:bCs w:val="0"/>
                <w:color w:val="000000" w:themeColor="text1"/>
                <w:sz w:val="24"/>
                <w:highlight w:val="none"/>
                <w14:textFill>
                  <w14:solidFill>
                    <w14:schemeClr w14:val="tx1"/>
                  </w14:solidFill>
                </w14:textFill>
              </w:rPr>
              <w:t>、施工期</w:t>
            </w:r>
            <w:r>
              <w:rPr>
                <w:rFonts w:hint="eastAsia" w:ascii="宋体" w:hAnsi="宋体"/>
                <w:b/>
                <w:bCs w:val="0"/>
                <w:color w:val="000000" w:themeColor="text1"/>
                <w:sz w:val="24"/>
                <w:highlight w:val="none"/>
                <w:lang w:val="en-US" w:eastAsia="zh-CN"/>
                <w14:textFill>
                  <w14:solidFill>
                    <w14:schemeClr w14:val="tx1"/>
                  </w14:solidFill>
                </w14:textFill>
              </w:rPr>
              <w:t>工艺流程及产排污节点分析</w:t>
            </w:r>
          </w:p>
          <w:p w14:paraId="1EAB26D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本项目在升级改造施工期间，将采取不停产施工与临时应急处理相结合的方式保障污水全处理：大部分施工工序不影响现有设施正常运行，可实现边施工边运行；仅在管道对接等必要环节短期短时停产时，将污水临时接入二期工程处理，确保施工期无未经处理的污水直接外排。</w:t>
            </w:r>
          </w:p>
          <w:p w14:paraId="4139415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本项目施工期的建设内容包括在项目现有空地上修建厌氧、缺氧池、后缺氧池、MBR膜池及膜车间等工程建设，其余主要进行设备改造。施工工艺流程及产污节点如图</w:t>
            </w:r>
            <w:r>
              <w:rPr>
                <w:rFonts w:hint="default" w:ascii="Times New Roman" w:hAnsi="Times New Roman" w:cs="Times New Roman"/>
                <w:bCs/>
                <w:color w:val="000000" w:themeColor="text1"/>
                <w:sz w:val="24"/>
                <w:highlight w:val="none"/>
                <w:lang w:val="en-US" w:eastAsia="zh-CN"/>
                <w14:textFill>
                  <w14:solidFill>
                    <w14:schemeClr w14:val="tx1"/>
                  </w14:solidFill>
                </w14:textFill>
              </w:rPr>
              <w:t>2-</w:t>
            </w:r>
            <w:r>
              <w:rPr>
                <w:rFonts w:hint="eastAsia" w:cs="Times New Roman"/>
                <w:bCs/>
                <w:color w:val="000000" w:themeColor="text1"/>
                <w:sz w:val="24"/>
                <w:highlight w:val="none"/>
                <w:lang w:val="en-US" w:eastAsia="zh-CN"/>
                <w14:textFill>
                  <w14:solidFill>
                    <w14:schemeClr w14:val="tx1"/>
                  </w14:solidFill>
                </w14:textFill>
              </w:rPr>
              <w:t>3</w:t>
            </w:r>
            <w:r>
              <w:rPr>
                <w:rFonts w:hint="default" w:ascii="Times New Roman" w:hAnsi="Times New Roman" w:cs="Times New Roman"/>
                <w:bCs/>
                <w:color w:val="000000" w:themeColor="text1"/>
                <w:sz w:val="24"/>
                <w:highlight w:val="none"/>
                <w14:textFill>
                  <w14:solidFill>
                    <w14:schemeClr w14:val="tx1"/>
                  </w14:solidFill>
                </w14:textFill>
              </w:rPr>
              <w:t>所示。</w:t>
            </w:r>
          </w:p>
          <w:p w14:paraId="442B309D">
            <w:pPr>
              <w:keepNext w:val="0"/>
              <w:keepLines w:val="0"/>
              <w:pageBreakBefore w:val="0"/>
              <w:widowControl w:val="0"/>
              <w:kinsoku/>
              <w:wordWrap/>
              <w:overflowPunct/>
              <w:topLinePunct w:val="0"/>
              <w:autoSpaceDE/>
              <w:autoSpaceDN/>
              <w:bidi w:val="0"/>
              <w:adjustRightInd w:val="0"/>
              <w:snapToGrid w:val="0"/>
              <w:textAlignment w:val="auto"/>
              <w:rPr>
                <w:rFonts w:ascii="宋体" w:hAnsi="宋体"/>
                <w:bCs/>
                <w:color w:val="000000" w:themeColor="text1"/>
                <w:sz w:val="24"/>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991100" cy="1728470"/>
                  <wp:effectExtent l="0" t="0" r="0" b="508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37"/>
                          <a:stretch>
                            <a:fillRect/>
                          </a:stretch>
                        </pic:blipFill>
                        <pic:spPr>
                          <a:xfrm>
                            <a:off x="0" y="0"/>
                            <a:ext cx="4991100" cy="1728470"/>
                          </a:xfrm>
                          <a:prstGeom prst="rect">
                            <a:avLst/>
                          </a:prstGeom>
                          <a:noFill/>
                          <a:ln>
                            <a:noFill/>
                          </a:ln>
                        </pic:spPr>
                      </pic:pic>
                    </a:graphicData>
                  </a:graphic>
                </wp:inline>
              </w:drawing>
            </w:r>
          </w:p>
          <w:p w14:paraId="41A40764">
            <w:pPr>
              <w:pStyle w:val="19"/>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图2-3  污水处理厂建设施工工艺流程图</w:t>
            </w:r>
          </w:p>
          <w:p w14:paraId="77C35261">
            <w:pPr>
              <w:keepNext w:val="0"/>
              <w:keepLines w:val="0"/>
              <w:pageBreakBefore w:val="0"/>
              <w:widowControl w:val="0"/>
              <w:kinsoku/>
              <w:wordWrap/>
              <w:overflowPunct/>
              <w:topLinePunct w:val="0"/>
              <w:autoSpaceDE/>
              <w:autoSpaceDN/>
              <w:bidi w:val="0"/>
              <w:adjustRightInd w:val="0"/>
              <w:snapToGrid w:val="0"/>
              <w:textAlignment w:val="auto"/>
              <w:rPr>
                <w:rFonts w:hint="default" w:ascii="宋体" w:hAnsi="宋体" w:eastAsia="宋体"/>
                <w:b/>
                <w:bCs w:val="0"/>
                <w:color w:val="000000" w:themeColor="text1"/>
                <w:sz w:val="24"/>
                <w:highlight w:val="none"/>
                <w:lang w:val="en-US" w:eastAsia="zh-CN"/>
                <w14:textFill>
                  <w14:solidFill>
                    <w14:schemeClr w14:val="tx1"/>
                  </w14:solidFill>
                </w14:textFill>
              </w:rPr>
            </w:pPr>
            <w:r>
              <w:rPr>
                <w:rFonts w:hint="eastAsia" w:ascii="宋体" w:hAnsi="宋体"/>
                <w:b/>
                <w:bCs w:val="0"/>
                <w:color w:val="000000" w:themeColor="text1"/>
                <w:sz w:val="24"/>
                <w:highlight w:val="none"/>
                <w:lang w:val="en-US" w:eastAsia="zh-CN"/>
                <w14:textFill>
                  <w14:solidFill>
                    <w14:schemeClr w14:val="tx1"/>
                  </w14:solidFill>
                </w14:textFill>
              </w:rPr>
              <w:t>2、运营期工艺流程及产排污节点分析</w:t>
            </w:r>
          </w:p>
          <w:p w14:paraId="786D666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污水处理厂的出水水质标准为《城镇污水处理厂污染物排放标准》（GB18918-2002）（含2006年、2025年修改单）一级A标准，可研、设计通过对处理工艺的分别论证，最终确定为：“调节池及提升泵房+细格栅及沉砂池+</w:t>
            </w:r>
            <w:r>
              <w:rPr>
                <w:rFonts w:hint="eastAsia"/>
                <w:color w:val="000000" w:themeColor="text1"/>
                <w:highlight w:val="none"/>
                <w14:textFill>
                  <w14:solidFill>
                    <w14:schemeClr w14:val="tx1"/>
                  </w14:solidFill>
                </w14:textFill>
              </w:rPr>
              <w:t>A</w:t>
            </w:r>
            <w:r>
              <w:rPr>
                <w:rFonts w:hint="eastAsia"/>
                <w:color w:val="000000" w:themeColor="text1"/>
                <w:highlight w:val="none"/>
                <w:vertAlign w:val="superscript"/>
                <w14:textFill>
                  <w14:solidFill>
                    <w14:schemeClr w14:val="tx1"/>
                  </w14:solidFill>
                </w14:textFill>
              </w:rPr>
              <w:t>2</w:t>
            </w:r>
            <w:r>
              <w:rPr>
                <w:rFonts w:hint="eastAsia"/>
                <w:color w:val="000000" w:themeColor="text1"/>
                <w:highlight w:val="none"/>
                <w:vertAlign w:val="baseline"/>
                <w:lang w:val="en-US" w:eastAsia="zh-CN"/>
                <w14:textFill>
                  <w14:solidFill>
                    <w14:schemeClr w14:val="tx1"/>
                  </w14:solidFill>
                </w14:textFill>
              </w:rPr>
              <w:t>/O</w:t>
            </w:r>
            <w:r>
              <w:rPr>
                <w:rFonts w:hint="default" w:ascii="Times New Roman" w:hAnsi="Times New Roman" w:cs="Times New Roman"/>
                <w:bCs/>
                <w:color w:val="000000" w:themeColor="text1"/>
                <w:sz w:val="24"/>
                <w:highlight w:val="none"/>
                <w14:textFill>
                  <w14:solidFill>
                    <w14:schemeClr w14:val="tx1"/>
                  </w14:solidFill>
                </w14:textFill>
              </w:rPr>
              <w:t>生化池+MBR膜+消毒”。根据现场调查，同建设单位、运营单位协商后，本次恶臭处理措施如下：</w:t>
            </w:r>
          </w:p>
          <w:p w14:paraId="482FC30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lang w:val="en-US" w:eastAsia="zh-CN"/>
                <w14:textFill>
                  <w14:solidFill>
                    <w14:schemeClr w14:val="tx1"/>
                  </w14:solidFill>
                </w14:textFill>
              </w:rPr>
              <w:t>1</w:t>
            </w:r>
            <w:r>
              <w:rPr>
                <w:rFonts w:hint="default" w:ascii="Times New Roman" w:hAnsi="Times New Roman"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14:textFill>
                  <w14:solidFill>
                    <w14:schemeClr w14:val="tx1"/>
                  </w14:solidFill>
                </w14:textFill>
              </w:rPr>
              <w:t>污水处理单元除臭措施</w:t>
            </w:r>
          </w:p>
          <w:p w14:paraId="3D99FE3A">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预处理系统包括细格栅间、进水泵房、旋流沉砂池，是前端恶臭主要产生区域。</w:t>
            </w:r>
          </w:p>
          <w:p w14:paraId="027CE3F7">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治理措施：对细格栅渠、旋流沉砂池主体构筑物实施密封加盖处理，进水泵房设置密闭式操作空间，减少臭气无组织散逸；通过密封罩配套的集气管道，将收集的臭气统一</w:t>
            </w:r>
            <w:r>
              <w:rPr>
                <w:rFonts w:hint="eastAsia" w:cs="Times New Roman"/>
                <w:color w:val="000000" w:themeColor="text1"/>
                <w:kern w:val="0"/>
                <w:szCs w:val="21"/>
                <w:highlight w:val="none"/>
                <w:lang w:val="en-US" w:eastAsia="zh-CN"/>
                <w14:textFill>
                  <w14:solidFill>
                    <w14:schemeClr w14:val="tx1"/>
                  </w14:solidFill>
                </w14:textFill>
              </w:rPr>
              <w:t>经活性炭吸附后</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，以无组织形式排放。</w:t>
            </w:r>
          </w:p>
          <w:p w14:paraId="1F3392DA">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生化处理系统包括新建厌氧池、改造后缺氧池（原厌氧池、缺氧池改造）、后缺氧池、好氧池（原好氧池+二沉池改造），改造后工艺为A</w:t>
            </w:r>
            <w:r>
              <w:rPr>
                <w:rFonts w:hint="default" w:ascii="Times New Roman" w:hAnsi="Times New Roman" w:eastAsia="宋体" w:cs="Times New Roman"/>
                <w:color w:val="000000" w:themeColor="text1"/>
                <w:kern w:val="0"/>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/O+MBR，厌氧、缺氧区域停留时间延长，恶臭产生风险有所增加。</w:t>
            </w:r>
          </w:p>
          <w:p w14:paraId="123F8CD9">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防控措施：定期清理生化池表面浮渣，避免有机物厌氧发酵加剧臭气释放；通过喷洒除臭剂抑制臭气扩散，同时优化生化池运行参数，控制厌氧、缺氧池内污泥停留时间及溶解氧浓度，减少恶臭气体产生量；生化池区域与厂界及周边敏感点利用厂区绿化隔离带吸附部分臭气；虽未设置专门废气收集系统，但通过构筑物半地下式设计、池体加盖密封（新增厌氧池、后缺氧池配套密封措施）减少臭气逸散。</w:t>
            </w:r>
          </w:p>
          <w:p w14:paraId="32B230FD">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新增MBR膜池及膜车间区域，膜池内污泥浓度高，曝气过程易伴随臭气释放。</w:t>
            </w:r>
          </w:p>
          <w:p w14:paraId="6056C67B">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治理措施：MBR膜池采用半地下式结构并配套密封盖板，膜车间设置密闭式围护结构，减少臭气无组织散逸；膜池曝气系统优化为低噪声、低扰动设计，降低曝气过程中臭气夹带强度；车间内配套通风换气装置，保持室内空气流通，同步利用厂区整体绿化隔离带吸附部分扩散臭气。</w:t>
            </w:r>
          </w:p>
          <w:p w14:paraId="195578FD">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eastAsia" w:cs="Times New Roman"/>
                <w:color w:val="000000" w:themeColor="text1"/>
                <w:kern w:val="0"/>
                <w:szCs w:val="21"/>
                <w:highlight w:val="none"/>
                <w:lang w:val="en-US" w:eastAsia="zh-CN"/>
                <w14:textFill>
                  <w14:solidFill>
                    <w14:schemeClr w14:val="tx1"/>
                  </w14:solidFill>
                </w14:textFill>
              </w:rPr>
              <w:t>（2）污泥处理单元</w:t>
            </w:r>
          </w:p>
          <w:p w14:paraId="3ABDC808">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污泥处理区域包括污泥储池（利旧）、污泥斗、污泥脱水机房（设备更新改造），是恶臭污染重点产生区域。</w:t>
            </w:r>
          </w:p>
          <w:p w14:paraId="22990D81">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治理措施：污泥储池采用密封盖板（配套密封胶条）；污泥脱水机房保持现有封闭结构，强化门窗密封性能，避免无组织泄漏。</w:t>
            </w:r>
          </w:p>
          <w:p w14:paraId="72FFD74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lang w:val="en-US" w:eastAsia="zh-CN"/>
                <w14:textFill>
                  <w14:solidFill>
                    <w14:schemeClr w14:val="tx1"/>
                  </w14:solidFill>
                </w14:textFill>
              </w:rPr>
              <w:t>3</w:t>
            </w:r>
            <w:r>
              <w:rPr>
                <w:rFonts w:hint="default" w:ascii="Times New Roman" w:hAnsi="Times New Roman"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14:textFill>
                  <w14:solidFill>
                    <w14:schemeClr w14:val="tx1"/>
                  </w14:solidFill>
                </w14:textFill>
              </w:rPr>
              <w:t>总体工艺流程</w:t>
            </w:r>
          </w:p>
          <w:p w14:paraId="7682548B">
            <w:pPr>
              <w:keepNext w:val="0"/>
              <w:keepLines w:val="0"/>
              <w:pageBreakBefore w:val="0"/>
              <w:widowControl w:val="0"/>
              <w:kinsoku/>
              <w:wordWrap/>
              <w:overflowPunct/>
              <w:topLinePunct w:val="0"/>
              <w:autoSpaceDE/>
              <w:autoSpaceDN/>
              <w:bidi w:val="0"/>
              <w:adjustRightInd w:val="0"/>
              <w:snapToGrid w:val="0"/>
              <w:textAlignment w:val="auto"/>
              <w:rPr>
                <w:rFonts w:hint="eastAsia" w:ascii="Times New Roman" w:hAnsi="Times New Roman" w:eastAsia="宋体" w:cs="Times New Roman"/>
                <w:bCs/>
                <w:color w:val="000000" w:themeColor="text1"/>
                <w:sz w:val="24"/>
                <w:highlight w:val="none"/>
                <w:lang w:eastAsia="zh-CN"/>
                <w14:textFill>
                  <w14:solidFill>
                    <w14:schemeClr w14:val="tx1"/>
                  </w14:solidFill>
                </w14:textFill>
              </w:rPr>
            </w:pPr>
            <w:r>
              <w:rPr>
                <w:rFonts w:hint="eastAsia" w:ascii="Times New Roman" w:hAnsi="Times New Roman" w:eastAsia="宋体" w:cs="Times New Roman"/>
                <w:bCs/>
                <w:color w:val="000000" w:themeColor="text1"/>
                <w:sz w:val="24"/>
                <w:highlight w:val="none"/>
                <w:lang w:eastAsia="zh-CN"/>
                <w14:textFill>
                  <w14:solidFill>
                    <w14:schemeClr w14:val="tx1"/>
                  </w14:solidFill>
                </w14:textFill>
              </w:rPr>
              <w:drawing>
                <wp:inline distT="0" distB="0" distL="114300" distR="114300">
                  <wp:extent cx="4827905" cy="2115820"/>
                  <wp:effectExtent l="0" t="0" r="10795" b="17780"/>
                  <wp:docPr id="87" name="图片 87" descr="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工艺流程图"/>
                          <pic:cNvPicPr>
                            <a:picLocks noChangeAspect="1"/>
                          </pic:cNvPicPr>
                        </pic:nvPicPr>
                        <pic:blipFill>
                          <a:blip r:embed="rId38"/>
                          <a:stretch>
                            <a:fillRect/>
                          </a:stretch>
                        </pic:blipFill>
                        <pic:spPr>
                          <a:xfrm>
                            <a:off x="0" y="0"/>
                            <a:ext cx="4827905" cy="2115820"/>
                          </a:xfrm>
                          <a:prstGeom prst="rect">
                            <a:avLst/>
                          </a:prstGeom>
                        </pic:spPr>
                      </pic:pic>
                    </a:graphicData>
                  </a:graphic>
                </wp:inline>
              </w:drawing>
            </w:r>
          </w:p>
          <w:p w14:paraId="74CC7255">
            <w:pPr>
              <w:pStyle w:val="19"/>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图2-4  运营期工艺流程及产排污节点图</w:t>
            </w:r>
          </w:p>
          <w:p w14:paraId="2557AD6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lang w:val="en-US" w:eastAsia="zh-CN"/>
                <w14:textFill>
                  <w14:solidFill>
                    <w14:schemeClr w14:val="tx1"/>
                  </w14:solidFill>
                </w14:textFill>
              </w:rPr>
              <w:t>1</w:t>
            </w:r>
            <w:r>
              <w:rPr>
                <w:rFonts w:hint="default" w:ascii="Times New Roman" w:hAnsi="Times New Roman" w:cs="Times New Roman"/>
                <w:bCs/>
                <w:color w:val="000000" w:themeColor="text1"/>
                <w:sz w:val="24"/>
                <w:highlight w:val="none"/>
                <w14:textFill>
                  <w14:solidFill>
                    <w14:schemeClr w14:val="tx1"/>
                  </w14:solidFill>
                </w14:textFill>
              </w:rPr>
              <w:t>）污水处理工艺流程简述</w:t>
            </w:r>
          </w:p>
          <w:p w14:paraId="46F68BF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细格栅及提升泵房：细格栅采用转鼓式筛网（筛缝1mm），通过物理筛分截阻污水中大块悬浮固体、漂浮物及粒径≥0.2mm的颗粒物质，避免堵塞后续管道和设备；提升泵房内设置5台立式离心泵（4用1备），将污水提升后实现后续阶段重力流处理，保障工艺连续运行。</w:t>
            </w:r>
          </w:p>
          <w:p w14:paraId="07BAA05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旋流沉砂池：核心功能是去除污水中比重较大的无机砂粒，减轻无机颗粒对水泵管道的磨损，降低后续构筑物处理负荷，改善污泥处置条件，项目设旋流沉砂池2座，配套砂水分离器等辅助设备。</w:t>
            </w:r>
          </w:p>
          <w:p w14:paraId="446279E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厌氧池、缺氧池、好氧池、后缺氧池：通过构筑物分区营造厌氧、缺氧、好氧交替环境，依托活性污泥中微生物的代谢作用，实现对污水中有机物的降解及脱氮除磷；后缺氧池前端投加乙酸钠补充碳源，强化反硝化反应，深度去除总氮，保障出水水质达标。</w:t>
            </w:r>
          </w:p>
          <w:p w14:paraId="11A2D25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MBR膜池：采用进口PVDF中空纤维膜组件，通过膜过滤实现高效泥水分离，截留活性污泥及悬浮物，进一步提升出水清澈度；膜池配套曝气系统，通过气泡剪切力控制膜污染，保障系统稳定运行，设计膜通量13.8L/</w:t>
            </w:r>
            <w:r>
              <w:rPr>
                <w:rFonts w:hint="eastAsia"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14:textFill>
                  <w14:solidFill>
                    <w14:schemeClr w14:val="tx1"/>
                  </w14:solidFill>
                </w14:textFill>
              </w:rPr>
              <w:t>m</w:t>
            </w:r>
            <w:r>
              <w:rPr>
                <w:rFonts w:hint="default" w:ascii="Times New Roman" w:hAnsi="Times New Roman" w:cs="Times New Roman"/>
                <w:bCs/>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4"/>
                <w:highlight w:val="none"/>
                <w14:textFill>
                  <w14:solidFill>
                    <w14:schemeClr w14:val="tx1"/>
                  </w14:solidFill>
                </w14:textFill>
              </w:rPr>
              <w:t>・h</w:t>
            </w:r>
            <w:r>
              <w:rPr>
                <w:rFonts w:hint="eastAsia"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14:textFill>
                  <w14:solidFill>
                    <w14:schemeClr w14:val="tx1"/>
                  </w14:solidFill>
                </w14:textFill>
              </w:rPr>
              <w:t>。</w:t>
            </w:r>
          </w:p>
          <w:p w14:paraId="7221AC6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消毒池：污水经全流程处理后，仍含有少量细菌及病毒，通过消毒池投加次氯酸钠进行消毒，杀灭病原微生物，确保出水卫生学指标符合要求。</w:t>
            </w:r>
          </w:p>
          <w:p w14:paraId="66FC821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中水回用及排放系统：消毒后出水水质达到《城镇污水处理厂污染物排放标准》（GB18918-2002）（含2006年、2025年修改单）一级A标准，通过厂区内配套工艺管线输送至</w:t>
            </w:r>
            <w:r>
              <w:rPr>
                <w:rFonts w:hint="eastAsia" w:cs="Times New Roman"/>
                <w:bCs/>
                <w:color w:val="000000" w:themeColor="text1"/>
                <w:sz w:val="24"/>
                <w:highlight w:val="none"/>
                <w:lang w:val="en-US" w:eastAsia="zh-CN"/>
                <w14:textFill>
                  <w14:solidFill>
                    <w14:schemeClr w14:val="tx1"/>
                  </w14:solidFill>
                </w14:textFill>
              </w:rPr>
              <w:t>中水厂</w:t>
            </w:r>
            <w:r>
              <w:rPr>
                <w:rFonts w:hint="default" w:ascii="Times New Roman" w:hAnsi="Times New Roman" w:cs="Times New Roman"/>
                <w:bCs/>
                <w:color w:val="000000" w:themeColor="text1"/>
                <w:sz w:val="24"/>
                <w:highlight w:val="none"/>
                <w14:textFill>
                  <w14:solidFill>
                    <w14:schemeClr w14:val="tx1"/>
                  </w14:solidFill>
                </w14:textFill>
              </w:rPr>
              <w:t>，通过中水管道输送至回用点（工业冷却、绿化灌溉、道路清扫等），另一部分排入后续</w:t>
            </w:r>
            <w:r>
              <w:rPr>
                <w:rFonts w:hint="eastAsia" w:cs="Times New Roman"/>
                <w:bCs/>
                <w:color w:val="000000" w:themeColor="text1"/>
                <w:sz w:val="24"/>
                <w:highlight w:val="none"/>
                <w:lang w:val="en-US" w:eastAsia="zh-CN"/>
                <w14:textFill>
                  <w14:solidFill>
                    <w14:schemeClr w14:val="tx1"/>
                  </w14:solidFill>
                </w14:textFill>
              </w:rPr>
              <w:t>人工</w:t>
            </w:r>
            <w:r>
              <w:rPr>
                <w:rFonts w:hint="default" w:ascii="Times New Roman" w:hAnsi="Times New Roman" w:cs="Times New Roman"/>
                <w:bCs/>
                <w:color w:val="000000" w:themeColor="text1"/>
                <w:sz w:val="24"/>
                <w:highlight w:val="none"/>
                <w14:textFill>
                  <w14:solidFill>
                    <w14:schemeClr w14:val="tx1"/>
                  </w14:solidFill>
                </w14:textFill>
              </w:rPr>
              <w:t>湿地进一步处理，湿地出水达到《地表水环境质量标准》（GB3838-2002）</w:t>
            </w:r>
            <w:r>
              <w:rPr>
                <w:rFonts w:hint="eastAsia" w:cs="Times New Roman"/>
                <w:bCs/>
                <w:color w:val="000000" w:themeColor="text1"/>
                <w:sz w:val="24"/>
                <w:highlight w:val="none"/>
                <w:lang w:val="en-US" w:eastAsia="zh-CN"/>
                <w14:textFill>
                  <w14:solidFill>
                    <w14:schemeClr w14:val="tx1"/>
                  </w14:solidFill>
                </w14:textFill>
              </w:rPr>
              <w:t>V</w:t>
            </w:r>
            <w:r>
              <w:rPr>
                <w:rFonts w:hint="default" w:ascii="Times New Roman" w:hAnsi="Times New Roman" w:cs="Times New Roman"/>
                <w:bCs/>
                <w:color w:val="000000" w:themeColor="text1"/>
                <w:sz w:val="24"/>
                <w:highlight w:val="none"/>
                <w14:textFill>
                  <w14:solidFill>
                    <w14:schemeClr w14:val="tx1"/>
                  </w14:solidFill>
                </w14:textFill>
              </w:rPr>
              <w:t>类水标准</w:t>
            </w:r>
            <w:r>
              <w:rPr>
                <w:rFonts w:hint="eastAsia" w:cs="Times New Roman"/>
                <w:bCs/>
                <w:color w:val="000000" w:themeColor="text1"/>
                <w:sz w:val="24"/>
                <w:highlight w:val="none"/>
                <w:lang w:val="en-US" w:eastAsia="zh-CN"/>
                <w14:textFill>
                  <w14:solidFill>
                    <w14:schemeClr w14:val="tx1"/>
                  </w14:solidFill>
                </w14:textFill>
              </w:rPr>
              <w:t>后通过排污口排入二排干</w:t>
            </w:r>
            <w:r>
              <w:rPr>
                <w:rFonts w:hint="default" w:ascii="Times New Roman" w:hAnsi="Times New Roman" w:cs="Times New Roman"/>
                <w:bCs/>
                <w:color w:val="000000" w:themeColor="text1"/>
                <w:sz w:val="24"/>
                <w:highlight w:val="none"/>
                <w14:textFill>
                  <w14:solidFill>
                    <w14:schemeClr w14:val="tx1"/>
                  </w14:solidFill>
                </w14:textFill>
              </w:rPr>
              <w:t>。</w:t>
            </w:r>
          </w:p>
          <w:p w14:paraId="34144C6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2）</w:t>
            </w:r>
            <w:r>
              <w:rPr>
                <w:rFonts w:hint="default" w:ascii="Times New Roman" w:hAnsi="Times New Roman" w:cs="Times New Roman"/>
                <w:bCs/>
                <w:color w:val="000000" w:themeColor="text1"/>
                <w:sz w:val="24"/>
                <w:highlight w:val="none"/>
                <w14:textFill>
                  <w14:solidFill>
                    <w14:schemeClr w14:val="tx1"/>
                  </w14:solidFill>
                </w14:textFill>
              </w:rPr>
              <w:t>污泥处理工艺流程简述</w:t>
            </w:r>
          </w:p>
          <w:p w14:paraId="2CE0DDA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污泥储池：MBR膜池产生的剩余污泥汇入利旧污泥储池临时储存，池体密闭设计减少臭气逸散，为后续脱水处理提供稳定污泥源。</w:t>
            </w:r>
          </w:p>
          <w:p w14:paraId="13EBA3B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污泥脱水机房：污泥经污泥泵输送至3台带式压滤机，投加PAM絮凝剂辅助脱水，脱水后污泥含水率控制在80%，满足外运处置要求；脱水过程中产生的滤液回流至调节池前端，重新参与污水处理，避免二次污染。</w:t>
            </w:r>
          </w:p>
          <w:p w14:paraId="4A20543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污泥外运处置：脱水后污泥委托有资质单位外运至蚯蚓厂，实现污泥资源化利用，处置过</w:t>
            </w:r>
            <w:r>
              <w:rPr>
                <w:rFonts w:hint="eastAsia" w:cs="Times New Roman"/>
                <w:bCs/>
                <w:color w:val="000000" w:themeColor="text1"/>
                <w:sz w:val="24"/>
                <w:highlight w:val="none"/>
                <w:lang w:eastAsia="zh-CN"/>
                <w14:textFill>
                  <w14:solidFill>
                    <w14:schemeClr w14:val="tx1"/>
                  </w14:solidFill>
                </w14:textFill>
              </w:rPr>
              <w:t>程中</w:t>
            </w:r>
            <w:r>
              <w:rPr>
                <w:rFonts w:hint="default" w:ascii="Times New Roman" w:hAnsi="Times New Roman" w:cs="Times New Roman"/>
                <w:bCs/>
                <w:color w:val="000000" w:themeColor="text1"/>
                <w:sz w:val="24"/>
                <w:highlight w:val="none"/>
                <w14:textFill>
                  <w14:solidFill>
                    <w14:schemeClr w14:val="tx1"/>
                  </w14:solidFill>
                </w14:textFill>
              </w:rPr>
              <w:t>严格遵守污泥资源化利用相关规范及环保要求。</w:t>
            </w:r>
          </w:p>
          <w:p w14:paraId="784587F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3</w:t>
            </w:r>
            <w:r>
              <w:rPr>
                <w:rFonts w:hint="default" w:ascii="Times New Roman" w:hAnsi="Times New Roman" w:cs="Times New Roman"/>
                <w:bCs/>
                <w:color w:val="000000" w:themeColor="text1"/>
                <w:sz w:val="24"/>
                <w:highlight w:val="none"/>
                <w14:textFill>
                  <w14:solidFill>
                    <w14:schemeClr w14:val="tx1"/>
                  </w14:solidFill>
                </w14:textFill>
              </w:rPr>
              <w:t>）除臭设施补充说明</w:t>
            </w:r>
          </w:p>
          <w:p w14:paraId="54D6A8D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结合《排污许可证申请与核发技术规范 水处理（试行）》（HJ978-2018）中可行技术要求，本项目恶臭气体控制以“无组织排放防控”为主，具体补充措施如下：</w:t>
            </w:r>
          </w:p>
          <w:p w14:paraId="0441D29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次氯酸钠使用量及除臭喷雾喷洒频率，根据当日污水处理量、进水水质波动及天气情况动态调整，确保除臭效果。</w:t>
            </w:r>
          </w:p>
          <w:p w14:paraId="2BDD596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污水及污泥处理构筑物周边空余地栽植乔木、灌木及草坪等植被，利用植物吸附作用进一步净化臭气，降低扩散影响。</w:t>
            </w:r>
          </w:p>
          <w:p w14:paraId="61C3AF2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沿厂界周边设置防护绿化带，形成天然屏障，控制恶臭气体散逸范围。</w:t>
            </w:r>
          </w:p>
          <w:p w14:paraId="2C831F2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w:t>
            </w:r>
            <w:r>
              <w:rPr>
                <w:rFonts w:hint="default" w:ascii="Times New Roman" w:hAnsi="Times New Roman" w:cs="Times New Roman"/>
                <w:bCs/>
                <w:color w:val="000000" w:themeColor="text1"/>
                <w:sz w:val="24"/>
                <w:highlight w:val="none"/>
                <w:lang w:val="en-US" w:eastAsia="zh-CN"/>
                <w14:textFill>
                  <w14:solidFill>
                    <w14:schemeClr w14:val="tx1"/>
                  </w14:solidFill>
                </w14:textFill>
              </w:rPr>
              <w:t>4</w:t>
            </w:r>
            <w:r>
              <w:rPr>
                <w:rFonts w:hint="default" w:ascii="Times New Roman" w:hAnsi="Times New Roman" w:cs="Times New Roman"/>
                <w:bCs/>
                <w:color w:val="000000" w:themeColor="text1"/>
                <w:sz w:val="24"/>
                <w:highlight w:val="none"/>
                <w14:textFill>
                  <w14:solidFill>
                    <w14:schemeClr w14:val="tx1"/>
                  </w14:solidFill>
                </w14:textFill>
              </w:rPr>
              <w:t>）产排污环节汇总</w:t>
            </w:r>
          </w:p>
          <w:p w14:paraId="72FDAC3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ascii="宋体" w:hAnsi="宋体"/>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根据项目工艺流程分析，项目产污环节汇总情况见下表。</w:t>
            </w:r>
          </w:p>
          <w:p w14:paraId="11F5DE75">
            <w:pPr>
              <w:pStyle w:val="20"/>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 xml:space="preserve">2-19  </w:t>
            </w:r>
            <w:r>
              <w:rPr>
                <w:rFonts w:hint="eastAsia"/>
                <w:color w:val="000000" w:themeColor="text1"/>
                <w:highlight w:val="none"/>
                <w14:textFill>
                  <w14:solidFill>
                    <w14:schemeClr w14:val="tx1"/>
                  </w14:solidFill>
                </w14:textFill>
              </w:rPr>
              <w:t>运行期产排污环节汇总表</w:t>
            </w:r>
          </w:p>
          <w:tbl>
            <w:tblPr>
              <w:tblStyle w:val="13"/>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62"/>
              <w:gridCol w:w="909"/>
              <w:gridCol w:w="1128"/>
              <w:gridCol w:w="1219"/>
              <w:gridCol w:w="3787"/>
            </w:tblGrid>
            <w:tr w14:paraId="403C91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tcBorders>
                    <w:tl2br w:val="nil"/>
                    <w:tr2bl w:val="nil"/>
                  </w:tcBorders>
                  <w:noWrap w:val="0"/>
                  <w:vAlign w:val="center"/>
                </w:tcPr>
                <w:p w14:paraId="0D1760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污染物种类</w:t>
                  </w:r>
                </w:p>
              </w:tc>
              <w:tc>
                <w:tcPr>
                  <w:tcW w:w="575" w:type="pct"/>
                  <w:tcBorders>
                    <w:tl2br w:val="nil"/>
                    <w:tr2bl w:val="nil"/>
                  </w:tcBorders>
                  <w:noWrap w:val="0"/>
                  <w:vAlign w:val="center"/>
                </w:tcPr>
                <w:p w14:paraId="7D62A0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污染源</w:t>
                  </w:r>
                </w:p>
              </w:tc>
              <w:tc>
                <w:tcPr>
                  <w:tcW w:w="713" w:type="pct"/>
                  <w:tcBorders>
                    <w:tl2br w:val="nil"/>
                    <w:tr2bl w:val="nil"/>
                  </w:tcBorders>
                  <w:noWrap w:val="0"/>
                  <w:vAlign w:val="center"/>
                </w:tcPr>
                <w:p w14:paraId="681B69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污染物产生环节</w:t>
                  </w:r>
                </w:p>
              </w:tc>
              <w:tc>
                <w:tcPr>
                  <w:tcW w:w="771" w:type="pct"/>
                  <w:tcBorders>
                    <w:tl2br w:val="nil"/>
                    <w:tr2bl w:val="nil"/>
                  </w:tcBorders>
                  <w:noWrap w:val="0"/>
                  <w:vAlign w:val="center"/>
                </w:tcPr>
                <w:p w14:paraId="232CEF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污染因子</w:t>
                  </w:r>
                </w:p>
              </w:tc>
              <w:tc>
                <w:tcPr>
                  <w:tcW w:w="2394" w:type="pct"/>
                  <w:tcBorders>
                    <w:tl2br w:val="nil"/>
                    <w:tr2bl w:val="nil"/>
                  </w:tcBorders>
                  <w:noWrap w:val="0"/>
                  <w:vAlign w:val="center"/>
                </w:tcPr>
                <w:p w14:paraId="2D62B7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排放去向</w:t>
                  </w:r>
                </w:p>
              </w:tc>
            </w:tr>
            <w:tr w14:paraId="4CEA69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tcBorders>
                    <w:tl2br w:val="nil"/>
                    <w:tr2bl w:val="nil"/>
                  </w:tcBorders>
                  <w:noWrap w:val="0"/>
                  <w:vAlign w:val="center"/>
                </w:tcPr>
                <w:p w14:paraId="3FC514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废气</w:t>
                  </w:r>
                </w:p>
              </w:tc>
              <w:tc>
                <w:tcPr>
                  <w:tcW w:w="575" w:type="pct"/>
                  <w:tcBorders>
                    <w:tl2br w:val="nil"/>
                    <w:tr2bl w:val="nil"/>
                  </w:tcBorders>
                  <w:noWrap w:val="0"/>
                  <w:vAlign w:val="center"/>
                </w:tcPr>
                <w:p w14:paraId="625400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恶臭</w:t>
                  </w:r>
                </w:p>
              </w:tc>
              <w:tc>
                <w:tcPr>
                  <w:tcW w:w="713" w:type="pct"/>
                  <w:tcBorders>
                    <w:tl2br w:val="nil"/>
                    <w:tr2bl w:val="nil"/>
                  </w:tcBorders>
                  <w:noWrap w:val="0"/>
                  <w:vAlign w:val="center"/>
                </w:tcPr>
                <w:p w14:paraId="3B78607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各污水、污泥处理工序</w:t>
                  </w:r>
                </w:p>
              </w:tc>
              <w:tc>
                <w:tcPr>
                  <w:tcW w:w="771" w:type="pct"/>
                  <w:tcBorders>
                    <w:tl2br w:val="nil"/>
                    <w:tr2bl w:val="nil"/>
                  </w:tcBorders>
                  <w:noWrap w:val="0"/>
                  <w:vAlign w:val="center"/>
                </w:tcPr>
                <w:p w14:paraId="0E00733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恶臭（臭气浓度、硫化氢、氨气等）</w:t>
                  </w:r>
                </w:p>
              </w:tc>
              <w:tc>
                <w:tcPr>
                  <w:tcW w:w="2394" w:type="pct"/>
                  <w:tcBorders>
                    <w:tl2br w:val="nil"/>
                    <w:tr2bl w:val="nil"/>
                  </w:tcBorders>
                  <w:noWrap w:val="0"/>
                  <w:vAlign w:val="center"/>
                </w:tcPr>
                <w:p w14:paraId="3D4C78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预处理环节对细格栅渠、旋流沉砂池主体构筑物实施密封加盖处理，进水泵房设置密闭式操作空间，减少臭气无组织散逸；通过密封罩配套的集气管道，将收集的臭气统一经活性炭吸附后，以无组织形式排放。MBR膜池采取</w:t>
                  </w:r>
                  <w:r>
                    <w:rPr>
                      <w:rFonts w:hint="eastAsia" w:cs="Times New Roman"/>
                      <w:bCs/>
                      <w:color w:val="000000" w:themeColor="text1"/>
                      <w:sz w:val="21"/>
                      <w:szCs w:val="21"/>
                      <w:highlight w:val="none"/>
                      <w:vertAlign w:val="baseline"/>
                      <w:lang w:eastAsia="zh-CN"/>
                      <w14:textFill>
                        <w14:solidFill>
                          <w14:schemeClr w14:val="tx1"/>
                        </w14:solidFill>
                      </w14:textFill>
                    </w:rPr>
                    <w:t>“</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半封闭+人工喷洒除臭剂喷雾</w:t>
                  </w:r>
                  <w:r>
                    <w:rPr>
                      <w:rFonts w:hint="eastAsia" w:cs="Times New Roman"/>
                      <w:bCs/>
                      <w:color w:val="000000" w:themeColor="text1"/>
                      <w:sz w:val="21"/>
                      <w:szCs w:val="21"/>
                      <w:highlight w:val="none"/>
                      <w:vertAlign w:val="baseline"/>
                      <w:lang w:eastAsia="zh-CN"/>
                      <w14:textFill>
                        <w14:solidFill>
                          <w14:schemeClr w14:val="tx1"/>
                        </w14:solidFill>
                      </w14:textFill>
                    </w:rPr>
                    <w:t>”</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的组合措施；污泥储池为密闭设施；污泥脱水机房为改造后厂房式结构，具备密封防护条件；污泥转运过</w:t>
                  </w:r>
                  <w:r>
                    <w:rPr>
                      <w:rFonts w:hint="eastAsia" w:cs="Times New Roman"/>
                      <w:bCs/>
                      <w:color w:val="000000" w:themeColor="text1"/>
                      <w:sz w:val="21"/>
                      <w:szCs w:val="21"/>
                      <w:highlight w:val="none"/>
                      <w:vertAlign w:val="baseline"/>
                      <w:lang w:eastAsia="zh-CN"/>
                      <w14:textFill>
                        <w14:solidFill>
                          <w14:schemeClr w14:val="tx1"/>
                        </w14:solidFill>
                      </w14:textFill>
                    </w:rPr>
                    <w:t>程中</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，采取</w:t>
                  </w:r>
                  <w:r>
                    <w:rPr>
                      <w:rFonts w:hint="eastAsia" w:cs="Times New Roman"/>
                      <w:bCs/>
                      <w:color w:val="000000" w:themeColor="text1"/>
                      <w:sz w:val="21"/>
                      <w:szCs w:val="21"/>
                      <w:highlight w:val="none"/>
                      <w:vertAlign w:val="baseline"/>
                      <w:lang w:eastAsia="zh-CN"/>
                      <w14:textFill>
                        <w14:solidFill>
                          <w14:schemeClr w14:val="tx1"/>
                        </w14:solidFill>
                      </w14:textFill>
                    </w:rPr>
                    <w:t>“</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密闭管道输送+定期清运</w:t>
                  </w:r>
                  <w:r>
                    <w:rPr>
                      <w:rFonts w:hint="eastAsia" w:cs="Times New Roman"/>
                      <w:bCs/>
                      <w:color w:val="000000" w:themeColor="text1"/>
                      <w:sz w:val="21"/>
                      <w:szCs w:val="21"/>
                      <w:highlight w:val="none"/>
                      <w:vertAlign w:val="baseline"/>
                      <w:lang w:eastAsia="zh-CN"/>
                      <w14:textFill>
                        <w14:solidFill>
                          <w14:schemeClr w14:val="tx1"/>
                        </w14:solidFill>
                      </w14:textFill>
                    </w:rPr>
                    <w:t>”</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措施</w:t>
                  </w:r>
                  <w:r>
                    <w:rPr>
                      <w:rFonts w:hint="default" w:ascii="Times New Roman" w:hAnsi="Times New Roman" w:cs="Times New Roman"/>
                      <w:bCs/>
                      <w:color w:val="000000" w:themeColor="text1"/>
                      <w:sz w:val="21"/>
                      <w:szCs w:val="21"/>
                      <w:highlight w:val="none"/>
                      <w:vertAlign w:val="baseline"/>
                      <w:lang w:eastAsia="zh-CN"/>
                      <w14:textFill>
                        <w14:solidFill>
                          <w14:schemeClr w14:val="tx1"/>
                        </w14:solidFill>
                      </w14:textFill>
                    </w:rPr>
                    <w:t>。</w:t>
                  </w:r>
                </w:p>
              </w:tc>
            </w:tr>
            <w:tr w14:paraId="21A23B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tcBorders>
                    <w:tl2br w:val="nil"/>
                    <w:tr2bl w:val="nil"/>
                  </w:tcBorders>
                  <w:noWrap w:val="0"/>
                  <w:vAlign w:val="center"/>
                </w:tcPr>
                <w:p w14:paraId="3C892C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噪声</w:t>
                  </w:r>
                </w:p>
              </w:tc>
              <w:tc>
                <w:tcPr>
                  <w:tcW w:w="575" w:type="pct"/>
                  <w:tcBorders>
                    <w:tl2br w:val="nil"/>
                    <w:tr2bl w:val="nil"/>
                  </w:tcBorders>
                  <w:noWrap w:val="0"/>
                  <w:vAlign w:val="center"/>
                </w:tcPr>
                <w:p w14:paraId="3225AA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设备噪声</w:t>
                  </w:r>
                </w:p>
              </w:tc>
              <w:tc>
                <w:tcPr>
                  <w:tcW w:w="713" w:type="pct"/>
                  <w:tcBorders>
                    <w:tl2br w:val="nil"/>
                    <w:tr2bl w:val="nil"/>
                  </w:tcBorders>
                  <w:noWrap w:val="0"/>
                  <w:vAlign w:val="center"/>
                </w:tcPr>
                <w:p w14:paraId="1654A81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各污水处理设备、污泥脱水设备运行</w:t>
                  </w:r>
                </w:p>
              </w:tc>
              <w:tc>
                <w:tcPr>
                  <w:tcW w:w="771" w:type="pct"/>
                  <w:tcBorders>
                    <w:tl2br w:val="nil"/>
                    <w:tr2bl w:val="nil"/>
                  </w:tcBorders>
                  <w:noWrap w:val="0"/>
                  <w:vAlign w:val="center"/>
                </w:tcPr>
                <w:p w14:paraId="0BD305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等效连续A声级</w:t>
                  </w:r>
                </w:p>
              </w:tc>
              <w:tc>
                <w:tcPr>
                  <w:tcW w:w="2394" w:type="pct"/>
                  <w:tcBorders>
                    <w:tl2br w:val="nil"/>
                    <w:tr2bl w:val="nil"/>
                  </w:tcBorders>
                  <w:noWrap w:val="0"/>
                  <w:vAlign w:val="center"/>
                </w:tcPr>
                <w:p w14:paraId="17E4E6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eastAsia="zh-CN"/>
                      <w14:textFill>
                        <w14:solidFill>
                          <w14:schemeClr w14:val="tx1"/>
                        </w14:solidFill>
                      </w14:textFill>
                    </w:rPr>
                  </w:pPr>
                  <w:r>
                    <w:rPr>
                      <w:rFonts w:hint="eastAsia" w:cs="Times New Roman"/>
                      <w:bCs/>
                      <w:color w:val="000000" w:themeColor="text1"/>
                      <w:sz w:val="21"/>
                      <w:szCs w:val="21"/>
                      <w:highlight w:val="none"/>
                      <w:vertAlign w:val="baseline"/>
                      <w:lang w:eastAsia="zh-CN"/>
                      <w14:textFill>
                        <w14:solidFill>
                          <w14:schemeClr w14:val="tx1"/>
                        </w14:solidFill>
                      </w14:textFill>
                    </w:rPr>
                    <w:t>减震</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、隔声后厂界达标</w:t>
                  </w:r>
                  <w:r>
                    <w:rPr>
                      <w:rFonts w:hint="default" w:ascii="Times New Roman" w:hAnsi="Times New Roman" w:cs="Times New Roman"/>
                      <w:bCs/>
                      <w:color w:val="000000" w:themeColor="text1"/>
                      <w:sz w:val="21"/>
                      <w:szCs w:val="21"/>
                      <w:highlight w:val="none"/>
                      <w:vertAlign w:val="baseline"/>
                      <w:lang w:eastAsia="zh-CN"/>
                      <w14:textFill>
                        <w14:solidFill>
                          <w14:schemeClr w14:val="tx1"/>
                        </w14:solidFill>
                      </w14:textFill>
                    </w:rPr>
                    <w:t>。</w:t>
                  </w:r>
                </w:p>
              </w:tc>
            </w:tr>
            <w:tr w14:paraId="28A140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545" w:type="pct"/>
                  <w:vMerge w:val="restart"/>
                  <w:tcBorders>
                    <w:tl2br w:val="nil"/>
                    <w:tr2bl w:val="nil"/>
                  </w:tcBorders>
                  <w:noWrap w:val="0"/>
                  <w:vAlign w:val="center"/>
                </w:tcPr>
                <w:p w14:paraId="454135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固废</w:t>
                  </w:r>
                </w:p>
              </w:tc>
              <w:tc>
                <w:tcPr>
                  <w:tcW w:w="575" w:type="pct"/>
                  <w:tcBorders>
                    <w:tl2br w:val="nil"/>
                    <w:tr2bl w:val="nil"/>
                  </w:tcBorders>
                  <w:noWrap w:val="0"/>
                  <w:vAlign w:val="center"/>
                </w:tcPr>
                <w:p w14:paraId="319463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栅渣、</w:t>
                  </w:r>
                  <w:r>
                    <w:rPr>
                      <w:rFonts w:hint="eastAsia" w:cs="Times New Roman"/>
                      <w:bCs/>
                      <w:color w:val="000000" w:themeColor="text1"/>
                      <w:sz w:val="21"/>
                      <w:szCs w:val="21"/>
                      <w:highlight w:val="none"/>
                      <w:vertAlign w:val="baseline"/>
                      <w:lang w:val="en-US" w:eastAsia="zh-CN"/>
                      <w14:textFill>
                        <w14:solidFill>
                          <w14:schemeClr w14:val="tx1"/>
                        </w14:solidFill>
                      </w14:textFill>
                    </w:rPr>
                    <w:t>沉砂、</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污泥</w:t>
                  </w:r>
                </w:p>
              </w:tc>
              <w:tc>
                <w:tcPr>
                  <w:tcW w:w="713" w:type="pct"/>
                  <w:tcBorders>
                    <w:tl2br w:val="nil"/>
                    <w:tr2bl w:val="nil"/>
                  </w:tcBorders>
                  <w:noWrap w:val="0"/>
                  <w:vAlign w:val="center"/>
                </w:tcPr>
                <w:p w14:paraId="73EE9F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厌氧池、缺氧池、好氧池</w:t>
                  </w:r>
                  <w:r>
                    <w:rPr>
                      <w:rFonts w:hint="default" w:ascii="Times New Roman" w:hAnsi="Times New Roman" w:cs="Times New Roman"/>
                      <w:bCs/>
                      <w:color w:val="000000" w:themeColor="text1"/>
                      <w:sz w:val="21"/>
                      <w:szCs w:val="21"/>
                      <w:highlight w:val="none"/>
                      <w:vertAlign w:val="baseline"/>
                      <w:lang w:eastAsia="zh-CN"/>
                      <w14:textFill>
                        <w14:solidFill>
                          <w14:schemeClr w14:val="tx1"/>
                        </w14:solidFill>
                      </w14:textFill>
                    </w:rPr>
                    <w:t>、后缺氧池、MBR膜池、细格栅间、旋流沉砂池。</w:t>
                  </w:r>
                </w:p>
              </w:tc>
              <w:tc>
                <w:tcPr>
                  <w:tcW w:w="771" w:type="pct"/>
                  <w:tcBorders>
                    <w:tl2br w:val="nil"/>
                    <w:tr2bl w:val="nil"/>
                  </w:tcBorders>
                  <w:noWrap w:val="0"/>
                  <w:vAlign w:val="center"/>
                </w:tcPr>
                <w:p w14:paraId="0F9620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栅渣、污泥</w:t>
                  </w:r>
                </w:p>
              </w:tc>
              <w:tc>
                <w:tcPr>
                  <w:tcW w:w="2394" w:type="pct"/>
                  <w:tcBorders>
                    <w:tl2br w:val="nil"/>
                    <w:tr2bl w:val="nil"/>
                  </w:tcBorders>
                  <w:noWrap w:val="0"/>
                  <w:vAlign w:val="center"/>
                </w:tcPr>
                <w:p w14:paraId="58CD8B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脱水后污泥委托有资质单位外运至蚯蚓厂，实现污泥资源化利用</w:t>
                  </w:r>
                  <w:r>
                    <w:rPr>
                      <w:rFonts w:hint="default" w:ascii="Times New Roman" w:hAnsi="Times New Roman" w:cs="Times New Roman"/>
                      <w:bCs/>
                      <w:color w:val="000000" w:themeColor="text1"/>
                      <w:sz w:val="21"/>
                      <w:szCs w:val="21"/>
                      <w:highlight w:val="none"/>
                      <w:vertAlign w:val="baseline"/>
                      <w:lang w:eastAsia="zh-CN"/>
                      <w14:textFill>
                        <w14:solidFill>
                          <w14:schemeClr w14:val="tx1"/>
                        </w14:solidFill>
                      </w14:textFill>
                    </w:rPr>
                    <w:t>。</w:t>
                  </w:r>
                  <w:r>
                    <w:rPr>
                      <w:rFonts w:hint="eastAsia" w:cs="Times New Roman"/>
                      <w:bCs/>
                      <w:color w:val="000000" w:themeColor="text1"/>
                      <w:sz w:val="21"/>
                      <w:szCs w:val="21"/>
                      <w:highlight w:val="none"/>
                      <w:vertAlign w:val="baseline"/>
                      <w:lang w:val="en-US" w:eastAsia="zh-CN"/>
                      <w14:textFill>
                        <w14:solidFill>
                          <w14:schemeClr w14:val="tx1"/>
                        </w14:solidFill>
                      </w14:textFill>
                    </w:rPr>
                    <w:t>栅渣、沉砂定期拉运至磴口县垃圾填埋场。</w:t>
                  </w:r>
                </w:p>
              </w:tc>
            </w:tr>
            <w:tr w14:paraId="049126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7" w:hRule="atLeast"/>
              </w:trPr>
              <w:tc>
                <w:tcPr>
                  <w:tcW w:w="545" w:type="pct"/>
                  <w:vMerge w:val="continue"/>
                  <w:tcBorders>
                    <w:tl2br w:val="nil"/>
                    <w:tr2bl w:val="nil"/>
                  </w:tcBorders>
                  <w:noWrap w:val="0"/>
                  <w:vAlign w:val="center"/>
                </w:tcPr>
                <w:p w14:paraId="71DF81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p>
              </w:tc>
              <w:tc>
                <w:tcPr>
                  <w:tcW w:w="575" w:type="pct"/>
                  <w:tcBorders>
                    <w:tl2br w:val="nil"/>
                    <w:tr2bl w:val="nil"/>
                  </w:tcBorders>
                  <w:noWrap w:val="0"/>
                  <w:vAlign w:val="center"/>
                </w:tcPr>
                <w:p w14:paraId="3B94497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废活性炭、在线监测废液</w:t>
                  </w:r>
                </w:p>
              </w:tc>
              <w:tc>
                <w:tcPr>
                  <w:tcW w:w="713" w:type="pct"/>
                  <w:tcBorders>
                    <w:tl2br w:val="nil"/>
                    <w:tr2bl w:val="nil"/>
                  </w:tcBorders>
                  <w:noWrap w:val="0"/>
                  <w:vAlign w:val="center"/>
                </w:tcPr>
                <w:p w14:paraId="37E3B9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臭气治理措施、在线监测室</w:t>
                  </w:r>
                </w:p>
              </w:tc>
              <w:tc>
                <w:tcPr>
                  <w:tcW w:w="771" w:type="pct"/>
                  <w:tcBorders>
                    <w:tl2br w:val="nil"/>
                    <w:tr2bl w:val="nil"/>
                  </w:tcBorders>
                  <w:noWrap w:val="0"/>
                  <w:vAlign w:val="center"/>
                </w:tcPr>
                <w:p w14:paraId="487F020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000000" w:themeColor="text1"/>
                      <w:sz w:val="21"/>
                      <w:szCs w:val="21"/>
                      <w:highlight w:val="none"/>
                      <w:vertAlign w:val="baseline"/>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废活性炭、在线监测废液</w:t>
                  </w:r>
                </w:p>
              </w:tc>
              <w:tc>
                <w:tcPr>
                  <w:tcW w:w="2394" w:type="pct"/>
                  <w:tcBorders>
                    <w:tl2br w:val="nil"/>
                    <w:tr2bl w:val="nil"/>
                  </w:tcBorders>
                  <w:noWrap w:val="0"/>
                  <w:vAlign w:val="center"/>
                </w:tcPr>
                <w:p w14:paraId="049CBD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暂存于二期工程建设的危险废物暂存间，定期委托有资质单位处置。</w:t>
                  </w:r>
                </w:p>
              </w:tc>
            </w:tr>
            <w:tr w14:paraId="2A3EEA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tcBorders>
                    <w:tl2br w:val="nil"/>
                    <w:tr2bl w:val="nil"/>
                  </w:tcBorders>
                  <w:noWrap w:val="0"/>
                  <w:vAlign w:val="center"/>
                </w:tcPr>
                <w:p w14:paraId="1579B6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废水</w:t>
                  </w:r>
                </w:p>
              </w:tc>
              <w:tc>
                <w:tcPr>
                  <w:tcW w:w="575" w:type="pct"/>
                  <w:tcBorders>
                    <w:tl2br w:val="nil"/>
                    <w:tr2bl w:val="nil"/>
                  </w:tcBorders>
                  <w:noWrap w:val="0"/>
                  <w:vAlign w:val="center"/>
                </w:tcPr>
                <w:p w14:paraId="2D8C94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废水</w:t>
                  </w:r>
                </w:p>
              </w:tc>
              <w:tc>
                <w:tcPr>
                  <w:tcW w:w="713" w:type="pct"/>
                  <w:tcBorders>
                    <w:tl2br w:val="nil"/>
                    <w:tr2bl w:val="nil"/>
                  </w:tcBorders>
                  <w:noWrap w:val="0"/>
                  <w:vAlign w:val="center"/>
                </w:tcPr>
                <w:p w14:paraId="01DA9F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t>污泥脱水</w:t>
                  </w:r>
                  <w:r>
                    <w:rPr>
                      <w:rFonts w:hint="eastAsia" w:cs="Times New Roman"/>
                      <w:bCs/>
                      <w:color w:val="000000" w:themeColor="text1"/>
                      <w:sz w:val="21"/>
                      <w:szCs w:val="21"/>
                      <w:highlight w:val="none"/>
                      <w:vertAlign w:val="baseline"/>
                      <w:lang w:val="en-US" w:eastAsia="zh-CN"/>
                      <w14:textFill>
                        <w14:solidFill>
                          <w14:schemeClr w14:val="tx1"/>
                        </w14:solidFill>
                      </w14:textFill>
                    </w:rPr>
                    <w:t>、栅渣脱水、沉砂脱水。</w:t>
                  </w:r>
                </w:p>
              </w:tc>
              <w:tc>
                <w:tcPr>
                  <w:tcW w:w="771" w:type="pct"/>
                  <w:tcBorders>
                    <w:tl2br w:val="nil"/>
                    <w:tr2bl w:val="nil"/>
                  </w:tcBorders>
                  <w:noWrap w:val="0"/>
                  <w:vAlign w:val="center"/>
                </w:tcPr>
                <w:p w14:paraId="0D3BC96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COD、BOD、NH</w:t>
                  </w:r>
                  <w:r>
                    <w:rPr>
                      <w:rFonts w:hint="default" w:ascii="Times New Roman" w:hAnsi="Times New Roman" w:cs="Times New Roman"/>
                      <w:bCs/>
                      <w:color w:val="000000" w:themeColor="text1"/>
                      <w:sz w:val="21"/>
                      <w:szCs w:val="21"/>
                      <w:highlight w:val="none"/>
                      <w:vertAlign w:val="subscript"/>
                      <w14:textFill>
                        <w14:solidFill>
                          <w14:schemeClr w14:val="tx1"/>
                        </w14:solidFill>
                      </w14:textFill>
                    </w:rPr>
                    <w:t>3</w:t>
                  </w: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-N、TP、TN等</w:t>
                  </w:r>
                </w:p>
              </w:tc>
              <w:tc>
                <w:tcPr>
                  <w:tcW w:w="2394" w:type="pct"/>
                  <w:tcBorders>
                    <w:tl2br w:val="nil"/>
                    <w:tr2bl w:val="nil"/>
                  </w:tcBorders>
                  <w:noWrap w:val="0"/>
                  <w:vAlign w:val="center"/>
                </w:tcPr>
                <w:p w14:paraId="158094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返回进水系统处理后达</w:t>
                  </w:r>
                </w:p>
                <w:p w14:paraId="7665B10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cs="Times New Roman"/>
                      <w:bCs/>
                      <w:color w:val="000000" w:themeColor="text1"/>
                      <w:sz w:val="21"/>
                      <w:szCs w:val="21"/>
                      <w:highlight w:val="none"/>
                      <w:vertAlign w:val="baseline"/>
                      <w14:textFill>
                        <w14:solidFill>
                          <w14:schemeClr w14:val="tx1"/>
                        </w14:solidFill>
                      </w14:textFill>
                    </w:rPr>
                    <w:t>标排放</w:t>
                  </w:r>
                  <w:r>
                    <w:rPr>
                      <w:rFonts w:hint="default" w:ascii="Times New Roman" w:hAnsi="Times New Roman" w:cs="Times New Roman"/>
                      <w:bCs/>
                      <w:color w:val="000000" w:themeColor="text1"/>
                      <w:sz w:val="21"/>
                      <w:szCs w:val="21"/>
                      <w:highlight w:val="none"/>
                      <w:vertAlign w:val="baseline"/>
                      <w:lang w:eastAsia="zh-CN"/>
                      <w14:textFill>
                        <w14:solidFill>
                          <w14:schemeClr w14:val="tx1"/>
                        </w14:solidFill>
                      </w14:textFill>
                    </w:rPr>
                    <w:t>。</w:t>
                  </w:r>
                </w:p>
              </w:tc>
            </w:tr>
          </w:tbl>
          <w:p w14:paraId="6A3AE880">
            <w:pPr>
              <w:adjustRightInd w:val="0"/>
              <w:snapToGrid w:val="0"/>
              <w:rPr>
                <w:rFonts w:ascii="宋体" w:hAnsi="宋体"/>
                <w:bCs/>
                <w:color w:val="000000" w:themeColor="text1"/>
                <w:sz w:val="24"/>
                <w:highlight w:val="none"/>
                <w14:textFill>
                  <w14:solidFill>
                    <w14:schemeClr w14:val="tx1"/>
                  </w14:solidFill>
                </w14:textFill>
              </w:rPr>
            </w:pPr>
          </w:p>
        </w:tc>
      </w:tr>
      <w:tr w14:paraId="0F3543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400" w:type="pct"/>
            <w:noWrap w:val="0"/>
            <w:vAlign w:val="center"/>
          </w:tcPr>
          <w:p w14:paraId="6538F87C">
            <w:pPr>
              <w:adjustRightInd w:val="0"/>
              <w:snapToGrid w:val="0"/>
              <w:spacing w:before="0" w:beforeAutospacing="0" w:after="0" w:afterAutospacing="0"/>
              <w:jc w:val="center"/>
              <w:rPr>
                <w:rFonts w:cs="宋体"/>
                <w:color w:val="000000" w:themeColor="text1"/>
                <w:szCs w:val="24"/>
                <w:highlight w:val="none"/>
                <w14:textFill>
                  <w14:solidFill>
                    <w14:schemeClr w14:val="tx1"/>
                  </w14:solidFill>
                </w14:textFill>
              </w:rPr>
            </w:pPr>
            <w:r>
              <w:rPr>
                <w:rFonts w:hint="eastAsia" w:cs="宋体"/>
                <w:bCs/>
                <w:color w:val="000000" w:themeColor="text1"/>
                <w:kern w:val="2"/>
                <w:szCs w:val="24"/>
                <w:highlight w:val="none"/>
                <w14:textFill>
                  <w14:solidFill>
                    <w14:schemeClr w14:val="tx1"/>
                  </w14:solidFill>
                </w14:textFill>
              </w:rPr>
              <w:t>与项目有关的原有环境污染问题</w:t>
            </w:r>
          </w:p>
        </w:tc>
        <w:tc>
          <w:tcPr>
            <w:tcW w:w="4599" w:type="pct"/>
            <w:noWrap w:val="0"/>
            <w:vAlign w:val="top"/>
          </w:tcPr>
          <w:p w14:paraId="3A4DABD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本项目属于改扩建项目，</w:t>
            </w:r>
            <w:r>
              <w:rPr>
                <w:rFonts w:hint="default" w:ascii="Times New Roman" w:hAnsi="Times New Roman" w:cs="Times New Roman"/>
                <w:bCs/>
                <w:color w:val="000000" w:themeColor="text1"/>
                <w:sz w:val="24"/>
                <w:highlight w:val="none"/>
                <w:lang w:val="en-US" w:eastAsia="zh-CN"/>
                <w14:textFill>
                  <w14:solidFill>
                    <w14:schemeClr w14:val="tx1"/>
                  </w14:solidFill>
                </w14:textFill>
              </w:rPr>
              <w:t>磴口县</w:t>
            </w:r>
            <w:r>
              <w:rPr>
                <w:rFonts w:hint="eastAsia" w:cs="Times New Roman"/>
                <w:bCs/>
                <w:color w:val="000000" w:themeColor="text1"/>
                <w:sz w:val="24"/>
                <w:highlight w:val="none"/>
                <w:lang w:val="en-US" w:eastAsia="zh-CN"/>
                <w14:textFill>
                  <w14:solidFill>
                    <w14:schemeClr w14:val="tx1"/>
                  </w14:solidFill>
                </w14:textFill>
              </w:rPr>
              <w:t>巴彦高勒</w:t>
            </w:r>
            <w:r>
              <w:rPr>
                <w:rFonts w:hint="default" w:ascii="Times New Roman" w:hAnsi="Times New Roman" w:cs="Times New Roman"/>
                <w:bCs/>
                <w:color w:val="000000" w:themeColor="text1"/>
                <w:sz w:val="24"/>
                <w:highlight w:val="none"/>
                <w14:textFill>
                  <w14:solidFill>
                    <w14:schemeClr w14:val="tx1"/>
                  </w14:solidFill>
                </w14:textFill>
              </w:rPr>
              <w:t>污水处理厂扩建前污染物情况如下：</w:t>
            </w:r>
          </w:p>
          <w:p w14:paraId="5A049142">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
                <w:bCs w:val="0"/>
                <w:color w:val="000000" w:themeColor="text1"/>
                <w:sz w:val="24"/>
                <w:highlight w:val="none"/>
                <w14:textFill>
                  <w14:solidFill>
                    <w14:schemeClr w14:val="tx1"/>
                  </w14:solidFill>
                </w14:textFill>
              </w:rPr>
            </w:pPr>
            <w:r>
              <w:rPr>
                <w:rFonts w:hint="eastAsia" w:cs="Times New Roman"/>
                <w:b/>
                <w:bCs w:val="0"/>
                <w:color w:val="000000" w:themeColor="text1"/>
                <w:sz w:val="24"/>
                <w:highlight w:val="none"/>
                <w:lang w:val="en-US" w:eastAsia="zh-CN"/>
                <w14:textFill>
                  <w14:solidFill>
                    <w14:schemeClr w14:val="tx1"/>
                  </w14:solidFill>
                </w14:textFill>
              </w:rPr>
              <w:t>1</w:t>
            </w:r>
            <w:r>
              <w:rPr>
                <w:rFonts w:hint="default" w:ascii="Times New Roman" w:hAnsi="Times New Roman" w:cs="Times New Roman"/>
                <w:b/>
                <w:bCs w:val="0"/>
                <w:color w:val="000000" w:themeColor="text1"/>
                <w:sz w:val="24"/>
                <w:highlight w:val="none"/>
                <w14:textFill>
                  <w14:solidFill>
                    <w14:schemeClr w14:val="tx1"/>
                  </w14:solidFill>
                </w14:textFill>
              </w:rPr>
              <w:t>、现有工程履行环境影响评价、竣工环境保护验收、排污许可证手续等情况</w:t>
            </w:r>
          </w:p>
          <w:p w14:paraId="4141562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eastAsia" w:cs="Times New Roman"/>
                <w:bCs/>
                <w:color w:val="000000" w:themeColor="text1"/>
                <w:sz w:val="24"/>
                <w:highlight w:val="none"/>
                <w:lang w:eastAsia="zh-CN"/>
                <w14:textFill>
                  <w14:solidFill>
                    <w14:schemeClr w14:val="tx1"/>
                  </w14:solidFill>
                </w14:textFill>
              </w:rPr>
              <w:t>（</w:t>
            </w:r>
            <w:r>
              <w:rPr>
                <w:rFonts w:hint="eastAsia" w:cs="Times New Roman"/>
                <w:bCs/>
                <w:color w:val="000000" w:themeColor="text1"/>
                <w:sz w:val="24"/>
                <w:highlight w:val="none"/>
                <w:lang w:val="en-US" w:eastAsia="zh-CN"/>
                <w14:textFill>
                  <w14:solidFill>
                    <w14:schemeClr w14:val="tx1"/>
                  </w14:solidFill>
                </w14:textFill>
              </w:rPr>
              <w:t>1</w:t>
            </w:r>
            <w:r>
              <w:rPr>
                <w:rFonts w:hint="eastAsia"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14:textFill>
                  <w14:solidFill>
                    <w14:schemeClr w14:val="tx1"/>
                  </w14:solidFill>
                </w14:textFill>
              </w:rPr>
              <w:t>一期工程（原处理规模15000m</w:t>
            </w:r>
            <w:r>
              <w:rPr>
                <w:rFonts w:hint="eastAsia" w:cs="Times New Roman"/>
                <w:bCs/>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4"/>
                <w:highlight w:val="none"/>
                <w14:textFill>
                  <w14:solidFill>
                    <w14:schemeClr w14:val="tx1"/>
                  </w14:solidFill>
                </w14:textFill>
              </w:rPr>
              <w:t>/d）</w:t>
            </w:r>
          </w:p>
          <w:p w14:paraId="7218DF3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2008年：巴彦淖尔市磴口县滨辉水务有限公司委托编制《内蒙古巴彦淖尔市磴口县巴彦高勒镇污水处理工程环境影响报告书》，同年8月17日取得原巴彦淖尔市环保局批复（巴环审发〔2008〕14号）；工程尾水执行《污水综合排放标准》（GB8978-1996）二级标准。</w:t>
            </w:r>
          </w:p>
          <w:p w14:paraId="138C615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2014年：因工艺优化调整，建设单位委托编制《巴彦淖尔市磴口县巴彦高勒镇污水处理厂提标改造工程环境影响报告表》，同年6月23日取得原巴彦淖尔市环保局批复（巴环表审〔2014〕074号）；改造后采用优化MBBR工艺，出水执行《城镇污水处理厂污染物排放标准》（GB18918-2002）一级A标准；同年11月23日，该提标改造工程通过巴彦淖尔市环境保护局竣工环境保护验收（巴环验</w:t>
            </w:r>
            <w:r>
              <w:rPr>
                <w:rFonts w:hint="eastAsia"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14:textFill>
                  <w14:solidFill>
                    <w14:schemeClr w14:val="tx1"/>
                  </w14:solidFill>
                </w14:textFill>
              </w:rPr>
              <w:t>2014</w:t>
            </w:r>
            <w:r>
              <w:rPr>
                <w:rFonts w:hint="eastAsia"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14:textFill>
                  <w14:solidFill>
                    <w14:schemeClr w14:val="tx1"/>
                  </w14:solidFill>
                </w14:textFill>
              </w:rPr>
              <w:t>56号）。</w:t>
            </w:r>
          </w:p>
          <w:p w14:paraId="38E1B1C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2017年：运营管理单位由巴彦淖尔市磴口县滨辉水务有限公司变更为磴口县住房和城乡建设局，延续原项目合法运营资质及环保要求，未改变工程原有建设内容及环保治理措施。</w:t>
            </w:r>
          </w:p>
          <w:p w14:paraId="0ABB300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2019年6月29日，</w:t>
            </w:r>
            <w:r>
              <w:rPr>
                <w:rFonts w:hint="eastAsia" w:cs="Times New Roman"/>
                <w:bCs/>
                <w:color w:val="000000" w:themeColor="text1"/>
                <w:sz w:val="24"/>
                <w:highlight w:val="none"/>
                <w:lang w:val="en-US" w:eastAsia="zh-CN"/>
                <w14:textFill>
                  <w14:solidFill>
                    <w14:schemeClr w14:val="tx1"/>
                  </w14:solidFill>
                </w14:textFill>
              </w:rPr>
              <w:t>二期工程运营单位</w:t>
            </w:r>
            <w:r>
              <w:rPr>
                <w:rFonts w:hint="default" w:ascii="Times New Roman" w:hAnsi="Times New Roman" w:cs="Times New Roman"/>
                <w:bCs/>
                <w:color w:val="000000" w:themeColor="text1"/>
                <w:sz w:val="24"/>
                <w:highlight w:val="none"/>
                <w14:textFill>
                  <w14:solidFill>
                    <w14:schemeClr w14:val="tx1"/>
                  </w14:solidFill>
                </w14:textFill>
              </w:rPr>
              <w:t>磴口县中涵水务有限公司完成排污许可证首次申领，排污许可证编码为91150822MA0NFCK50U，排污许可内容涵盖一期污水处理厂的排放管理要求，标志着项目正式纳入排污许可常态化监管，按要求开展自行监测、台账记录及执行报告报送等工作。</w:t>
            </w:r>
          </w:p>
          <w:p w14:paraId="1DDF33F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2022年：为提升尾水净化效果，保障尾水达标排放，磴口县住房和城乡建设局推进巴彦淖尔市磴口县污水处理厂尾水人工湿地水质净化工程建设，同年11月3日委托编制该工程环境影响评价文件，11月30日取得巴彦淖尔市生态环境局磴口县分局批复（磴环审表〔2022〕13号）；该项目位于磴口县城镇污水处理厂北侧，建设40000m</w:t>
            </w:r>
            <w:r>
              <w:rPr>
                <w:rFonts w:hint="eastAsia" w:cs="Times New Roman"/>
                <w:bCs/>
                <w:color w:val="000000" w:themeColor="text1"/>
                <w:sz w:val="24"/>
                <w:highlight w:val="none"/>
                <w:vertAlign w:val="superscript"/>
                <w:lang w:val="en-US" w:eastAsia="zh-CN"/>
                <w14:textFill>
                  <w14:solidFill>
                    <w14:schemeClr w14:val="tx1"/>
                  </w14:solidFill>
                </w14:textFill>
              </w:rPr>
              <w:t>2</w:t>
            </w:r>
            <w:r>
              <w:rPr>
                <w:rFonts w:hint="default" w:ascii="Times New Roman" w:hAnsi="Times New Roman" w:cs="Times New Roman"/>
                <w:bCs/>
                <w:color w:val="000000" w:themeColor="text1"/>
                <w:sz w:val="24"/>
                <w:highlight w:val="none"/>
                <w14:textFill>
                  <w14:solidFill>
                    <w14:schemeClr w14:val="tx1"/>
                  </w14:solidFill>
                </w14:textFill>
              </w:rPr>
              <w:t>下行流垂直潜流湿地、25000m</w:t>
            </w:r>
            <w:r>
              <w:rPr>
                <w:rFonts w:hint="eastAsia" w:cs="Times New Roman"/>
                <w:bCs/>
                <w:color w:val="000000" w:themeColor="text1"/>
                <w:sz w:val="24"/>
                <w:highlight w:val="none"/>
                <w:vertAlign w:val="superscript"/>
                <w:lang w:val="en-US" w:eastAsia="zh-CN"/>
                <w14:textFill>
                  <w14:solidFill>
                    <w14:schemeClr w14:val="tx1"/>
                  </w14:solidFill>
                </w14:textFill>
              </w:rPr>
              <w:t>2</w:t>
            </w:r>
            <w:r>
              <w:rPr>
                <w:rFonts w:hint="default" w:ascii="Times New Roman" w:hAnsi="Times New Roman" w:cs="Times New Roman"/>
                <w:bCs/>
                <w:color w:val="000000" w:themeColor="text1"/>
                <w:sz w:val="24"/>
                <w:highlight w:val="none"/>
                <w14:textFill>
                  <w14:solidFill>
                    <w14:schemeClr w14:val="tx1"/>
                  </w14:solidFill>
                </w14:textFill>
              </w:rPr>
              <w:t>表流湿地、3000m</w:t>
            </w:r>
            <w:r>
              <w:rPr>
                <w:rFonts w:hint="eastAsia" w:cs="Times New Roman"/>
                <w:bCs/>
                <w:color w:val="000000" w:themeColor="text1"/>
                <w:sz w:val="24"/>
                <w:highlight w:val="none"/>
                <w:vertAlign w:val="superscript"/>
                <w:lang w:val="en-US" w:eastAsia="zh-CN"/>
                <w14:textFill>
                  <w14:solidFill>
                    <w14:schemeClr w14:val="tx1"/>
                  </w14:solidFill>
                </w14:textFill>
              </w:rPr>
              <w:t>2</w:t>
            </w:r>
            <w:r>
              <w:rPr>
                <w:rFonts w:hint="default" w:ascii="Times New Roman" w:hAnsi="Times New Roman" w:cs="Times New Roman"/>
                <w:bCs/>
                <w:color w:val="000000" w:themeColor="text1"/>
                <w:sz w:val="24"/>
                <w:highlight w:val="none"/>
                <w14:textFill>
                  <w14:solidFill>
                    <w14:schemeClr w14:val="tx1"/>
                  </w14:solidFill>
                </w14:textFill>
              </w:rPr>
              <w:t>生态边坡及2750m</w:t>
            </w:r>
            <w:r>
              <w:rPr>
                <w:rFonts w:hint="eastAsia" w:cs="Times New Roman"/>
                <w:bCs/>
                <w:color w:val="000000" w:themeColor="text1"/>
                <w:sz w:val="24"/>
                <w:highlight w:val="none"/>
                <w:vertAlign w:val="superscript"/>
                <w:lang w:val="en-US" w:eastAsia="zh-CN"/>
                <w14:textFill>
                  <w14:solidFill>
                    <w14:schemeClr w14:val="tx1"/>
                  </w14:solidFill>
                </w14:textFill>
              </w:rPr>
              <w:t>2</w:t>
            </w:r>
            <w:r>
              <w:rPr>
                <w:rFonts w:hint="default" w:ascii="Times New Roman" w:hAnsi="Times New Roman" w:cs="Times New Roman"/>
                <w:bCs/>
                <w:color w:val="000000" w:themeColor="text1"/>
                <w:sz w:val="24"/>
                <w:highlight w:val="none"/>
                <w14:textFill>
                  <w14:solidFill>
                    <w14:schemeClr w14:val="tx1"/>
                  </w14:solidFill>
                </w14:textFill>
              </w:rPr>
              <w:t>人工水草，作为一期工程尾水深度净化配套设施。</w:t>
            </w:r>
            <w:r>
              <w:rPr>
                <w:rFonts w:hint="eastAsia" w:cs="Times New Roman"/>
                <w:bCs/>
                <w:color w:val="000000" w:themeColor="text1"/>
                <w:sz w:val="24"/>
                <w:highlight w:val="none"/>
                <w:lang w:val="en-US" w:eastAsia="zh-CN"/>
                <w14:textFill>
                  <w14:solidFill>
                    <w14:schemeClr w14:val="tx1"/>
                  </w14:solidFill>
                </w14:textFill>
              </w:rPr>
              <w:t>目前人工湿地正在建设，预计2026年6月投入使用。</w:t>
            </w:r>
          </w:p>
          <w:p w14:paraId="56E12DE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2025年1月16日：根据项目运营实际情况及相关管理要求，完成排污许可证变更手续，确保许可证所载内容与项目实际运营工况、污染治理措施、排放限值等保持一致，保障排污许可管理的合规性与有效性。</w:t>
            </w:r>
          </w:p>
          <w:p w14:paraId="4F97736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eastAsia" w:cs="Times New Roman"/>
                <w:bCs/>
                <w:color w:val="000000" w:themeColor="text1"/>
                <w:sz w:val="24"/>
                <w:highlight w:val="none"/>
                <w:lang w:eastAsia="zh-CN"/>
                <w14:textFill>
                  <w14:solidFill>
                    <w14:schemeClr w14:val="tx1"/>
                  </w14:solidFill>
                </w14:textFill>
              </w:rPr>
              <w:t>（</w:t>
            </w:r>
            <w:r>
              <w:rPr>
                <w:rFonts w:hint="eastAsia" w:cs="Times New Roman"/>
                <w:bCs/>
                <w:color w:val="000000" w:themeColor="text1"/>
                <w:sz w:val="24"/>
                <w:highlight w:val="none"/>
                <w:lang w:val="en-US" w:eastAsia="zh-CN"/>
                <w14:textFill>
                  <w14:solidFill>
                    <w14:schemeClr w14:val="tx1"/>
                  </w14:solidFill>
                </w14:textFill>
              </w:rPr>
              <w:t>2</w:t>
            </w:r>
            <w:r>
              <w:rPr>
                <w:rFonts w:hint="eastAsia"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14:textFill>
                  <w14:solidFill>
                    <w14:schemeClr w14:val="tx1"/>
                  </w14:solidFill>
                </w14:textFill>
              </w:rPr>
              <w:t>入河排污口相关手续</w:t>
            </w:r>
          </w:p>
          <w:p w14:paraId="1F2EB73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2023年9月11日：磴口县中涵水务有限公司向巴彦淖尔市生态环境局提出入河排污口设置申请，该排污口为一期工程尾水排放配套排污口，承接经人工湿地深度净化后的一期工程尾水。</w:t>
            </w:r>
          </w:p>
          <w:p w14:paraId="0C501BE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2023年10月31日：取得《关于准予设置磴口县中涵水务有限公司排污口决定书》，排污口位于磴口县食品工业园区（地理坐标东经107°2′49.06″、北纬40°24′45.17″），编码DA-150822-0001-SH-00；排放方式为连续排放</w:t>
            </w:r>
            <w:r>
              <w:rPr>
                <w:rFonts w:hint="eastAsia"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14:textFill>
                  <w14:solidFill>
                    <w14:schemeClr w14:val="tx1"/>
                  </w14:solidFill>
                </w14:textFill>
              </w:rPr>
              <w:t>入河方式为明渠和管道；允许最大排放量1239.175万m</w:t>
            </w:r>
            <w:r>
              <w:rPr>
                <w:rFonts w:hint="eastAsia" w:cs="Times New Roman"/>
                <w:bCs/>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4"/>
                <w:highlight w:val="none"/>
                <w14:textFill>
                  <w14:solidFill>
                    <w14:schemeClr w14:val="tx1"/>
                  </w14:solidFill>
                </w14:textFill>
              </w:rPr>
              <w:t>/a，要求一期工程出水先</w:t>
            </w:r>
            <w:r>
              <w:rPr>
                <w:rFonts w:hint="eastAsia" w:cs="Times New Roman"/>
                <w:bCs/>
                <w:color w:val="000000" w:themeColor="text1"/>
                <w:sz w:val="24"/>
                <w:highlight w:val="none"/>
                <w:lang w:eastAsia="zh-CN"/>
                <w14:textFill>
                  <w14:solidFill>
                    <w14:schemeClr w14:val="tx1"/>
                  </w14:solidFill>
                </w14:textFill>
              </w:rPr>
              <w:t>达到</w:t>
            </w:r>
            <w:r>
              <w:rPr>
                <w:rFonts w:hint="default" w:ascii="Times New Roman" w:hAnsi="Times New Roman" w:cs="Times New Roman"/>
                <w:bCs/>
                <w:color w:val="000000" w:themeColor="text1"/>
                <w:sz w:val="24"/>
                <w:highlight w:val="none"/>
                <w14:textFill>
                  <w14:solidFill>
                    <w14:schemeClr w14:val="tx1"/>
                  </w14:solidFill>
                </w14:textFill>
              </w:rPr>
              <w:t>《城镇污水处理厂污染物排放标准》（GB18918-2002）一级A标准，经人工湿地净化后pH、溶解氧、高锰酸钾指数、COD、BOD₅、NH₃-N、TP等七项指标符合《地表水环境质量标准》（GB3838-2002）V类标准，最终排入二排干；入河排污口相关信息已纳入一期工程排污许可证管理范畴，严格按许可要求执行排放。</w:t>
            </w:r>
          </w:p>
          <w:p w14:paraId="6E8C5D9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lang w:val="en-US" w:eastAsia="zh-CN"/>
                <w14:textFill>
                  <w14:solidFill>
                    <w14:schemeClr w14:val="tx1"/>
                  </w14:solidFill>
                </w14:textFill>
              </w:rPr>
            </w:pPr>
            <w:r>
              <w:rPr>
                <w:rFonts w:hint="default" w:ascii="Times New Roman" w:hAnsi="Times New Roman" w:cs="Times New Roman"/>
                <w:bCs/>
                <w:color w:val="000000" w:themeColor="text1"/>
                <w:sz w:val="24"/>
                <w:highlight w:val="none"/>
                <w:lang w:val="en-US" w:eastAsia="zh-CN"/>
                <w14:textFill>
                  <w14:solidFill>
                    <w14:schemeClr w14:val="tx1"/>
                  </w14:solidFill>
                </w14:textFill>
              </w:rPr>
              <w:t>目前，城区生活污水及部分工业污水经统一收集后接入一期污水处理工程，通过MBBR工艺依次开展预处理、生化处理及深度处理，处理后尾水水质达到《城镇污水处理厂污染物排放标准》（GB18918-2002）一级A标准。达标尾水部分供给中水厂进行深度处理后回用，剩余部分主要用于湿地补水；待人工湿地建成后，尾水将先排入人工湿地进一步净化，最终依托现有入河排污口排入二排干。</w:t>
            </w:r>
          </w:p>
          <w:p w14:paraId="64B21162">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
                <w:bCs w:val="0"/>
                <w:color w:val="000000" w:themeColor="text1"/>
                <w:sz w:val="24"/>
                <w:highlight w:val="none"/>
                <w14:textFill>
                  <w14:solidFill>
                    <w14:schemeClr w14:val="tx1"/>
                  </w14:solidFill>
                </w14:textFill>
              </w:rPr>
            </w:pPr>
            <w:r>
              <w:rPr>
                <w:rFonts w:hint="eastAsia" w:cs="Times New Roman"/>
                <w:b/>
                <w:bCs w:val="0"/>
                <w:color w:val="000000" w:themeColor="text1"/>
                <w:sz w:val="24"/>
                <w:highlight w:val="none"/>
                <w:lang w:val="en-US" w:eastAsia="zh-CN"/>
                <w14:textFill>
                  <w14:solidFill>
                    <w14:schemeClr w14:val="tx1"/>
                  </w14:solidFill>
                </w14:textFill>
              </w:rPr>
              <w:t>2</w:t>
            </w:r>
            <w:r>
              <w:rPr>
                <w:rFonts w:hint="default" w:ascii="Times New Roman" w:hAnsi="Times New Roman" w:cs="Times New Roman"/>
                <w:b/>
                <w:bCs w:val="0"/>
                <w:color w:val="000000" w:themeColor="text1"/>
                <w:sz w:val="24"/>
                <w:highlight w:val="none"/>
                <w14:textFill>
                  <w14:solidFill>
                    <w14:schemeClr w14:val="tx1"/>
                  </w14:solidFill>
                </w14:textFill>
              </w:rPr>
              <w:t>、现有工程污染物排放量</w:t>
            </w:r>
          </w:p>
          <w:p w14:paraId="4F1EE5A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本次环评结合现有项目的实际建设、竣工验收情况</w:t>
            </w:r>
            <w:r>
              <w:rPr>
                <w:rFonts w:hint="eastAsia" w:cs="Times New Roman"/>
                <w:bCs/>
                <w:color w:val="000000" w:themeColor="text1"/>
                <w:sz w:val="24"/>
                <w:highlight w:val="none"/>
                <w:lang w:eastAsia="zh-CN"/>
                <w14:textFill>
                  <w14:solidFill>
                    <w14:schemeClr w14:val="tx1"/>
                  </w14:solidFill>
                </w14:textFill>
              </w:rPr>
              <w:t>、</w:t>
            </w:r>
            <w:r>
              <w:rPr>
                <w:rFonts w:hint="eastAsia" w:cs="Times New Roman"/>
                <w:bCs/>
                <w:color w:val="000000" w:themeColor="text1"/>
                <w:sz w:val="24"/>
                <w:highlight w:val="none"/>
                <w:lang w:val="en-US" w:eastAsia="zh-CN"/>
                <w14:textFill>
                  <w14:solidFill>
                    <w14:schemeClr w14:val="tx1"/>
                  </w14:solidFill>
                </w14:textFill>
              </w:rPr>
              <w:t>自行监测报告等</w:t>
            </w:r>
            <w:r>
              <w:rPr>
                <w:rFonts w:hint="default" w:ascii="Times New Roman" w:hAnsi="Times New Roman" w:cs="Times New Roman"/>
                <w:bCs/>
                <w:color w:val="000000" w:themeColor="text1"/>
                <w:sz w:val="24"/>
                <w:highlight w:val="none"/>
                <w14:textFill>
                  <w14:solidFill>
                    <w14:schemeClr w14:val="tx1"/>
                  </w14:solidFill>
                </w14:textFill>
              </w:rPr>
              <w:t>对现有污染情况进行说明。</w:t>
            </w:r>
          </w:p>
          <w:p w14:paraId="47233B1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pPr>
            <w:r>
              <w:rPr>
                <w:rFonts w:hint="eastAsia" w:cs="Times New Roman"/>
                <w:bCs/>
                <w:color w:val="000000" w:themeColor="text1"/>
                <w:sz w:val="24"/>
                <w:highlight w:val="none"/>
                <w:lang w:eastAsia="zh-CN"/>
                <w14:textFill>
                  <w14:solidFill>
                    <w14:schemeClr w14:val="tx1"/>
                  </w14:solidFill>
                </w14:textFill>
              </w:rPr>
              <w:t>（</w:t>
            </w:r>
            <w:r>
              <w:rPr>
                <w:rFonts w:hint="eastAsia" w:cs="Times New Roman"/>
                <w:bCs/>
                <w:color w:val="000000" w:themeColor="text1"/>
                <w:sz w:val="24"/>
                <w:highlight w:val="none"/>
                <w:lang w:val="en-US" w:eastAsia="zh-CN"/>
                <w14:textFill>
                  <w14:solidFill>
                    <w14:schemeClr w14:val="tx1"/>
                  </w14:solidFill>
                </w14:textFill>
              </w:rPr>
              <w:t>1</w:t>
            </w:r>
            <w:r>
              <w:rPr>
                <w:rFonts w:hint="eastAsia" w:cs="Times New Roman"/>
                <w:bCs/>
                <w:color w:val="000000" w:themeColor="text1"/>
                <w:sz w:val="24"/>
                <w:highlight w:val="none"/>
                <w:lang w:eastAsia="zh-CN"/>
                <w14:textFill>
                  <w14:solidFill>
                    <w14:schemeClr w14:val="tx1"/>
                  </w14:solidFill>
                </w14:textFill>
              </w:rPr>
              <w:t>）</w:t>
            </w:r>
            <w:r>
              <w:rPr>
                <w:rFonts w:hint="eastAsia" w:cs="Times New Roman"/>
                <w:bCs/>
                <w:color w:val="000000" w:themeColor="text1"/>
                <w:sz w:val="24"/>
                <w:highlight w:val="none"/>
                <w:lang w:val="en-US" w:eastAsia="zh-CN"/>
                <w14:textFill>
                  <w14:solidFill>
                    <w14:schemeClr w14:val="tx1"/>
                  </w14:solidFill>
                </w14:textFill>
              </w:rPr>
              <w:t>废气</w:t>
            </w:r>
          </w:p>
          <w:p w14:paraId="4272284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ascii="Times New Roman" w:hAnsi="Times New Roman" w:eastAsia="宋体" w:cs="Times New Roman"/>
                <w:bCs/>
                <w:color w:val="000000" w:themeColor="text1"/>
                <w:sz w:val="24"/>
                <w:highlight w:val="none"/>
                <w:lang w:eastAsia="zh-CN"/>
                <w14:textFill>
                  <w14:solidFill>
                    <w14:schemeClr w14:val="tx1"/>
                  </w14:solidFill>
                </w14:textFill>
              </w:rPr>
            </w:pPr>
            <w:r>
              <w:rPr>
                <w:rFonts w:hint="eastAsia" w:ascii="Times New Roman" w:hAnsi="Times New Roman" w:eastAsia="宋体" w:cs="Times New Roman"/>
                <w:bCs/>
                <w:color w:val="000000" w:themeColor="text1"/>
                <w:sz w:val="24"/>
                <w:highlight w:val="none"/>
                <w:lang w:eastAsia="zh-CN"/>
                <w14:textFill>
                  <w14:solidFill>
                    <w14:schemeClr w14:val="tx1"/>
                  </w14:solidFill>
                </w14:textFill>
              </w:rPr>
              <w:t>预处理系统包括细格栅间、进水泵房、旋流沉砂池，是前端恶臭主要产生区域。治理措施：对细格栅渠、旋流沉砂池主体构筑物实施密封加盖处理，进水泵房设置密闭式操作空间，减少臭气无组织散逸</w:t>
            </w:r>
            <w:r>
              <w:rPr>
                <w:rFonts w:hint="eastAsia" w:cs="Times New Roman"/>
                <w:bCs/>
                <w:color w:val="000000" w:themeColor="text1"/>
                <w:sz w:val="24"/>
                <w:highlight w:val="none"/>
                <w:lang w:eastAsia="zh-CN"/>
                <w14:textFill>
                  <w14:solidFill>
                    <w14:schemeClr w14:val="tx1"/>
                  </w14:solidFill>
                </w14:textFill>
              </w:rPr>
              <w:t>，</w:t>
            </w:r>
            <w:r>
              <w:rPr>
                <w:rFonts w:hint="eastAsia" w:ascii="Times New Roman" w:hAnsi="Times New Roman" w:eastAsia="宋体" w:cs="Times New Roman"/>
                <w:bCs/>
                <w:color w:val="000000" w:themeColor="text1"/>
                <w:sz w:val="24"/>
                <w:highlight w:val="none"/>
                <w:lang w:eastAsia="zh-CN"/>
                <w14:textFill>
                  <w14:solidFill>
                    <w14:schemeClr w14:val="tx1"/>
                  </w14:solidFill>
                </w14:textFill>
              </w:rPr>
              <w:t>以无组织形式排放。</w:t>
            </w:r>
          </w:p>
          <w:p w14:paraId="0F77D19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生化处理系统包括厌氧池、缺氧池、好氧池（现状采用MBBR工艺，含厌氧、缺氧、好氧功能分区）。防控措施：定期清理生化池表面浮渣，避免有机物厌氧发酵加剧臭气释放；通过喷洒除臭剂抑制臭气扩散，同时优化生化池运行参数，控制厌氧、缺氧池内污泥停留时间及溶解氧浓度，减少恶臭气体产生量；生化池区域与厂界及周边敏感点利用厂区绿化隔离带吸附部分臭气。</w:t>
            </w:r>
          </w:p>
          <w:p w14:paraId="4874780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污泥处理区域包括污泥储池、污泥斗、污泥脱水机房，是恶臭污染重点产生区域。治理措施：污泥储池加盖密封，污泥斗设置密闭式卸料通道</w:t>
            </w:r>
            <w:r>
              <w:rPr>
                <w:rFonts w:hint="eastAsia"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14:textFill>
                  <w14:solidFill>
                    <w14:schemeClr w14:val="tx1"/>
                  </w14:solidFill>
                </w14:textFill>
              </w:rPr>
              <w:t>污泥脱水机房配套强制通风系统，定期置换室内空气，辅助降低车间内臭气浓度。</w:t>
            </w:r>
          </w:p>
          <w:p w14:paraId="023F12B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对于一期现有工程，由于其臭气排放方式为无组织排放，缺乏对应的实测检测数据支撑污染源强核算；同时受历史客观因素影响，原环评文件及环保验收相关资料已无法追溯获取。基于以上情况，本次环境影响评价中，一期现有工程臭气（NH</w:t>
            </w:r>
            <w:r>
              <w:rPr>
                <w:rFonts w:hint="eastAsia" w:cs="Times New Roman"/>
                <w:bCs/>
                <w:color w:val="000000" w:themeColor="text1"/>
                <w:sz w:val="24"/>
                <w:highlight w:val="none"/>
                <w:vertAlign w:val="subscript"/>
                <w:lang w:val="en-US" w:eastAsia="zh-CN"/>
                <w14:textFill>
                  <w14:solidFill>
                    <w14:schemeClr w14:val="tx1"/>
                  </w14:solidFill>
                </w14:textFill>
              </w:rPr>
              <w:t>3</w:t>
            </w:r>
            <w:r>
              <w:rPr>
                <w:rFonts w:hint="default" w:ascii="Times New Roman" w:hAnsi="Times New Roman" w:cs="Times New Roman"/>
                <w:bCs/>
                <w:color w:val="000000" w:themeColor="text1"/>
                <w:sz w:val="24"/>
                <w:highlight w:val="none"/>
                <w14:textFill>
                  <w14:solidFill>
                    <w14:schemeClr w14:val="tx1"/>
                  </w14:solidFill>
                </w14:textFill>
              </w:rPr>
              <w:t>、H</w:t>
            </w:r>
            <w:r>
              <w:rPr>
                <w:rFonts w:hint="eastAsia" w:cs="Times New Roman"/>
                <w:bCs/>
                <w:color w:val="000000" w:themeColor="text1"/>
                <w:sz w:val="24"/>
                <w:highlight w:val="none"/>
                <w:vertAlign w:val="subscript"/>
                <w:lang w:val="en-US" w:eastAsia="zh-CN"/>
                <w14:textFill>
                  <w14:solidFill>
                    <w14:schemeClr w14:val="tx1"/>
                  </w14:solidFill>
                </w14:textFill>
              </w:rPr>
              <w:t>2</w:t>
            </w:r>
            <w:r>
              <w:rPr>
                <w:rFonts w:hint="default" w:ascii="Times New Roman" w:hAnsi="Times New Roman" w:cs="Times New Roman"/>
                <w:bCs/>
                <w:color w:val="000000" w:themeColor="text1"/>
                <w:sz w:val="24"/>
                <w:highlight w:val="none"/>
                <w14:textFill>
                  <w14:solidFill>
                    <w14:schemeClr w14:val="tx1"/>
                  </w14:solidFill>
                </w14:textFill>
              </w:rPr>
              <w:t>S）的实际排放量，采用公式法直接计算确定。</w:t>
            </w:r>
          </w:p>
          <w:p w14:paraId="687C65E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ascii="Times New Roman" w:hAnsi="Times New Roman" w:eastAsia="宋体" w:cs="Times New Roman"/>
                <w:bCs/>
                <w:color w:val="000000" w:themeColor="text1"/>
                <w:sz w:val="24"/>
                <w:highlight w:val="none"/>
                <w:lang w:eastAsia="zh-CN"/>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恶臭气体的产生量与废水的成分、浓度有关，根据美国EPA对城市污水处理厂恶臭污染物产生情况的研究，每处理1gBOD</w:t>
            </w:r>
            <w:r>
              <w:rPr>
                <w:rFonts w:hint="default" w:ascii="Times New Roman" w:hAnsi="Times New Roman" w:cs="Times New Roman"/>
                <w:bCs/>
                <w:color w:val="000000" w:themeColor="text1"/>
                <w:sz w:val="24"/>
                <w:highlight w:val="none"/>
                <w:vertAlign w:val="subscript"/>
                <w14:textFill>
                  <w14:solidFill>
                    <w14:schemeClr w14:val="tx1"/>
                  </w14:solidFill>
                </w14:textFill>
              </w:rPr>
              <w:t>5</w:t>
            </w:r>
            <w:r>
              <w:rPr>
                <w:rFonts w:hint="default" w:ascii="Times New Roman" w:hAnsi="Times New Roman" w:cs="Times New Roman"/>
                <w:bCs/>
                <w:color w:val="000000" w:themeColor="text1"/>
                <w:sz w:val="24"/>
                <w:highlight w:val="none"/>
                <w14:textFill>
                  <w14:solidFill>
                    <w14:schemeClr w14:val="tx1"/>
                  </w14:solidFill>
                </w14:textFill>
              </w:rPr>
              <w:t>可产生0.0031gNH</w:t>
            </w:r>
            <w:r>
              <w:rPr>
                <w:rFonts w:hint="default" w:ascii="Times New Roman" w:hAnsi="Times New Roman" w:cs="Times New Roman"/>
                <w:bCs/>
                <w:color w:val="000000" w:themeColor="text1"/>
                <w:sz w:val="24"/>
                <w:highlight w:val="none"/>
                <w:vertAlign w:val="subscript"/>
                <w14:textFill>
                  <w14:solidFill>
                    <w14:schemeClr w14:val="tx1"/>
                  </w14:solidFill>
                </w14:textFill>
              </w:rPr>
              <w:t>3</w:t>
            </w:r>
            <w:r>
              <w:rPr>
                <w:rFonts w:hint="default" w:ascii="Times New Roman" w:hAnsi="Times New Roman" w:cs="Times New Roman"/>
                <w:bCs/>
                <w:color w:val="000000" w:themeColor="text1"/>
                <w:sz w:val="24"/>
                <w:highlight w:val="none"/>
                <w14:textFill>
                  <w14:solidFill>
                    <w14:schemeClr w14:val="tx1"/>
                  </w14:solidFill>
                </w14:textFill>
              </w:rPr>
              <w:t>和0.00012gH</w:t>
            </w:r>
            <w:r>
              <w:rPr>
                <w:rFonts w:hint="default" w:ascii="Times New Roman" w:hAnsi="Times New Roman" w:cs="Times New Roman"/>
                <w:bCs/>
                <w:color w:val="000000" w:themeColor="text1"/>
                <w:sz w:val="24"/>
                <w:highlight w:val="none"/>
                <w:vertAlign w:val="subscript"/>
                <w14:textFill>
                  <w14:solidFill>
                    <w14:schemeClr w14:val="tx1"/>
                  </w14:solidFill>
                </w14:textFill>
              </w:rPr>
              <w:t>2</w:t>
            </w:r>
            <w:r>
              <w:rPr>
                <w:rFonts w:hint="default" w:ascii="Times New Roman" w:hAnsi="Times New Roman" w:cs="Times New Roman"/>
                <w:bCs/>
                <w:color w:val="000000" w:themeColor="text1"/>
                <w:sz w:val="24"/>
                <w:highlight w:val="none"/>
                <w14:textFill>
                  <w14:solidFill>
                    <w14:schemeClr w14:val="tx1"/>
                  </w14:solidFill>
                </w14:textFill>
              </w:rPr>
              <w:t>S。项目现有工程污水处理量为</w:t>
            </w:r>
            <w:r>
              <w:rPr>
                <w:rFonts w:hint="eastAsia" w:cs="Times New Roman"/>
                <w:bCs/>
                <w:color w:val="000000" w:themeColor="text1"/>
                <w:sz w:val="24"/>
                <w:highlight w:val="none"/>
                <w:lang w:val="en-US" w:eastAsia="zh-CN"/>
                <w14:textFill>
                  <w14:solidFill>
                    <w14:schemeClr w14:val="tx1"/>
                  </w14:solidFill>
                </w14:textFill>
              </w:rPr>
              <w:t>15000</w:t>
            </w:r>
            <w:r>
              <w:rPr>
                <w:rFonts w:hint="default" w:ascii="Times New Roman" w:hAnsi="Times New Roman" w:cs="Times New Roman"/>
                <w:bCs/>
                <w:color w:val="000000" w:themeColor="text1"/>
                <w:sz w:val="24"/>
                <w:highlight w:val="none"/>
                <w14:textFill>
                  <w14:solidFill>
                    <w14:schemeClr w14:val="tx1"/>
                  </w14:solidFill>
                </w14:textFill>
              </w:rPr>
              <w:t>m</w:t>
            </w:r>
            <w:r>
              <w:rPr>
                <w:rFonts w:hint="default" w:ascii="Times New Roman" w:hAnsi="Times New Roman" w:cs="Times New Roman"/>
                <w:bCs/>
                <w:color w:val="000000" w:themeColor="text1"/>
                <w:sz w:val="24"/>
                <w:highlight w:val="none"/>
                <w:vertAlign w:val="superscript"/>
                <w14:textFill>
                  <w14:solidFill>
                    <w14:schemeClr w14:val="tx1"/>
                  </w14:solidFill>
                </w14:textFill>
              </w:rPr>
              <w:t>3</w:t>
            </w:r>
            <w:r>
              <w:rPr>
                <w:rFonts w:hint="default" w:ascii="Times New Roman" w:hAnsi="Times New Roman" w:cs="Times New Roman"/>
                <w:bCs/>
                <w:color w:val="000000" w:themeColor="text1"/>
                <w:sz w:val="24"/>
                <w:highlight w:val="none"/>
                <w14:textFill>
                  <w14:solidFill>
                    <w14:schemeClr w14:val="tx1"/>
                  </w14:solidFill>
                </w14:textFill>
              </w:rPr>
              <w:t>/d</w:t>
            </w:r>
            <w:r>
              <w:rPr>
                <w:rFonts w:hint="eastAsia" w:cs="Times New Roman"/>
                <w:bCs/>
                <w:color w:val="000000" w:themeColor="text1"/>
                <w:sz w:val="24"/>
                <w:highlight w:val="none"/>
                <w:lang w:eastAsia="zh-CN"/>
                <w14:textFill>
                  <w14:solidFill>
                    <w14:schemeClr w14:val="tx1"/>
                  </w14:solidFill>
                </w14:textFill>
              </w:rPr>
              <w:t>。BOD</w:t>
            </w:r>
            <w:r>
              <w:rPr>
                <w:rFonts w:hint="eastAsia" w:cs="Times New Roman"/>
                <w:bCs/>
                <w:color w:val="000000" w:themeColor="text1"/>
                <w:sz w:val="24"/>
                <w:highlight w:val="none"/>
                <w:vertAlign w:val="subscript"/>
                <w:lang w:eastAsia="zh-CN"/>
                <w14:textFill>
                  <w14:solidFill>
                    <w14:schemeClr w14:val="tx1"/>
                  </w14:solidFill>
                </w14:textFill>
              </w:rPr>
              <w:t>5</w:t>
            </w:r>
            <w:r>
              <w:rPr>
                <w:rFonts w:hint="eastAsia" w:cs="Times New Roman"/>
                <w:bCs/>
                <w:color w:val="000000" w:themeColor="text1"/>
                <w:sz w:val="24"/>
                <w:highlight w:val="none"/>
                <w:lang w:eastAsia="zh-CN"/>
                <w14:textFill>
                  <w14:solidFill>
                    <w14:schemeClr w14:val="tx1"/>
                  </w14:solidFill>
                </w14:textFill>
              </w:rPr>
              <w:t>去除量为</w:t>
            </w:r>
            <w:r>
              <w:rPr>
                <w:rFonts w:hint="eastAsia" w:cs="Times New Roman"/>
                <w:bCs/>
                <w:color w:val="000000" w:themeColor="text1"/>
                <w:sz w:val="24"/>
                <w:highlight w:val="none"/>
                <w:lang w:val="en-US" w:eastAsia="zh-CN"/>
                <w14:textFill>
                  <w14:solidFill>
                    <w14:schemeClr w14:val="tx1"/>
                  </w14:solidFill>
                </w14:textFill>
              </w:rPr>
              <w:t>1861.5</w:t>
            </w:r>
            <w:r>
              <w:rPr>
                <w:rFonts w:hint="eastAsia" w:cs="Times New Roman"/>
                <w:bCs/>
                <w:color w:val="000000" w:themeColor="text1"/>
                <w:sz w:val="24"/>
                <w:highlight w:val="none"/>
                <w:lang w:eastAsia="zh-CN"/>
                <w14:textFill>
                  <w14:solidFill>
                    <w14:schemeClr w14:val="tx1"/>
                  </w14:solidFill>
                </w14:textFill>
              </w:rPr>
              <w:t>t/a，则污水处理过程NH</w:t>
            </w:r>
            <w:r>
              <w:rPr>
                <w:rFonts w:hint="eastAsia" w:cs="Times New Roman"/>
                <w:bCs/>
                <w:color w:val="000000" w:themeColor="text1"/>
                <w:sz w:val="24"/>
                <w:highlight w:val="none"/>
                <w:vertAlign w:val="subscript"/>
                <w:lang w:eastAsia="zh-CN"/>
                <w14:textFill>
                  <w14:solidFill>
                    <w14:schemeClr w14:val="tx1"/>
                  </w14:solidFill>
                </w14:textFill>
              </w:rPr>
              <w:t>3</w:t>
            </w:r>
            <w:r>
              <w:rPr>
                <w:rFonts w:hint="eastAsia" w:cs="Times New Roman"/>
                <w:bCs/>
                <w:color w:val="000000" w:themeColor="text1"/>
                <w:sz w:val="24"/>
                <w:highlight w:val="none"/>
                <w:lang w:eastAsia="zh-CN"/>
                <w14:textFill>
                  <w14:solidFill>
                    <w14:schemeClr w14:val="tx1"/>
                  </w14:solidFill>
                </w14:textFill>
              </w:rPr>
              <w:t>产生量为</w:t>
            </w:r>
            <w:r>
              <w:rPr>
                <w:rFonts w:hint="eastAsia" w:cs="Times New Roman"/>
                <w:bCs/>
                <w:color w:val="000000" w:themeColor="text1"/>
                <w:sz w:val="24"/>
                <w:highlight w:val="none"/>
                <w:lang w:val="en-US" w:eastAsia="zh-CN"/>
                <w14:textFill>
                  <w14:solidFill>
                    <w14:schemeClr w14:val="tx1"/>
                  </w14:solidFill>
                </w14:textFill>
              </w:rPr>
              <w:t>5.77</w:t>
            </w:r>
            <w:r>
              <w:rPr>
                <w:rFonts w:hint="eastAsia" w:cs="Times New Roman"/>
                <w:bCs/>
                <w:color w:val="000000" w:themeColor="text1"/>
                <w:sz w:val="24"/>
                <w:highlight w:val="none"/>
                <w:lang w:eastAsia="zh-CN"/>
                <w14:textFill>
                  <w14:solidFill>
                    <w14:schemeClr w14:val="tx1"/>
                  </w14:solidFill>
                </w14:textFill>
              </w:rPr>
              <w:t>t/a，H</w:t>
            </w:r>
            <w:r>
              <w:rPr>
                <w:rFonts w:hint="eastAsia" w:cs="Times New Roman"/>
                <w:bCs/>
                <w:color w:val="000000" w:themeColor="text1"/>
                <w:sz w:val="24"/>
                <w:highlight w:val="none"/>
                <w:vertAlign w:val="subscript"/>
                <w:lang w:eastAsia="zh-CN"/>
                <w14:textFill>
                  <w14:solidFill>
                    <w14:schemeClr w14:val="tx1"/>
                  </w14:solidFill>
                </w14:textFill>
              </w:rPr>
              <w:t>2</w:t>
            </w:r>
            <w:r>
              <w:rPr>
                <w:rFonts w:hint="eastAsia" w:cs="Times New Roman"/>
                <w:bCs/>
                <w:color w:val="000000" w:themeColor="text1"/>
                <w:sz w:val="24"/>
                <w:highlight w:val="none"/>
                <w:lang w:eastAsia="zh-CN"/>
                <w14:textFill>
                  <w14:solidFill>
                    <w14:schemeClr w14:val="tx1"/>
                  </w14:solidFill>
                </w14:textFill>
              </w:rPr>
              <w:t>S产生量为</w:t>
            </w:r>
            <w:r>
              <w:rPr>
                <w:rFonts w:hint="eastAsia" w:cs="Times New Roman"/>
                <w:bCs/>
                <w:color w:val="000000" w:themeColor="text1"/>
                <w:sz w:val="24"/>
                <w:highlight w:val="none"/>
                <w:lang w:val="en-US" w:eastAsia="zh-CN"/>
                <w14:textFill>
                  <w14:solidFill>
                    <w14:schemeClr w14:val="tx1"/>
                  </w14:solidFill>
                </w14:textFill>
              </w:rPr>
              <w:t>0.22</w:t>
            </w:r>
            <w:r>
              <w:rPr>
                <w:rFonts w:hint="eastAsia" w:cs="Times New Roman"/>
                <w:bCs/>
                <w:color w:val="000000" w:themeColor="text1"/>
                <w:sz w:val="24"/>
                <w:highlight w:val="none"/>
                <w:lang w:eastAsia="zh-CN"/>
                <w14:textFill>
                  <w14:solidFill>
                    <w14:schemeClr w14:val="tx1"/>
                  </w14:solidFill>
                </w14:textFill>
              </w:rPr>
              <w:t>t/a。</w:t>
            </w:r>
          </w:p>
          <w:p w14:paraId="539519E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根据《城镇污水处理厂臭气处理技术规程》（CJJ/T243-2016）污水预处理和污水处理区域臭气浓度为1000~5000（无量纲），取浓度范围中间值，即3000（无量纲）。</w:t>
            </w:r>
          </w:p>
          <w:p w14:paraId="27DA5D4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采取加盖密闭废气收集效率可达95%，经</w:t>
            </w:r>
            <w:r>
              <w:rPr>
                <w:rFonts w:hint="eastAsia" w:cs="Times New Roman"/>
                <w:bCs/>
                <w:color w:val="000000" w:themeColor="text1"/>
                <w:sz w:val="24"/>
                <w:highlight w:val="none"/>
                <w:lang w:val="en-US" w:eastAsia="zh-CN"/>
                <w14:textFill>
                  <w14:solidFill>
                    <w14:schemeClr w14:val="tx1"/>
                  </w14:solidFill>
                </w14:textFill>
              </w:rPr>
              <w:t>活性炭吸附</w:t>
            </w:r>
            <w:r>
              <w:rPr>
                <w:rFonts w:hint="default" w:ascii="Times New Roman" w:hAnsi="Times New Roman" w:cs="Times New Roman"/>
                <w:bCs/>
                <w:color w:val="000000" w:themeColor="text1"/>
                <w:sz w:val="24"/>
                <w:highlight w:val="none"/>
                <w14:textFill>
                  <w14:solidFill>
                    <w14:schemeClr w14:val="tx1"/>
                  </w14:solidFill>
                </w14:textFill>
              </w:rPr>
              <w:t>除臭</w:t>
            </w:r>
            <w:r>
              <w:rPr>
                <w:rFonts w:hint="eastAsia"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14:textFill>
                  <w14:solidFill>
                    <w14:schemeClr w14:val="tx1"/>
                  </w14:solidFill>
                </w14:textFill>
              </w:rPr>
              <w:t>对臭气浓度去除效率可达75%以上。</w:t>
            </w:r>
          </w:p>
          <w:p w14:paraId="616D907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综上所述，</w:t>
            </w:r>
            <w:r>
              <w:rPr>
                <w:rFonts w:hint="default" w:ascii="Times New Roman" w:hAnsi="Times New Roman" w:cs="Times New Roman"/>
                <w:bCs/>
                <w:color w:val="000000" w:themeColor="text1"/>
                <w:sz w:val="24"/>
                <w:highlight w:val="none"/>
                <w14:textFill>
                  <w14:solidFill>
                    <w14:schemeClr w14:val="tx1"/>
                  </w14:solidFill>
                </w14:textFill>
              </w:rPr>
              <w:t>项目废水处理阶段恶臭产排情况见下表。</w:t>
            </w:r>
          </w:p>
          <w:p w14:paraId="7DDDED04">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表2-20  项目一期污水处理厂恶臭废气产排情况表</w:t>
            </w:r>
          </w:p>
          <w:tbl>
            <w:tblPr>
              <w:tblStyle w:val="13"/>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07"/>
              <w:gridCol w:w="1903"/>
              <w:gridCol w:w="913"/>
              <w:gridCol w:w="989"/>
              <w:gridCol w:w="1076"/>
              <w:gridCol w:w="1617"/>
            </w:tblGrid>
            <w:tr w14:paraId="42EF64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9" w:type="pct"/>
                  <w:tcBorders>
                    <w:tl2br w:val="nil"/>
                    <w:tr2bl w:val="nil"/>
                  </w:tcBorders>
                  <w:noWrap w:val="0"/>
                  <w:vAlign w:val="center"/>
                </w:tcPr>
                <w:p w14:paraId="5B8D8E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产污环节</w:t>
                  </w:r>
                </w:p>
              </w:tc>
              <w:tc>
                <w:tcPr>
                  <w:tcW w:w="1203" w:type="pct"/>
                  <w:tcBorders>
                    <w:tl2br w:val="nil"/>
                    <w:tr2bl w:val="nil"/>
                  </w:tcBorders>
                  <w:noWrap w:val="0"/>
                  <w:vAlign w:val="center"/>
                </w:tcPr>
                <w:p w14:paraId="295B27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污染源</w:t>
                  </w:r>
                </w:p>
              </w:tc>
              <w:tc>
                <w:tcPr>
                  <w:tcW w:w="577" w:type="pct"/>
                  <w:tcBorders>
                    <w:tl2br w:val="nil"/>
                    <w:tr2bl w:val="nil"/>
                  </w:tcBorders>
                  <w:noWrap w:val="0"/>
                  <w:vAlign w:val="center"/>
                </w:tcPr>
                <w:p w14:paraId="6D5C21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污染物</w:t>
                  </w:r>
                </w:p>
              </w:tc>
              <w:tc>
                <w:tcPr>
                  <w:tcW w:w="625" w:type="pct"/>
                  <w:tcBorders>
                    <w:tl2br w:val="nil"/>
                    <w:tr2bl w:val="nil"/>
                  </w:tcBorders>
                  <w:noWrap w:val="0"/>
                  <w:vAlign w:val="center"/>
                </w:tcPr>
                <w:p w14:paraId="504057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产生量t/a</w:t>
                  </w:r>
                </w:p>
              </w:tc>
              <w:tc>
                <w:tcPr>
                  <w:tcW w:w="680" w:type="pct"/>
                  <w:tcBorders>
                    <w:tl2br w:val="nil"/>
                    <w:tr2bl w:val="nil"/>
                  </w:tcBorders>
                  <w:noWrap w:val="0"/>
                  <w:vAlign w:val="center"/>
                </w:tcPr>
                <w:p w14:paraId="48CCFE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排放量t/a</w:t>
                  </w:r>
                </w:p>
              </w:tc>
              <w:tc>
                <w:tcPr>
                  <w:tcW w:w="1022" w:type="pct"/>
                  <w:tcBorders>
                    <w:tl2br w:val="nil"/>
                    <w:tr2bl w:val="nil"/>
                  </w:tcBorders>
                  <w:noWrap w:val="0"/>
                  <w:vAlign w:val="center"/>
                </w:tcPr>
                <w:p w14:paraId="3FEBB5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未收集排放量t/a</w:t>
                  </w:r>
                </w:p>
              </w:tc>
            </w:tr>
            <w:tr w14:paraId="694604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9" w:type="pct"/>
                  <w:vMerge w:val="restart"/>
                  <w:tcBorders>
                    <w:tl2br w:val="nil"/>
                    <w:tr2bl w:val="nil"/>
                  </w:tcBorders>
                  <w:noWrap w:val="0"/>
                  <w:vAlign w:val="center"/>
                </w:tcPr>
                <w:p w14:paraId="61A449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预处理、废水处理、污泥</w:t>
                  </w:r>
                </w:p>
              </w:tc>
              <w:tc>
                <w:tcPr>
                  <w:tcW w:w="1203" w:type="pct"/>
                  <w:vMerge w:val="restart"/>
                  <w:tcBorders>
                    <w:tl2br w:val="nil"/>
                    <w:tr2bl w:val="nil"/>
                  </w:tcBorders>
                  <w:noWrap w:val="0"/>
                  <w:vAlign w:val="center"/>
                </w:tcPr>
                <w:p w14:paraId="026627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预处理、生化处理及污泥处理系统</w:t>
                  </w:r>
                </w:p>
              </w:tc>
              <w:tc>
                <w:tcPr>
                  <w:tcW w:w="577" w:type="pct"/>
                  <w:tcBorders>
                    <w:tl2br w:val="nil"/>
                    <w:tr2bl w:val="nil"/>
                  </w:tcBorders>
                  <w:noWrap w:val="0"/>
                  <w:vAlign w:val="center"/>
                </w:tcPr>
                <w:p w14:paraId="6DFA5B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eastAsia="zh-CN"/>
                      <w14:textFill>
                        <w14:solidFill>
                          <w14:schemeClr w14:val="tx1"/>
                        </w14:solidFill>
                      </w14:textFill>
                    </w:rPr>
                    <w:t>NH</w:t>
                  </w:r>
                  <w:r>
                    <w:rPr>
                      <w:rFonts w:hint="default" w:ascii="Times New Roman" w:hAnsi="Times New Roman" w:eastAsia="宋体" w:cs="Times New Roman"/>
                      <w:bCs/>
                      <w:color w:val="000000" w:themeColor="text1"/>
                      <w:sz w:val="21"/>
                      <w:szCs w:val="21"/>
                      <w:highlight w:val="none"/>
                      <w:vertAlign w:val="subscript"/>
                      <w:lang w:eastAsia="zh-CN"/>
                      <w14:textFill>
                        <w14:solidFill>
                          <w14:schemeClr w14:val="tx1"/>
                        </w14:solidFill>
                      </w14:textFill>
                    </w:rPr>
                    <w:t>3</w:t>
                  </w:r>
                </w:p>
              </w:tc>
              <w:tc>
                <w:tcPr>
                  <w:tcW w:w="625" w:type="pct"/>
                  <w:tcBorders>
                    <w:tl2br w:val="nil"/>
                    <w:tr2bl w:val="nil"/>
                  </w:tcBorders>
                  <w:noWrap w:val="0"/>
                  <w:vAlign w:val="center"/>
                </w:tcPr>
                <w:p w14:paraId="6C9004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5.77</w:t>
                  </w:r>
                </w:p>
              </w:tc>
              <w:tc>
                <w:tcPr>
                  <w:tcW w:w="680" w:type="pct"/>
                  <w:tcBorders>
                    <w:tl2br w:val="nil"/>
                    <w:tr2bl w:val="nil"/>
                  </w:tcBorders>
                  <w:noWrap w:val="0"/>
                  <w:vAlign w:val="center"/>
                </w:tcPr>
                <w:p w14:paraId="2B44FBC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1.37</w:t>
                  </w:r>
                </w:p>
              </w:tc>
              <w:tc>
                <w:tcPr>
                  <w:tcW w:w="1022" w:type="pct"/>
                  <w:tcBorders>
                    <w:tl2br w:val="nil"/>
                    <w:tr2bl w:val="nil"/>
                  </w:tcBorders>
                  <w:noWrap w:val="0"/>
                  <w:vAlign w:val="center"/>
                </w:tcPr>
                <w:p w14:paraId="58E31C7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0.29</w:t>
                  </w:r>
                </w:p>
              </w:tc>
            </w:tr>
            <w:tr w14:paraId="39391D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9" w:type="pct"/>
                  <w:vMerge w:val="continue"/>
                  <w:tcBorders>
                    <w:tl2br w:val="nil"/>
                    <w:tr2bl w:val="nil"/>
                  </w:tcBorders>
                  <w:noWrap w:val="0"/>
                  <w:vAlign w:val="center"/>
                </w:tcPr>
                <w:p w14:paraId="74D02E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14:textFill>
                        <w14:solidFill>
                          <w14:schemeClr w14:val="tx1"/>
                        </w14:solidFill>
                      </w14:textFill>
                    </w:rPr>
                  </w:pPr>
                </w:p>
              </w:tc>
              <w:tc>
                <w:tcPr>
                  <w:tcW w:w="1203" w:type="pct"/>
                  <w:vMerge w:val="continue"/>
                  <w:tcBorders>
                    <w:tl2br w:val="nil"/>
                    <w:tr2bl w:val="nil"/>
                  </w:tcBorders>
                  <w:noWrap w:val="0"/>
                  <w:vAlign w:val="center"/>
                </w:tcPr>
                <w:p w14:paraId="1B097F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14:textFill>
                        <w14:solidFill>
                          <w14:schemeClr w14:val="tx1"/>
                        </w14:solidFill>
                      </w14:textFill>
                    </w:rPr>
                  </w:pPr>
                </w:p>
              </w:tc>
              <w:tc>
                <w:tcPr>
                  <w:tcW w:w="577" w:type="pct"/>
                  <w:tcBorders>
                    <w:tl2br w:val="nil"/>
                    <w:tr2bl w:val="nil"/>
                  </w:tcBorders>
                  <w:noWrap w:val="0"/>
                  <w:vAlign w:val="center"/>
                </w:tcPr>
                <w:p w14:paraId="6371CE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H</w:t>
                  </w:r>
                  <w:r>
                    <w:rPr>
                      <w:rFonts w:hint="default" w:ascii="Times New Roman" w:hAnsi="Times New Roman" w:eastAsia="宋体" w:cs="Times New Roman"/>
                      <w:bCs/>
                      <w:color w:val="000000" w:themeColor="text1"/>
                      <w:sz w:val="21"/>
                      <w:szCs w:val="21"/>
                      <w:highlight w:val="none"/>
                      <w:vertAlign w:val="subscript"/>
                      <w:lang w:val="en-US" w:eastAsia="zh-CN"/>
                      <w14:textFill>
                        <w14:solidFill>
                          <w14:schemeClr w14:val="tx1"/>
                        </w14:solidFill>
                      </w14:textFill>
                    </w:rPr>
                    <w:t>2</w:t>
                  </w:r>
                  <w:r>
                    <w:rPr>
                      <w:rFonts w:hint="default" w:ascii="Times New Roman" w:hAnsi="Times New Roman" w:eastAsia="宋体" w:cs="Times New Roman"/>
                      <w:bCs/>
                      <w:color w:val="000000" w:themeColor="text1"/>
                      <w:sz w:val="21"/>
                      <w:szCs w:val="21"/>
                      <w:highlight w:val="none"/>
                      <w14:textFill>
                        <w14:solidFill>
                          <w14:schemeClr w14:val="tx1"/>
                        </w14:solidFill>
                      </w14:textFill>
                    </w:rPr>
                    <w:t>S</w:t>
                  </w:r>
                </w:p>
              </w:tc>
              <w:tc>
                <w:tcPr>
                  <w:tcW w:w="625" w:type="pct"/>
                  <w:tcBorders>
                    <w:tl2br w:val="nil"/>
                    <w:tr2bl w:val="nil"/>
                  </w:tcBorders>
                  <w:noWrap w:val="0"/>
                  <w:vAlign w:val="center"/>
                </w:tcPr>
                <w:p w14:paraId="5B2B76D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0.22</w:t>
                  </w:r>
                </w:p>
              </w:tc>
              <w:tc>
                <w:tcPr>
                  <w:tcW w:w="680" w:type="pct"/>
                  <w:tcBorders>
                    <w:tl2br w:val="nil"/>
                    <w:tr2bl w:val="nil"/>
                  </w:tcBorders>
                  <w:noWrap w:val="0"/>
                  <w:vAlign w:val="center"/>
                </w:tcPr>
                <w:p w14:paraId="19738B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0.0</w:t>
                  </w:r>
                  <w:r>
                    <w:rPr>
                      <w:rFonts w:hint="eastAsia" w:cs="Times New Roman"/>
                      <w:bCs/>
                      <w:color w:val="000000" w:themeColor="text1"/>
                      <w:sz w:val="21"/>
                      <w:szCs w:val="21"/>
                      <w:highlight w:val="none"/>
                      <w:vertAlign w:val="baseline"/>
                      <w:lang w:val="en-US" w:eastAsia="zh-CN"/>
                      <w14:textFill>
                        <w14:solidFill>
                          <w14:schemeClr w14:val="tx1"/>
                        </w14:solidFill>
                      </w14:textFill>
                    </w:rPr>
                    <w:t>5</w:t>
                  </w:r>
                </w:p>
              </w:tc>
              <w:tc>
                <w:tcPr>
                  <w:tcW w:w="1022" w:type="pct"/>
                  <w:tcBorders>
                    <w:tl2br w:val="nil"/>
                    <w:tr2bl w:val="nil"/>
                  </w:tcBorders>
                  <w:noWrap w:val="0"/>
                  <w:vAlign w:val="center"/>
                </w:tcPr>
                <w:p w14:paraId="748ACD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0.01</w:t>
                  </w:r>
                </w:p>
              </w:tc>
            </w:tr>
          </w:tbl>
          <w:p w14:paraId="49853CE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p>
          <w:p w14:paraId="4ABD940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s="Times New Roman"/>
                <w:bCs/>
                <w:color w:val="000000" w:themeColor="text1"/>
                <w:sz w:val="24"/>
                <w:highlight w:val="none"/>
                <w:lang w:val="en-US" w:eastAsia="zh-CN"/>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4）厂界无组织废气</w:t>
            </w:r>
          </w:p>
          <w:p w14:paraId="25EFB71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s="Times New Roman"/>
                <w:bCs/>
                <w:color w:val="000000" w:themeColor="text1"/>
                <w:sz w:val="24"/>
                <w:highlight w:val="none"/>
                <w:lang w:val="en-US" w:eastAsia="zh-CN"/>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巴彦淖尔市城投检测有限公司于2025年12月5日出具了现有无组织废气检测报告，监测结果如下：</w:t>
            </w:r>
          </w:p>
          <w:p w14:paraId="05AB1F68">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表2-21  厂界无组织废气污染物监测结果  单位：mg/m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（甲烷除外）</w:t>
            </w:r>
          </w:p>
          <w:tbl>
            <w:tblPr>
              <w:tblStyle w:val="12"/>
              <w:tblW w:w="4996" w:type="pct"/>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519"/>
              <w:gridCol w:w="1419"/>
              <w:gridCol w:w="1046"/>
              <w:gridCol w:w="711"/>
              <w:gridCol w:w="907"/>
              <w:gridCol w:w="1027"/>
              <w:gridCol w:w="1273"/>
            </w:tblGrid>
            <w:tr w14:paraId="75418E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98" w:type="pct"/>
                  <w:tcBorders>
                    <w:tl2br w:val="nil"/>
                    <w:tr2bl w:val="nil"/>
                  </w:tcBorders>
                  <w:noWrap w:val="0"/>
                  <w:vAlign w:val="center"/>
                </w:tcPr>
                <w:p w14:paraId="162709E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采样点位</w:t>
                  </w:r>
                </w:p>
              </w:tc>
              <w:tc>
                <w:tcPr>
                  <w:tcW w:w="757" w:type="pct"/>
                  <w:tcBorders>
                    <w:tl2br w:val="nil"/>
                    <w:tr2bl w:val="nil"/>
                  </w:tcBorders>
                  <w:noWrap w:val="0"/>
                  <w:vAlign w:val="center"/>
                </w:tcPr>
                <w:p w14:paraId="3E12EC7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采样日期</w:t>
                  </w:r>
                </w:p>
              </w:tc>
              <w:tc>
                <w:tcPr>
                  <w:tcW w:w="699" w:type="pct"/>
                  <w:tcBorders>
                    <w:tl2br w:val="nil"/>
                    <w:tr2bl w:val="nil"/>
                  </w:tcBorders>
                  <w:noWrap w:val="0"/>
                  <w:vAlign w:val="center"/>
                </w:tcPr>
                <w:p w14:paraId="6C0700F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采样时间</w:t>
                  </w:r>
                </w:p>
              </w:tc>
              <w:tc>
                <w:tcPr>
                  <w:tcW w:w="487" w:type="pct"/>
                  <w:tcBorders>
                    <w:tl2br w:val="nil"/>
                    <w:tr2bl w:val="nil"/>
                  </w:tcBorders>
                  <w:noWrap w:val="0"/>
                  <w:vAlign w:val="center"/>
                </w:tcPr>
                <w:p w14:paraId="5DCAED2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氨气</w:t>
                  </w:r>
                </w:p>
              </w:tc>
              <w:tc>
                <w:tcPr>
                  <w:tcW w:w="611" w:type="pct"/>
                  <w:tcBorders>
                    <w:tl2br w:val="nil"/>
                    <w:tr2bl w:val="nil"/>
                  </w:tcBorders>
                  <w:noWrap w:val="0"/>
                  <w:vAlign w:val="center"/>
                </w:tcPr>
                <w:p w14:paraId="5F80909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硫化氢</w:t>
                  </w:r>
                </w:p>
              </w:tc>
              <w:tc>
                <w:tcPr>
                  <w:tcW w:w="687" w:type="pct"/>
                  <w:tcBorders>
                    <w:tl2br w:val="nil"/>
                    <w:tr2bl w:val="nil"/>
                  </w:tcBorders>
                  <w:noWrap w:val="0"/>
                  <w:vAlign w:val="center"/>
                </w:tcPr>
                <w:p w14:paraId="7291835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采样时间</w:t>
                  </w:r>
                </w:p>
              </w:tc>
              <w:tc>
                <w:tcPr>
                  <w:tcW w:w="759" w:type="pct"/>
                  <w:tcBorders>
                    <w:tl2br w:val="nil"/>
                    <w:tr2bl w:val="nil"/>
                  </w:tcBorders>
                  <w:noWrap w:val="0"/>
                  <w:vAlign w:val="center"/>
                </w:tcPr>
                <w:p w14:paraId="2AF3A6B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甲烷</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体积百分数%</w:t>
                  </w:r>
                  <w:r>
                    <w:rPr>
                      <w:rFonts w:hint="eastAsia" w:eastAsia="宋体" w:cs="Times New Roman"/>
                      <w:color w:val="000000" w:themeColor="text1"/>
                      <w:sz w:val="21"/>
                      <w:szCs w:val="21"/>
                      <w:highlight w:val="none"/>
                      <w:lang w:val="en-US" w:eastAsia="zh-CN" w:bidi="ar"/>
                      <w14:textFill>
                        <w14:solidFill>
                          <w14:schemeClr w14:val="tx1"/>
                        </w14:solidFill>
                      </w14:textFill>
                    </w:rPr>
                    <w:t>）</w:t>
                  </w:r>
                </w:p>
              </w:tc>
            </w:tr>
            <w:tr w14:paraId="0DB7E6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998" w:type="pct"/>
                  <w:vMerge w:val="restart"/>
                  <w:tcBorders>
                    <w:tl2br w:val="nil"/>
                    <w:tr2bl w:val="nil"/>
                  </w:tcBorders>
                  <w:noWrap w:val="0"/>
                  <w:vAlign w:val="center"/>
                </w:tcPr>
                <w:p w14:paraId="0238F84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厂界北</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上风向</w:t>
                  </w:r>
                  <w:r>
                    <w:rPr>
                      <w:rFonts w:hint="eastAsia" w:eastAsia="宋体" w:cs="Times New Roman"/>
                      <w:color w:val="000000" w:themeColor="text1"/>
                      <w:sz w:val="21"/>
                      <w:szCs w:val="21"/>
                      <w:highlight w:val="none"/>
                      <w:lang w:val="en-US" w:eastAsia="zh-CN" w:bidi="ar"/>
                      <w14:textFill>
                        <w14:solidFill>
                          <w14:schemeClr w14:val="tx1"/>
                        </w14:solidFill>
                      </w14:textFill>
                    </w:rPr>
                    <w:t>）</w:t>
                  </w:r>
                </w:p>
              </w:tc>
              <w:tc>
                <w:tcPr>
                  <w:tcW w:w="757" w:type="pct"/>
                  <w:vMerge w:val="restart"/>
                  <w:tcBorders>
                    <w:tl2br w:val="nil"/>
                    <w:tr2bl w:val="nil"/>
                  </w:tcBorders>
                  <w:noWrap w:val="0"/>
                  <w:vAlign w:val="center"/>
                </w:tcPr>
                <w:p w14:paraId="5484E3F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2025.11.11</w:t>
                  </w:r>
                </w:p>
              </w:tc>
              <w:tc>
                <w:tcPr>
                  <w:tcW w:w="699" w:type="pct"/>
                  <w:tcBorders>
                    <w:tl2br w:val="nil"/>
                    <w:tr2bl w:val="nil"/>
                  </w:tcBorders>
                  <w:noWrap w:val="0"/>
                  <w:vAlign w:val="center"/>
                </w:tcPr>
                <w:p w14:paraId="3977853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11:00</w:t>
                  </w:r>
                </w:p>
              </w:tc>
              <w:tc>
                <w:tcPr>
                  <w:tcW w:w="487" w:type="pct"/>
                  <w:tcBorders>
                    <w:tl2br w:val="nil"/>
                    <w:tr2bl w:val="nil"/>
                  </w:tcBorders>
                  <w:noWrap w:val="0"/>
                  <w:vAlign w:val="center"/>
                </w:tcPr>
                <w:p w14:paraId="6AFB0FC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0.09</w:t>
                  </w:r>
                </w:p>
              </w:tc>
              <w:tc>
                <w:tcPr>
                  <w:tcW w:w="611" w:type="pct"/>
                  <w:tcBorders>
                    <w:tl2br w:val="nil"/>
                    <w:tr2bl w:val="nil"/>
                  </w:tcBorders>
                  <w:noWrap w:val="0"/>
                  <w:vAlign w:val="center"/>
                </w:tcPr>
                <w:p w14:paraId="183F0D8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0.004</w:t>
                  </w:r>
                </w:p>
              </w:tc>
              <w:tc>
                <w:tcPr>
                  <w:tcW w:w="687" w:type="pct"/>
                  <w:tcBorders>
                    <w:tl2br w:val="nil"/>
                    <w:tr2bl w:val="nil"/>
                  </w:tcBorders>
                  <w:noWrap w:val="0"/>
                  <w:vAlign w:val="center"/>
                </w:tcPr>
                <w:p w14:paraId="02DA2C6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11:04</w:t>
                  </w:r>
                </w:p>
              </w:tc>
              <w:tc>
                <w:tcPr>
                  <w:tcW w:w="759" w:type="pct"/>
                  <w:tcBorders>
                    <w:tl2br w:val="nil"/>
                    <w:tr2bl w:val="nil"/>
                  </w:tcBorders>
                  <w:noWrap w:val="0"/>
                  <w:vAlign w:val="center"/>
                </w:tcPr>
                <w:p w14:paraId="3C4E207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2.20×10</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-4</w:t>
                  </w:r>
                </w:p>
              </w:tc>
            </w:tr>
            <w:tr w14:paraId="51703D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98" w:type="pct"/>
                  <w:vMerge w:val="continue"/>
                  <w:tcBorders>
                    <w:tl2br w:val="nil"/>
                    <w:tr2bl w:val="nil"/>
                  </w:tcBorders>
                  <w:noWrap w:val="0"/>
                  <w:vAlign w:val="center"/>
                </w:tcPr>
                <w:p w14:paraId="346462FD">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757" w:type="pct"/>
                  <w:vMerge w:val="continue"/>
                  <w:tcBorders>
                    <w:tl2br w:val="nil"/>
                    <w:tr2bl w:val="nil"/>
                  </w:tcBorders>
                  <w:noWrap w:val="0"/>
                  <w:vAlign w:val="center"/>
                </w:tcPr>
                <w:p w14:paraId="550177C9">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699" w:type="pct"/>
                  <w:tcBorders>
                    <w:tl2br w:val="nil"/>
                    <w:tr2bl w:val="nil"/>
                  </w:tcBorders>
                  <w:noWrap w:val="0"/>
                  <w:vAlign w:val="center"/>
                </w:tcPr>
                <w:p w14:paraId="49726B8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12:00</w:t>
                  </w:r>
                </w:p>
              </w:tc>
              <w:tc>
                <w:tcPr>
                  <w:tcW w:w="487" w:type="pct"/>
                  <w:tcBorders>
                    <w:tl2br w:val="nil"/>
                    <w:tr2bl w:val="nil"/>
                  </w:tcBorders>
                  <w:noWrap w:val="0"/>
                  <w:vAlign w:val="center"/>
                </w:tcPr>
                <w:p w14:paraId="696F7F1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0.11</w:t>
                  </w:r>
                </w:p>
              </w:tc>
              <w:tc>
                <w:tcPr>
                  <w:tcW w:w="611" w:type="pct"/>
                  <w:tcBorders>
                    <w:tl2br w:val="nil"/>
                    <w:tr2bl w:val="nil"/>
                  </w:tcBorders>
                  <w:noWrap w:val="0"/>
                  <w:vAlign w:val="center"/>
                </w:tcPr>
                <w:p w14:paraId="10FA5EA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0.005</w:t>
                  </w:r>
                </w:p>
              </w:tc>
              <w:tc>
                <w:tcPr>
                  <w:tcW w:w="687" w:type="pct"/>
                  <w:tcBorders>
                    <w:tl2br w:val="nil"/>
                    <w:tr2bl w:val="nil"/>
                  </w:tcBorders>
                  <w:noWrap w:val="0"/>
                  <w:vAlign w:val="center"/>
                </w:tcPr>
                <w:p w14:paraId="76490AA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12:02</w:t>
                  </w:r>
                </w:p>
              </w:tc>
              <w:tc>
                <w:tcPr>
                  <w:tcW w:w="759" w:type="pct"/>
                  <w:tcBorders>
                    <w:tl2br w:val="nil"/>
                    <w:tr2bl w:val="nil"/>
                  </w:tcBorders>
                  <w:noWrap w:val="0"/>
                  <w:vAlign w:val="center"/>
                </w:tcPr>
                <w:p w14:paraId="25F8166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2.11×</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-4</w:t>
                  </w:r>
                </w:p>
              </w:tc>
            </w:tr>
            <w:tr w14:paraId="589094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98" w:type="pct"/>
                  <w:vMerge w:val="continue"/>
                  <w:tcBorders>
                    <w:tl2br w:val="nil"/>
                    <w:tr2bl w:val="nil"/>
                  </w:tcBorders>
                  <w:noWrap w:val="0"/>
                  <w:vAlign w:val="center"/>
                </w:tcPr>
                <w:p w14:paraId="24E8E277">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757" w:type="pct"/>
                  <w:vMerge w:val="continue"/>
                  <w:tcBorders>
                    <w:tl2br w:val="nil"/>
                    <w:tr2bl w:val="nil"/>
                  </w:tcBorders>
                  <w:noWrap w:val="0"/>
                  <w:vAlign w:val="center"/>
                </w:tcPr>
                <w:p w14:paraId="1C94089B">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699" w:type="pct"/>
                  <w:tcBorders>
                    <w:tl2br w:val="nil"/>
                    <w:tr2bl w:val="nil"/>
                  </w:tcBorders>
                  <w:noWrap w:val="0"/>
                  <w:vAlign w:val="center"/>
                </w:tcPr>
                <w:p w14:paraId="1B1CE1A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13:00</w:t>
                  </w:r>
                </w:p>
              </w:tc>
              <w:tc>
                <w:tcPr>
                  <w:tcW w:w="487" w:type="pct"/>
                  <w:tcBorders>
                    <w:tl2br w:val="nil"/>
                    <w:tr2bl w:val="nil"/>
                  </w:tcBorders>
                  <w:noWrap w:val="0"/>
                  <w:vAlign w:val="center"/>
                </w:tcPr>
                <w:p w14:paraId="4D734DA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0.10</w:t>
                  </w:r>
                </w:p>
              </w:tc>
              <w:tc>
                <w:tcPr>
                  <w:tcW w:w="611" w:type="pct"/>
                  <w:tcBorders>
                    <w:tl2br w:val="nil"/>
                    <w:tr2bl w:val="nil"/>
                  </w:tcBorders>
                  <w:noWrap w:val="0"/>
                  <w:vAlign w:val="center"/>
                </w:tcPr>
                <w:p w14:paraId="2147E05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0.004</w:t>
                  </w:r>
                </w:p>
              </w:tc>
              <w:tc>
                <w:tcPr>
                  <w:tcW w:w="687" w:type="pct"/>
                  <w:tcBorders>
                    <w:tl2br w:val="nil"/>
                    <w:tr2bl w:val="nil"/>
                  </w:tcBorders>
                  <w:noWrap w:val="0"/>
                  <w:vAlign w:val="center"/>
                </w:tcPr>
                <w:p w14:paraId="57911E8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13:02</w:t>
                  </w:r>
                </w:p>
              </w:tc>
              <w:tc>
                <w:tcPr>
                  <w:tcW w:w="759" w:type="pct"/>
                  <w:tcBorders>
                    <w:tl2br w:val="nil"/>
                    <w:tr2bl w:val="nil"/>
                  </w:tcBorders>
                  <w:noWrap w:val="0"/>
                  <w:vAlign w:val="center"/>
                </w:tcPr>
                <w:p w14:paraId="2479814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2.79×</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-4</w:t>
                  </w:r>
                </w:p>
              </w:tc>
            </w:tr>
            <w:tr w14:paraId="0EF1CC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98" w:type="pct"/>
                  <w:vMerge w:val="restart"/>
                  <w:tcBorders>
                    <w:tl2br w:val="nil"/>
                    <w:tr2bl w:val="nil"/>
                  </w:tcBorders>
                  <w:noWrap w:val="0"/>
                  <w:vAlign w:val="center"/>
                </w:tcPr>
                <w:p w14:paraId="1ADB1D6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厂界东南</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下风向</w:t>
                  </w:r>
                  <w:r>
                    <w:rPr>
                      <w:rFonts w:hint="eastAsia" w:eastAsia="宋体" w:cs="Times New Roman"/>
                      <w:color w:val="000000" w:themeColor="text1"/>
                      <w:sz w:val="21"/>
                      <w:szCs w:val="21"/>
                      <w:highlight w:val="none"/>
                      <w:lang w:val="en-US" w:eastAsia="zh-CN" w:bidi="ar"/>
                      <w14:textFill>
                        <w14:solidFill>
                          <w14:schemeClr w14:val="tx1"/>
                        </w14:solidFill>
                      </w14:textFill>
                    </w:rPr>
                    <w:t>）</w:t>
                  </w:r>
                </w:p>
              </w:tc>
              <w:tc>
                <w:tcPr>
                  <w:tcW w:w="757" w:type="pct"/>
                  <w:vMerge w:val="restart"/>
                  <w:tcBorders>
                    <w:tl2br w:val="nil"/>
                    <w:tr2bl w:val="nil"/>
                  </w:tcBorders>
                  <w:noWrap w:val="0"/>
                  <w:vAlign w:val="center"/>
                </w:tcPr>
                <w:p w14:paraId="6FF4A61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2025.11.11</w:t>
                  </w:r>
                </w:p>
              </w:tc>
              <w:tc>
                <w:tcPr>
                  <w:tcW w:w="699" w:type="pct"/>
                  <w:tcBorders>
                    <w:tl2br w:val="nil"/>
                    <w:tr2bl w:val="nil"/>
                  </w:tcBorders>
                  <w:noWrap w:val="0"/>
                  <w:vAlign w:val="center"/>
                </w:tcPr>
                <w:p w14:paraId="2A7B824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11:00</w:t>
                  </w:r>
                </w:p>
              </w:tc>
              <w:tc>
                <w:tcPr>
                  <w:tcW w:w="487" w:type="pct"/>
                  <w:tcBorders>
                    <w:tl2br w:val="nil"/>
                    <w:tr2bl w:val="nil"/>
                  </w:tcBorders>
                  <w:noWrap w:val="0"/>
                  <w:vAlign w:val="center"/>
                </w:tcPr>
                <w:p w14:paraId="585EC6C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0.13</w:t>
                  </w:r>
                </w:p>
              </w:tc>
              <w:tc>
                <w:tcPr>
                  <w:tcW w:w="611" w:type="pct"/>
                  <w:tcBorders>
                    <w:tl2br w:val="nil"/>
                    <w:tr2bl w:val="nil"/>
                  </w:tcBorders>
                  <w:noWrap w:val="0"/>
                  <w:vAlign w:val="center"/>
                </w:tcPr>
                <w:p w14:paraId="5D3ADD2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0.006</w:t>
                  </w:r>
                </w:p>
              </w:tc>
              <w:tc>
                <w:tcPr>
                  <w:tcW w:w="687" w:type="pct"/>
                  <w:tcBorders>
                    <w:tl2br w:val="nil"/>
                    <w:tr2bl w:val="nil"/>
                  </w:tcBorders>
                  <w:noWrap w:val="0"/>
                  <w:vAlign w:val="center"/>
                </w:tcPr>
                <w:p w14:paraId="19D9888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11:18</w:t>
                  </w:r>
                </w:p>
              </w:tc>
              <w:tc>
                <w:tcPr>
                  <w:tcW w:w="759" w:type="pct"/>
                  <w:tcBorders>
                    <w:tl2br w:val="nil"/>
                    <w:tr2bl w:val="nil"/>
                  </w:tcBorders>
                  <w:noWrap w:val="0"/>
                  <w:vAlign w:val="center"/>
                </w:tcPr>
                <w:p w14:paraId="2B76F6D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2.24×</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-4</w:t>
                  </w:r>
                </w:p>
              </w:tc>
            </w:tr>
            <w:tr w14:paraId="7B380E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98" w:type="pct"/>
                  <w:vMerge w:val="continue"/>
                  <w:tcBorders>
                    <w:tl2br w:val="nil"/>
                    <w:tr2bl w:val="nil"/>
                  </w:tcBorders>
                  <w:noWrap w:val="0"/>
                  <w:vAlign w:val="center"/>
                </w:tcPr>
                <w:p w14:paraId="727ED332">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757" w:type="pct"/>
                  <w:vMerge w:val="continue"/>
                  <w:tcBorders>
                    <w:tl2br w:val="nil"/>
                    <w:tr2bl w:val="nil"/>
                  </w:tcBorders>
                  <w:noWrap w:val="0"/>
                  <w:vAlign w:val="center"/>
                </w:tcPr>
                <w:p w14:paraId="0CB1E12E">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699" w:type="pct"/>
                  <w:tcBorders>
                    <w:tl2br w:val="nil"/>
                    <w:tr2bl w:val="nil"/>
                  </w:tcBorders>
                  <w:noWrap w:val="0"/>
                  <w:vAlign w:val="center"/>
                </w:tcPr>
                <w:p w14:paraId="44F82E3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12:00</w:t>
                  </w:r>
                </w:p>
              </w:tc>
              <w:tc>
                <w:tcPr>
                  <w:tcW w:w="487" w:type="pct"/>
                  <w:tcBorders>
                    <w:tl2br w:val="nil"/>
                    <w:tr2bl w:val="nil"/>
                  </w:tcBorders>
                  <w:noWrap w:val="0"/>
                  <w:vAlign w:val="center"/>
                </w:tcPr>
                <w:p w14:paraId="68A3460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0.16</w:t>
                  </w:r>
                </w:p>
              </w:tc>
              <w:tc>
                <w:tcPr>
                  <w:tcW w:w="611" w:type="pct"/>
                  <w:tcBorders>
                    <w:tl2br w:val="nil"/>
                    <w:tr2bl w:val="nil"/>
                  </w:tcBorders>
                  <w:noWrap w:val="0"/>
                  <w:vAlign w:val="center"/>
                </w:tcPr>
                <w:p w14:paraId="495B968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0.007</w:t>
                  </w:r>
                </w:p>
              </w:tc>
              <w:tc>
                <w:tcPr>
                  <w:tcW w:w="687" w:type="pct"/>
                  <w:tcBorders>
                    <w:tl2br w:val="nil"/>
                    <w:tr2bl w:val="nil"/>
                  </w:tcBorders>
                  <w:noWrap w:val="0"/>
                  <w:vAlign w:val="center"/>
                </w:tcPr>
                <w:p w14:paraId="11BE2EC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12:15</w:t>
                  </w:r>
                </w:p>
              </w:tc>
              <w:tc>
                <w:tcPr>
                  <w:tcW w:w="759" w:type="pct"/>
                  <w:tcBorders>
                    <w:tl2br w:val="nil"/>
                    <w:tr2bl w:val="nil"/>
                  </w:tcBorders>
                  <w:noWrap w:val="0"/>
                  <w:vAlign w:val="center"/>
                </w:tcPr>
                <w:p w14:paraId="7D4F3BC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2.28×</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-4</w:t>
                  </w:r>
                </w:p>
              </w:tc>
            </w:tr>
            <w:tr w14:paraId="1CA091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98" w:type="pct"/>
                  <w:vMerge w:val="continue"/>
                  <w:tcBorders>
                    <w:tl2br w:val="nil"/>
                    <w:tr2bl w:val="nil"/>
                  </w:tcBorders>
                  <w:noWrap w:val="0"/>
                  <w:vAlign w:val="center"/>
                </w:tcPr>
                <w:p w14:paraId="5AB9AA67">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757" w:type="pct"/>
                  <w:vMerge w:val="continue"/>
                  <w:tcBorders>
                    <w:tl2br w:val="nil"/>
                    <w:tr2bl w:val="nil"/>
                  </w:tcBorders>
                  <w:noWrap w:val="0"/>
                  <w:vAlign w:val="center"/>
                </w:tcPr>
                <w:p w14:paraId="0ADEA0DB">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699" w:type="pct"/>
                  <w:tcBorders>
                    <w:tl2br w:val="nil"/>
                    <w:tr2bl w:val="nil"/>
                  </w:tcBorders>
                  <w:noWrap w:val="0"/>
                  <w:vAlign w:val="center"/>
                </w:tcPr>
                <w:p w14:paraId="553890C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13:00</w:t>
                  </w:r>
                </w:p>
              </w:tc>
              <w:tc>
                <w:tcPr>
                  <w:tcW w:w="487" w:type="pct"/>
                  <w:tcBorders>
                    <w:tl2br w:val="nil"/>
                    <w:tr2bl w:val="nil"/>
                  </w:tcBorders>
                  <w:noWrap w:val="0"/>
                  <w:vAlign w:val="center"/>
                </w:tcPr>
                <w:p w14:paraId="7D2082B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0.14</w:t>
                  </w:r>
                </w:p>
              </w:tc>
              <w:tc>
                <w:tcPr>
                  <w:tcW w:w="611" w:type="pct"/>
                  <w:tcBorders>
                    <w:tl2br w:val="nil"/>
                    <w:tr2bl w:val="nil"/>
                  </w:tcBorders>
                  <w:noWrap w:val="0"/>
                  <w:vAlign w:val="center"/>
                </w:tcPr>
                <w:p w14:paraId="3376375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0.006</w:t>
                  </w:r>
                </w:p>
              </w:tc>
              <w:tc>
                <w:tcPr>
                  <w:tcW w:w="687" w:type="pct"/>
                  <w:tcBorders>
                    <w:tl2br w:val="nil"/>
                    <w:tr2bl w:val="nil"/>
                  </w:tcBorders>
                  <w:noWrap w:val="0"/>
                  <w:vAlign w:val="center"/>
                </w:tcPr>
                <w:p w14:paraId="5DCB7D3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13:16</w:t>
                  </w:r>
                </w:p>
              </w:tc>
              <w:tc>
                <w:tcPr>
                  <w:tcW w:w="759" w:type="pct"/>
                  <w:tcBorders>
                    <w:tl2br w:val="nil"/>
                    <w:tr2bl w:val="nil"/>
                  </w:tcBorders>
                  <w:noWrap w:val="0"/>
                  <w:vAlign w:val="center"/>
                </w:tcPr>
                <w:p w14:paraId="757A2F7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2.18×</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-4</w:t>
                  </w:r>
                </w:p>
              </w:tc>
            </w:tr>
            <w:tr w14:paraId="2987CE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98" w:type="pct"/>
                  <w:vMerge w:val="restart"/>
                  <w:tcBorders>
                    <w:tl2br w:val="nil"/>
                    <w:tr2bl w:val="nil"/>
                  </w:tcBorders>
                  <w:noWrap w:val="0"/>
                  <w:vAlign w:val="center"/>
                </w:tcPr>
                <w:p w14:paraId="3FD5DF4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厂界南</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下风向</w:t>
                  </w:r>
                  <w:r>
                    <w:rPr>
                      <w:rFonts w:hint="eastAsia" w:eastAsia="宋体" w:cs="Times New Roman"/>
                      <w:color w:val="000000" w:themeColor="text1"/>
                      <w:sz w:val="21"/>
                      <w:szCs w:val="21"/>
                      <w:highlight w:val="none"/>
                      <w:lang w:val="en-US" w:eastAsia="zh-CN" w:bidi="ar"/>
                      <w14:textFill>
                        <w14:solidFill>
                          <w14:schemeClr w14:val="tx1"/>
                        </w14:solidFill>
                      </w14:textFill>
                    </w:rPr>
                    <w:t>）</w:t>
                  </w:r>
                </w:p>
              </w:tc>
              <w:tc>
                <w:tcPr>
                  <w:tcW w:w="757" w:type="pct"/>
                  <w:vMerge w:val="restart"/>
                  <w:tcBorders>
                    <w:tl2br w:val="nil"/>
                    <w:tr2bl w:val="nil"/>
                  </w:tcBorders>
                  <w:noWrap w:val="0"/>
                  <w:vAlign w:val="center"/>
                </w:tcPr>
                <w:p w14:paraId="083FCE8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2025.11.11</w:t>
                  </w:r>
                </w:p>
              </w:tc>
              <w:tc>
                <w:tcPr>
                  <w:tcW w:w="699" w:type="pct"/>
                  <w:tcBorders>
                    <w:tl2br w:val="nil"/>
                    <w:tr2bl w:val="nil"/>
                  </w:tcBorders>
                  <w:noWrap w:val="0"/>
                  <w:vAlign w:val="center"/>
                </w:tcPr>
                <w:p w14:paraId="3BFD5EC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11:00</w:t>
                  </w:r>
                </w:p>
              </w:tc>
              <w:tc>
                <w:tcPr>
                  <w:tcW w:w="487" w:type="pct"/>
                  <w:tcBorders>
                    <w:tl2br w:val="nil"/>
                    <w:tr2bl w:val="nil"/>
                  </w:tcBorders>
                  <w:noWrap w:val="0"/>
                  <w:vAlign w:val="center"/>
                </w:tcPr>
                <w:p w14:paraId="4396FBC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0.15</w:t>
                  </w:r>
                </w:p>
              </w:tc>
              <w:tc>
                <w:tcPr>
                  <w:tcW w:w="611" w:type="pct"/>
                  <w:tcBorders>
                    <w:tl2br w:val="nil"/>
                    <w:tr2bl w:val="nil"/>
                  </w:tcBorders>
                  <w:noWrap w:val="0"/>
                  <w:vAlign w:val="center"/>
                </w:tcPr>
                <w:p w14:paraId="7FAC41D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0.012</w:t>
                  </w:r>
                </w:p>
              </w:tc>
              <w:tc>
                <w:tcPr>
                  <w:tcW w:w="687" w:type="pct"/>
                  <w:tcBorders>
                    <w:tl2br w:val="nil"/>
                    <w:tr2bl w:val="nil"/>
                  </w:tcBorders>
                  <w:noWrap w:val="0"/>
                  <w:vAlign w:val="center"/>
                </w:tcPr>
                <w:p w14:paraId="7CCD29A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11:32</w:t>
                  </w:r>
                </w:p>
              </w:tc>
              <w:tc>
                <w:tcPr>
                  <w:tcW w:w="759" w:type="pct"/>
                  <w:tcBorders>
                    <w:tl2br w:val="nil"/>
                    <w:tr2bl w:val="nil"/>
                  </w:tcBorders>
                  <w:noWrap w:val="0"/>
                  <w:vAlign w:val="center"/>
                </w:tcPr>
                <w:p w14:paraId="751E79B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2.39×</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-4</w:t>
                  </w:r>
                </w:p>
              </w:tc>
            </w:tr>
            <w:tr w14:paraId="2FCEF7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98" w:type="pct"/>
                  <w:vMerge w:val="continue"/>
                  <w:tcBorders>
                    <w:tl2br w:val="nil"/>
                    <w:tr2bl w:val="nil"/>
                  </w:tcBorders>
                  <w:noWrap w:val="0"/>
                  <w:vAlign w:val="center"/>
                </w:tcPr>
                <w:p w14:paraId="4E2FFC7E">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757" w:type="pct"/>
                  <w:vMerge w:val="continue"/>
                  <w:tcBorders>
                    <w:tl2br w:val="nil"/>
                    <w:tr2bl w:val="nil"/>
                  </w:tcBorders>
                  <w:noWrap w:val="0"/>
                  <w:vAlign w:val="center"/>
                </w:tcPr>
                <w:p w14:paraId="25277A58">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699" w:type="pct"/>
                  <w:tcBorders>
                    <w:tl2br w:val="nil"/>
                    <w:tr2bl w:val="nil"/>
                  </w:tcBorders>
                  <w:noWrap w:val="0"/>
                  <w:vAlign w:val="center"/>
                </w:tcPr>
                <w:p w14:paraId="661BBE2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12:00</w:t>
                  </w:r>
                </w:p>
              </w:tc>
              <w:tc>
                <w:tcPr>
                  <w:tcW w:w="487" w:type="pct"/>
                  <w:tcBorders>
                    <w:tl2br w:val="nil"/>
                    <w:tr2bl w:val="nil"/>
                  </w:tcBorders>
                  <w:noWrap w:val="0"/>
                  <w:vAlign w:val="center"/>
                </w:tcPr>
                <w:p w14:paraId="3FDA936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0.17</w:t>
                  </w:r>
                </w:p>
              </w:tc>
              <w:tc>
                <w:tcPr>
                  <w:tcW w:w="611" w:type="pct"/>
                  <w:tcBorders>
                    <w:tl2br w:val="nil"/>
                    <w:tr2bl w:val="nil"/>
                  </w:tcBorders>
                  <w:noWrap w:val="0"/>
                  <w:vAlign w:val="center"/>
                </w:tcPr>
                <w:p w14:paraId="51379A6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0.011</w:t>
                  </w:r>
                </w:p>
              </w:tc>
              <w:tc>
                <w:tcPr>
                  <w:tcW w:w="687" w:type="pct"/>
                  <w:tcBorders>
                    <w:tl2br w:val="nil"/>
                    <w:tr2bl w:val="nil"/>
                  </w:tcBorders>
                  <w:noWrap w:val="0"/>
                  <w:vAlign w:val="center"/>
                </w:tcPr>
                <w:p w14:paraId="1F4A21C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12:29</w:t>
                  </w:r>
                </w:p>
              </w:tc>
              <w:tc>
                <w:tcPr>
                  <w:tcW w:w="759" w:type="pct"/>
                  <w:tcBorders>
                    <w:tl2br w:val="nil"/>
                    <w:tr2bl w:val="nil"/>
                  </w:tcBorders>
                  <w:noWrap w:val="0"/>
                  <w:vAlign w:val="center"/>
                </w:tcPr>
                <w:p w14:paraId="3020DB8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2.49×</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-4</w:t>
                  </w:r>
                </w:p>
              </w:tc>
            </w:tr>
            <w:tr w14:paraId="66B8AD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98" w:type="pct"/>
                  <w:vMerge w:val="continue"/>
                  <w:tcBorders>
                    <w:tl2br w:val="nil"/>
                    <w:tr2bl w:val="nil"/>
                  </w:tcBorders>
                  <w:noWrap w:val="0"/>
                  <w:vAlign w:val="center"/>
                </w:tcPr>
                <w:p w14:paraId="5EF2C5DC">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757" w:type="pct"/>
                  <w:vMerge w:val="continue"/>
                  <w:tcBorders>
                    <w:tl2br w:val="nil"/>
                    <w:tr2bl w:val="nil"/>
                  </w:tcBorders>
                  <w:noWrap w:val="0"/>
                  <w:vAlign w:val="center"/>
                </w:tcPr>
                <w:p w14:paraId="3C3D410A">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699" w:type="pct"/>
                  <w:tcBorders>
                    <w:tl2br w:val="nil"/>
                    <w:tr2bl w:val="nil"/>
                  </w:tcBorders>
                  <w:noWrap w:val="0"/>
                  <w:vAlign w:val="center"/>
                </w:tcPr>
                <w:p w14:paraId="4B7A899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13:00</w:t>
                  </w:r>
                </w:p>
              </w:tc>
              <w:tc>
                <w:tcPr>
                  <w:tcW w:w="487" w:type="pct"/>
                  <w:tcBorders>
                    <w:tl2br w:val="nil"/>
                    <w:tr2bl w:val="nil"/>
                  </w:tcBorders>
                  <w:noWrap w:val="0"/>
                  <w:vAlign w:val="center"/>
                </w:tcPr>
                <w:p w14:paraId="1CA89EB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0.16</w:t>
                  </w:r>
                </w:p>
              </w:tc>
              <w:tc>
                <w:tcPr>
                  <w:tcW w:w="611" w:type="pct"/>
                  <w:tcBorders>
                    <w:tl2br w:val="nil"/>
                    <w:tr2bl w:val="nil"/>
                  </w:tcBorders>
                  <w:noWrap w:val="0"/>
                  <w:vAlign w:val="center"/>
                </w:tcPr>
                <w:p w14:paraId="23B7595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0.011</w:t>
                  </w:r>
                </w:p>
              </w:tc>
              <w:tc>
                <w:tcPr>
                  <w:tcW w:w="687" w:type="pct"/>
                  <w:tcBorders>
                    <w:tl2br w:val="nil"/>
                    <w:tr2bl w:val="nil"/>
                  </w:tcBorders>
                  <w:noWrap w:val="0"/>
                  <w:vAlign w:val="center"/>
                </w:tcPr>
                <w:p w14:paraId="04CC33C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13:30</w:t>
                  </w:r>
                </w:p>
              </w:tc>
              <w:tc>
                <w:tcPr>
                  <w:tcW w:w="759" w:type="pct"/>
                  <w:tcBorders>
                    <w:tl2br w:val="nil"/>
                    <w:tr2bl w:val="nil"/>
                  </w:tcBorders>
                  <w:noWrap w:val="0"/>
                  <w:vAlign w:val="center"/>
                </w:tcPr>
                <w:p w14:paraId="5D1E01E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2.38×</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-4</w:t>
                  </w:r>
                </w:p>
              </w:tc>
            </w:tr>
            <w:tr w14:paraId="2885A4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98" w:type="pct"/>
                  <w:vMerge w:val="restart"/>
                  <w:tcBorders>
                    <w:tl2br w:val="nil"/>
                    <w:tr2bl w:val="nil"/>
                  </w:tcBorders>
                  <w:noWrap w:val="0"/>
                  <w:vAlign w:val="center"/>
                </w:tcPr>
                <w:p w14:paraId="497E5AE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厂界西南</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下风向</w:t>
                  </w:r>
                  <w:r>
                    <w:rPr>
                      <w:rFonts w:hint="eastAsia" w:eastAsia="宋体" w:cs="Times New Roman"/>
                      <w:color w:val="000000" w:themeColor="text1"/>
                      <w:sz w:val="21"/>
                      <w:szCs w:val="21"/>
                      <w:highlight w:val="none"/>
                      <w:lang w:val="en-US" w:eastAsia="zh-CN" w:bidi="ar"/>
                      <w14:textFill>
                        <w14:solidFill>
                          <w14:schemeClr w14:val="tx1"/>
                        </w14:solidFill>
                      </w14:textFill>
                    </w:rPr>
                    <w:t>）</w:t>
                  </w:r>
                </w:p>
              </w:tc>
              <w:tc>
                <w:tcPr>
                  <w:tcW w:w="757" w:type="pct"/>
                  <w:vMerge w:val="restart"/>
                  <w:tcBorders>
                    <w:tl2br w:val="nil"/>
                    <w:tr2bl w:val="nil"/>
                  </w:tcBorders>
                  <w:noWrap w:val="0"/>
                  <w:vAlign w:val="center"/>
                </w:tcPr>
                <w:p w14:paraId="58A2E00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2025.11.11</w:t>
                  </w:r>
                </w:p>
              </w:tc>
              <w:tc>
                <w:tcPr>
                  <w:tcW w:w="699" w:type="pct"/>
                  <w:tcBorders>
                    <w:tl2br w:val="nil"/>
                    <w:tr2bl w:val="nil"/>
                  </w:tcBorders>
                  <w:noWrap w:val="0"/>
                  <w:vAlign w:val="center"/>
                </w:tcPr>
                <w:p w14:paraId="1DD9644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11:00</w:t>
                  </w:r>
                </w:p>
              </w:tc>
              <w:tc>
                <w:tcPr>
                  <w:tcW w:w="487" w:type="pct"/>
                  <w:tcBorders>
                    <w:tl2br w:val="nil"/>
                    <w:tr2bl w:val="nil"/>
                  </w:tcBorders>
                  <w:noWrap w:val="0"/>
                  <w:vAlign w:val="center"/>
                </w:tcPr>
                <w:p w14:paraId="54939FB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0.20</w:t>
                  </w:r>
                </w:p>
              </w:tc>
              <w:tc>
                <w:tcPr>
                  <w:tcW w:w="611" w:type="pct"/>
                  <w:tcBorders>
                    <w:tl2br w:val="nil"/>
                    <w:tr2bl w:val="nil"/>
                  </w:tcBorders>
                  <w:noWrap w:val="0"/>
                  <w:vAlign w:val="center"/>
                </w:tcPr>
                <w:p w14:paraId="452F257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0.008</w:t>
                  </w:r>
                </w:p>
              </w:tc>
              <w:tc>
                <w:tcPr>
                  <w:tcW w:w="687" w:type="pct"/>
                  <w:tcBorders>
                    <w:tl2br w:val="nil"/>
                    <w:tr2bl w:val="nil"/>
                  </w:tcBorders>
                  <w:noWrap w:val="0"/>
                  <w:vAlign w:val="center"/>
                </w:tcPr>
                <w:p w14:paraId="3565D42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11:46</w:t>
                  </w:r>
                </w:p>
              </w:tc>
              <w:tc>
                <w:tcPr>
                  <w:tcW w:w="759" w:type="pct"/>
                  <w:tcBorders>
                    <w:tl2br w:val="nil"/>
                    <w:tr2bl w:val="nil"/>
                  </w:tcBorders>
                  <w:noWrap w:val="0"/>
                  <w:vAlign w:val="center"/>
                </w:tcPr>
                <w:p w14:paraId="7A9174F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2.53×</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-4</w:t>
                  </w:r>
                </w:p>
              </w:tc>
            </w:tr>
            <w:tr w14:paraId="353828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98" w:type="pct"/>
                  <w:vMerge w:val="continue"/>
                  <w:tcBorders>
                    <w:tl2br w:val="nil"/>
                    <w:tr2bl w:val="nil"/>
                  </w:tcBorders>
                  <w:noWrap w:val="0"/>
                  <w:vAlign w:val="center"/>
                </w:tcPr>
                <w:p w14:paraId="29EBF5DE">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757" w:type="pct"/>
                  <w:vMerge w:val="continue"/>
                  <w:tcBorders>
                    <w:tl2br w:val="nil"/>
                    <w:tr2bl w:val="nil"/>
                  </w:tcBorders>
                  <w:noWrap w:val="0"/>
                  <w:vAlign w:val="center"/>
                </w:tcPr>
                <w:p w14:paraId="7AE00EF8">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699" w:type="pct"/>
                  <w:tcBorders>
                    <w:tl2br w:val="nil"/>
                    <w:tr2bl w:val="nil"/>
                  </w:tcBorders>
                  <w:noWrap w:val="0"/>
                  <w:vAlign w:val="center"/>
                </w:tcPr>
                <w:p w14:paraId="70C6AB6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12:00</w:t>
                  </w:r>
                </w:p>
              </w:tc>
              <w:tc>
                <w:tcPr>
                  <w:tcW w:w="487" w:type="pct"/>
                  <w:tcBorders>
                    <w:tl2br w:val="nil"/>
                    <w:tr2bl w:val="nil"/>
                  </w:tcBorders>
                  <w:noWrap w:val="0"/>
                  <w:vAlign w:val="center"/>
                </w:tcPr>
                <w:p w14:paraId="04B84F3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0.22</w:t>
                  </w:r>
                </w:p>
              </w:tc>
              <w:tc>
                <w:tcPr>
                  <w:tcW w:w="611" w:type="pct"/>
                  <w:tcBorders>
                    <w:tl2br w:val="nil"/>
                    <w:tr2bl w:val="nil"/>
                  </w:tcBorders>
                  <w:noWrap w:val="0"/>
                  <w:vAlign w:val="center"/>
                </w:tcPr>
                <w:p w14:paraId="4F53756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0.008</w:t>
                  </w:r>
                </w:p>
              </w:tc>
              <w:tc>
                <w:tcPr>
                  <w:tcW w:w="687" w:type="pct"/>
                  <w:tcBorders>
                    <w:tl2br w:val="nil"/>
                    <w:tr2bl w:val="nil"/>
                  </w:tcBorders>
                  <w:noWrap w:val="0"/>
                  <w:vAlign w:val="center"/>
                </w:tcPr>
                <w:p w14:paraId="27A5C41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12:42</w:t>
                  </w:r>
                </w:p>
              </w:tc>
              <w:tc>
                <w:tcPr>
                  <w:tcW w:w="759" w:type="pct"/>
                  <w:tcBorders>
                    <w:tl2br w:val="nil"/>
                    <w:tr2bl w:val="nil"/>
                  </w:tcBorders>
                  <w:noWrap w:val="0"/>
                  <w:vAlign w:val="center"/>
                </w:tcPr>
                <w:p w14:paraId="48EC332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2.28×</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-4</w:t>
                  </w:r>
                </w:p>
              </w:tc>
            </w:tr>
            <w:tr w14:paraId="2BC33E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98" w:type="pct"/>
                  <w:vMerge w:val="continue"/>
                  <w:tcBorders>
                    <w:tl2br w:val="nil"/>
                    <w:tr2bl w:val="nil"/>
                  </w:tcBorders>
                  <w:noWrap w:val="0"/>
                  <w:vAlign w:val="center"/>
                </w:tcPr>
                <w:p w14:paraId="6DCF9E62">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757" w:type="pct"/>
                  <w:vMerge w:val="continue"/>
                  <w:tcBorders>
                    <w:tl2br w:val="nil"/>
                    <w:tr2bl w:val="nil"/>
                  </w:tcBorders>
                  <w:noWrap w:val="0"/>
                  <w:vAlign w:val="center"/>
                </w:tcPr>
                <w:p w14:paraId="31E4DAFF">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p>
              </w:tc>
              <w:tc>
                <w:tcPr>
                  <w:tcW w:w="699" w:type="pct"/>
                  <w:tcBorders>
                    <w:tl2br w:val="nil"/>
                    <w:tr2bl w:val="nil"/>
                  </w:tcBorders>
                  <w:noWrap w:val="0"/>
                  <w:vAlign w:val="center"/>
                </w:tcPr>
                <w:p w14:paraId="72F896E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13:00</w:t>
                  </w:r>
                </w:p>
              </w:tc>
              <w:tc>
                <w:tcPr>
                  <w:tcW w:w="487" w:type="pct"/>
                  <w:tcBorders>
                    <w:tl2br w:val="nil"/>
                    <w:tr2bl w:val="nil"/>
                  </w:tcBorders>
                  <w:noWrap w:val="0"/>
                  <w:vAlign w:val="center"/>
                </w:tcPr>
                <w:p w14:paraId="2FBB00C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0.21</w:t>
                  </w:r>
                </w:p>
              </w:tc>
              <w:tc>
                <w:tcPr>
                  <w:tcW w:w="611" w:type="pct"/>
                  <w:tcBorders>
                    <w:tl2br w:val="nil"/>
                    <w:tr2bl w:val="nil"/>
                  </w:tcBorders>
                  <w:noWrap w:val="0"/>
                  <w:vAlign w:val="center"/>
                </w:tcPr>
                <w:p w14:paraId="6756D84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0.009</w:t>
                  </w:r>
                </w:p>
              </w:tc>
              <w:tc>
                <w:tcPr>
                  <w:tcW w:w="687" w:type="pct"/>
                  <w:tcBorders>
                    <w:tl2br w:val="nil"/>
                    <w:tr2bl w:val="nil"/>
                  </w:tcBorders>
                  <w:noWrap w:val="0"/>
                  <w:vAlign w:val="center"/>
                </w:tcPr>
                <w:p w14:paraId="6F51859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12:44</w:t>
                  </w:r>
                </w:p>
              </w:tc>
              <w:tc>
                <w:tcPr>
                  <w:tcW w:w="759" w:type="pct"/>
                  <w:tcBorders>
                    <w:tl2br w:val="nil"/>
                    <w:tr2bl w:val="nil"/>
                  </w:tcBorders>
                  <w:noWrap w:val="0"/>
                  <w:vAlign w:val="center"/>
                </w:tcPr>
                <w:p w14:paraId="348D533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2.38×</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-4</w:t>
                  </w:r>
                </w:p>
              </w:tc>
            </w:tr>
            <w:tr w14:paraId="74979C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2454" w:type="pct"/>
                  <w:gridSpan w:val="3"/>
                  <w:tcBorders>
                    <w:tl2br w:val="nil"/>
                    <w:tr2bl w:val="nil"/>
                  </w:tcBorders>
                  <w:noWrap w:val="0"/>
                  <w:vAlign w:val="center"/>
                </w:tcPr>
                <w:p w14:paraId="3457CA4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最大值</w:t>
                  </w:r>
                </w:p>
              </w:tc>
              <w:tc>
                <w:tcPr>
                  <w:tcW w:w="487" w:type="pct"/>
                  <w:tcBorders>
                    <w:tl2br w:val="nil"/>
                    <w:tr2bl w:val="nil"/>
                  </w:tcBorders>
                  <w:noWrap w:val="0"/>
                  <w:vAlign w:val="center"/>
                </w:tcPr>
                <w:p w14:paraId="655956D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0.21</w:t>
                  </w:r>
                </w:p>
              </w:tc>
              <w:tc>
                <w:tcPr>
                  <w:tcW w:w="611" w:type="pct"/>
                  <w:tcBorders>
                    <w:tl2br w:val="nil"/>
                    <w:tr2bl w:val="nil"/>
                  </w:tcBorders>
                  <w:noWrap w:val="0"/>
                  <w:vAlign w:val="center"/>
                </w:tcPr>
                <w:p w14:paraId="244FFFB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0.012</w:t>
                  </w:r>
                </w:p>
              </w:tc>
              <w:tc>
                <w:tcPr>
                  <w:tcW w:w="687" w:type="pct"/>
                  <w:tcBorders>
                    <w:tl2br w:val="nil"/>
                    <w:tr2bl w:val="nil"/>
                  </w:tcBorders>
                  <w:noWrap w:val="0"/>
                  <w:vAlign w:val="center"/>
                </w:tcPr>
                <w:p w14:paraId="588604B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759" w:type="pct"/>
                  <w:tcBorders>
                    <w:tl2br w:val="nil"/>
                    <w:tr2bl w:val="nil"/>
                  </w:tcBorders>
                  <w:noWrap w:val="0"/>
                  <w:vAlign w:val="center"/>
                </w:tcPr>
                <w:p w14:paraId="6311893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2.79×</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-4</w:t>
                  </w:r>
                </w:p>
              </w:tc>
            </w:tr>
            <w:tr w14:paraId="4E7197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2454" w:type="pct"/>
                  <w:gridSpan w:val="3"/>
                  <w:tcBorders>
                    <w:tl2br w:val="nil"/>
                    <w:tr2bl w:val="nil"/>
                  </w:tcBorders>
                  <w:noWrap w:val="0"/>
                  <w:vAlign w:val="center"/>
                </w:tcPr>
                <w:p w14:paraId="28E7A2F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《城镇污水处理厂污染物排放标准》</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GB18918-2002</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表</w:t>
                  </w:r>
                  <w:r>
                    <w:rPr>
                      <w:rFonts w:hint="eastAsia" w:eastAsia="宋体" w:cs="Times New Roman"/>
                      <w:color w:val="000000" w:themeColor="text1"/>
                      <w:sz w:val="21"/>
                      <w:szCs w:val="21"/>
                      <w:highlight w:val="none"/>
                      <w:lang w:val="en-US" w:eastAsia="zh-CN" w:bidi="ar"/>
                      <w14:textFill>
                        <w14:solidFill>
                          <w14:schemeClr w14:val="tx1"/>
                        </w14:solidFill>
                      </w14:textFill>
                    </w:rPr>
                    <w:t>4</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二级标准</w:t>
                  </w:r>
                </w:p>
              </w:tc>
              <w:tc>
                <w:tcPr>
                  <w:tcW w:w="487" w:type="pct"/>
                  <w:tcBorders>
                    <w:tl2br w:val="nil"/>
                    <w:tr2bl w:val="nil"/>
                  </w:tcBorders>
                  <w:noWrap w:val="0"/>
                  <w:vAlign w:val="center"/>
                </w:tcPr>
                <w:p w14:paraId="58D7B63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w:t>
                  </w:r>
                </w:p>
              </w:tc>
              <w:tc>
                <w:tcPr>
                  <w:tcW w:w="611" w:type="pct"/>
                  <w:tcBorders>
                    <w:tl2br w:val="nil"/>
                    <w:tr2bl w:val="nil"/>
                  </w:tcBorders>
                  <w:noWrap w:val="0"/>
                  <w:vAlign w:val="center"/>
                </w:tcPr>
                <w:p w14:paraId="0CFCBD0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0.06</w:t>
                  </w:r>
                </w:p>
              </w:tc>
              <w:tc>
                <w:tcPr>
                  <w:tcW w:w="687" w:type="pct"/>
                  <w:tcBorders>
                    <w:tl2br w:val="nil"/>
                    <w:tr2bl w:val="nil"/>
                  </w:tcBorders>
                  <w:noWrap w:val="0"/>
                  <w:vAlign w:val="center"/>
                </w:tcPr>
                <w:p w14:paraId="59074C7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759" w:type="pct"/>
                  <w:tcBorders>
                    <w:tl2br w:val="nil"/>
                    <w:tr2bl w:val="nil"/>
                  </w:tcBorders>
                  <w:noWrap w:val="0"/>
                  <w:vAlign w:val="center"/>
                </w:tcPr>
                <w:p w14:paraId="361DD04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bl>
          <w:p w14:paraId="6D3644A8">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续表2-21  厂界无组织废气污染物监测结果  单位：无量纲</w:t>
            </w:r>
          </w:p>
          <w:tbl>
            <w:tblPr>
              <w:tblStyle w:val="12"/>
              <w:tblW w:w="4998" w:type="pct"/>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2361"/>
              <w:gridCol w:w="1654"/>
              <w:gridCol w:w="1591"/>
              <w:gridCol w:w="2299"/>
            </w:tblGrid>
            <w:tr w14:paraId="4EDC58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93" w:type="pct"/>
                  <w:tcBorders>
                    <w:tl2br w:val="nil"/>
                    <w:tr2bl w:val="nil"/>
                  </w:tcBorders>
                  <w:noWrap w:val="0"/>
                  <w:vAlign w:val="center"/>
                </w:tcPr>
                <w:p w14:paraId="3CE6410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采样点位</w:t>
                  </w:r>
                </w:p>
              </w:tc>
              <w:tc>
                <w:tcPr>
                  <w:tcW w:w="1046" w:type="pct"/>
                  <w:tcBorders>
                    <w:tl2br w:val="nil"/>
                    <w:tr2bl w:val="nil"/>
                  </w:tcBorders>
                  <w:noWrap w:val="0"/>
                  <w:vAlign w:val="center"/>
                </w:tcPr>
                <w:p w14:paraId="14D360B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采样日期</w:t>
                  </w:r>
                </w:p>
              </w:tc>
              <w:tc>
                <w:tcPr>
                  <w:tcW w:w="1006" w:type="pct"/>
                  <w:tcBorders>
                    <w:tl2br w:val="nil"/>
                    <w:tr2bl w:val="nil"/>
                  </w:tcBorders>
                  <w:noWrap w:val="0"/>
                  <w:vAlign w:val="center"/>
                </w:tcPr>
                <w:p w14:paraId="49B59EE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采样时间</w:t>
                  </w:r>
                </w:p>
              </w:tc>
              <w:tc>
                <w:tcPr>
                  <w:tcW w:w="1454" w:type="pct"/>
                  <w:tcBorders>
                    <w:tl2br w:val="nil"/>
                    <w:tr2bl w:val="nil"/>
                  </w:tcBorders>
                  <w:noWrap w:val="0"/>
                  <w:vAlign w:val="center"/>
                </w:tcPr>
                <w:p w14:paraId="14D120E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臭气浓度</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无量纲</w:t>
                  </w:r>
                  <w:r>
                    <w:rPr>
                      <w:rFonts w:hint="eastAsia" w:eastAsia="宋体" w:cs="Times New Roman"/>
                      <w:color w:val="000000" w:themeColor="text1"/>
                      <w:sz w:val="21"/>
                      <w:szCs w:val="21"/>
                      <w:highlight w:val="none"/>
                      <w:lang w:val="en-US" w:eastAsia="zh-CN" w:bidi="ar"/>
                      <w14:textFill>
                        <w14:solidFill>
                          <w14:schemeClr w14:val="tx1"/>
                        </w14:solidFill>
                      </w14:textFill>
                    </w:rPr>
                    <w:t>）</w:t>
                  </w:r>
                </w:p>
              </w:tc>
            </w:tr>
            <w:tr w14:paraId="7AB1FB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93" w:type="pct"/>
                  <w:vMerge w:val="restart"/>
                  <w:tcBorders>
                    <w:tl2br w:val="nil"/>
                    <w:tr2bl w:val="nil"/>
                  </w:tcBorders>
                  <w:noWrap w:val="0"/>
                  <w:vAlign w:val="center"/>
                </w:tcPr>
                <w:p w14:paraId="3A0E206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厂界北</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上风向</w:t>
                  </w:r>
                  <w:r>
                    <w:rPr>
                      <w:rFonts w:hint="eastAsia" w:eastAsia="宋体" w:cs="Times New Roman"/>
                      <w:color w:val="000000" w:themeColor="text1"/>
                      <w:sz w:val="21"/>
                      <w:szCs w:val="21"/>
                      <w:highlight w:val="none"/>
                      <w:lang w:val="en-US" w:eastAsia="zh-CN" w:bidi="ar"/>
                      <w14:textFill>
                        <w14:solidFill>
                          <w14:schemeClr w14:val="tx1"/>
                        </w14:solidFill>
                      </w14:textFill>
                    </w:rPr>
                    <w:t>）</w:t>
                  </w:r>
                </w:p>
              </w:tc>
              <w:tc>
                <w:tcPr>
                  <w:tcW w:w="1046" w:type="pct"/>
                  <w:vMerge w:val="restart"/>
                  <w:tcBorders>
                    <w:tl2br w:val="nil"/>
                    <w:tr2bl w:val="nil"/>
                  </w:tcBorders>
                  <w:noWrap w:val="0"/>
                  <w:vAlign w:val="center"/>
                </w:tcPr>
                <w:p w14:paraId="476FEA8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2025.11.11</w:t>
                  </w:r>
                </w:p>
              </w:tc>
              <w:tc>
                <w:tcPr>
                  <w:tcW w:w="1006" w:type="pct"/>
                  <w:tcBorders>
                    <w:tl2br w:val="nil"/>
                    <w:tr2bl w:val="nil"/>
                  </w:tcBorders>
                  <w:noWrap w:val="0"/>
                  <w:vAlign w:val="center"/>
                </w:tcPr>
                <w:p w14:paraId="12FE0E2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11:04</w:t>
                  </w:r>
                </w:p>
              </w:tc>
              <w:tc>
                <w:tcPr>
                  <w:tcW w:w="1454" w:type="pct"/>
                  <w:tcBorders>
                    <w:tl2br w:val="nil"/>
                    <w:tr2bl w:val="nil"/>
                  </w:tcBorders>
                  <w:noWrap w:val="0"/>
                  <w:vAlign w:val="center"/>
                </w:tcPr>
                <w:p w14:paraId="47E7292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&lt;10</w:t>
                  </w:r>
                </w:p>
              </w:tc>
            </w:tr>
            <w:tr w14:paraId="6945A9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93" w:type="pct"/>
                  <w:vMerge w:val="continue"/>
                  <w:tcBorders>
                    <w:tl2br w:val="nil"/>
                    <w:tr2bl w:val="nil"/>
                  </w:tcBorders>
                  <w:noWrap w:val="0"/>
                  <w:vAlign w:val="center"/>
                </w:tcPr>
                <w:p w14:paraId="32AD0078">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46" w:type="pct"/>
                  <w:vMerge w:val="continue"/>
                  <w:tcBorders>
                    <w:tl2br w:val="nil"/>
                    <w:tr2bl w:val="nil"/>
                  </w:tcBorders>
                  <w:noWrap w:val="0"/>
                  <w:vAlign w:val="center"/>
                </w:tcPr>
                <w:p w14:paraId="51B6FB7D">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06" w:type="pct"/>
                  <w:tcBorders>
                    <w:tl2br w:val="nil"/>
                    <w:tr2bl w:val="nil"/>
                  </w:tcBorders>
                  <w:noWrap w:val="0"/>
                  <w:vAlign w:val="center"/>
                </w:tcPr>
                <w:p w14:paraId="33FFCC8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12:02</w:t>
                  </w:r>
                </w:p>
              </w:tc>
              <w:tc>
                <w:tcPr>
                  <w:tcW w:w="1454" w:type="pct"/>
                  <w:tcBorders>
                    <w:tl2br w:val="nil"/>
                    <w:tr2bl w:val="nil"/>
                  </w:tcBorders>
                  <w:noWrap w:val="0"/>
                  <w:vAlign w:val="center"/>
                </w:tcPr>
                <w:p w14:paraId="62B6E34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&lt;10</w:t>
                  </w:r>
                </w:p>
              </w:tc>
            </w:tr>
            <w:tr w14:paraId="67047B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93" w:type="pct"/>
                  <w:vMerge w:val="continue"/>
                  <w:tcBorders>
                    <w:tl2br w:val="nil"/>
                    <w:tr2bl w:val="nil"/>
                  </w:tcBorders>
                  <w:noWrap w:val="0"/>
                  <w:vAlign w:val="center"/>
                </w:tcPr>
                <w:p w14:paraId="5A45D4C1">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46" w:type="pct"/>
                  <w:vMerge w:val="continue"/>
                  <w:tcBorders>
                    <w:tl2br w:val="nil"/>
                    <w:tr2bl w:val="nil"/>
                  </w:tcBorders>
                  <w:noWrap w:val="0"/>
                  <w:vAlign w:val="center"/>
                </w:tcPr>
                <w:p w14:paraId="47675171">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06" w:type="pct"/>
                  <w:tcBorders>
                    <w:tl2br w:val="nil"/>
                    <w:tr2bl w:val="nil"/>
                  </w:tcBorders>
                  <w:noWrap w:val="0"/>
                  <w:vAlign w:val="center"/>
                </w:tcPr>
                <w:p w14:paraId="0612D2C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13:02</w:t>
                  </w:r>
                </w:p>
              </w:tc>
              <w:tc>
                <w:tcPr>
                  <w:tcW w:w="1454" w:type="pct"/>
                  <w:tcBorders>
                    <w:tl2br w:val="nil"/>
                    <w:tr2bl w:val="nil"/>
                  </w:tcBorders>
                  <w:noWrap w:val="0"/>
                  <w:vAlign w:val="center"/>
                </w:tcPr>
                <w:p w14:paraId="16E0548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&lt;10</w:t>
                  </w:r>
                </w:p>
              </w:tc>
            </w:tr>
            <w:tr w14:paraId="1E75AB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93" w:type="pct"/>
                  <w:vMerge w:val="restart"/>
                  <w:tcBorders>
                    <w:tl2br w:val="nil"/>
                    <w:tr2bl w:val="nil"/>
                  </w:tcBorders>
                  <w:noWrap w:val="0"/>
                  <w:vAlign w:val="center"/>
                </w:tcPr>
                <w:p w14:paraId="12AC89E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厂界东南</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下风向</w:t>
                  </w:r>
                  <w:r>
                    <w:rPr>
                      <w:rFonts w:hint="eastAsia" w:eastAsia="宋体" w:cs="Times New Roman"/>
                      <w:color w:val="000000" w:themeColor="text1"/>
                      <w:sz w:val="21"/>
                      <w:szCs w:val="21"/>
                      <w:highlight w:val="none"/>
                      <w:lang w:val="en-US" w:eastAsia="zh-CN" w:bidi="ar"/>
                      <w14:textFill>
                        <w14:solidFill>
                          <w14:schemeClr w14:val="tx1"/>
                        </w14:solidFill>
                      </w14:textFill>
                    </w:rPr>
                    <w:t>）</w:t>
                  </w:r>
                </w:p>
              </w:tc>
              <w:tc>
                <w:tcPr>
                  <w:tcW w:w="1046" w:type="pct"/>
                  <w:vMerge w:val="restart"/>
                  <w:tcBorders>
                    <w:tl2br w:val="nil"/>
                    <w:tr2bl w:val="nil"/>
                  </w:tcBorders>
                  <w:noWrap w:val="0"/>
                  <w:vAlign w:val="center"/>
                </w:tcPr>
                <w:p w14:paraId="0E29B79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2025.11.11</w:t>
                  </w:r>
                </w:p>
              </w:tc>
              <w:tc>
                <w:tcPr>
                  <w:tcW w:w="1006" w:type="pct"/>
                  <w:tcBorders>
                    <w:tl2br w:val="nil"/>
                    <w:tr2bl w:val="nil"/>
                  </w:tcBorders>
                  <w:noWrap w:val="0"/>
                  <w:vAlign w:val="center"/>
                </w:tcPr>
                <w:p w14:paraId="5802ACC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11:18</w:t>
                  </w:r>
                </w:p>
              </w:tc>
              <w:tc>
                <w:tcPr>
                  <w:tcW w:w="1454" w:type="pct"/>
                  <w:tcBorders>
                    <w:tl2br w:val="nil"/>
                    <w:tr2bl w:val="nil"/>
                  </w:tcBorders>
                  <w:noWrap w:val="0"/>
                  <w:vAlign w:val="center"/>
                </w:tcPr>
                <w:p w14:paraId="0F55275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&lt;10</w:t>
                  </w:r>
                </w:p>
              </w:tc>
            </w:tr>
            <w:tr w14:paraId="10019F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93" w:type="pct"/>
                  <w:vMerge w:val="continue"/>
                  <w:tcBorders>
                    <w:tl2br w:val="nil"/>
                    <w:tr2bl w:val="nil"/>
                  </w:tcBorders>
                  <w:noWrap w:val="0"/>
                  <w:vAlign w:val="center"/>
                </w:tcPr>
                <w:p w14:paraId="20EA5ED6">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46" w:type="pct"/>
                  <w:vMerge w:val="continue"/>
                  <w:tcBorders>
                    <w:tl2br w:val="nil"/>
                    <w:tr2bl w:val="nil"/>
                  </w:tcBorders>
                  <w:noWrap w:val="0"/>
                  <w:vAlign w:val="center"/>
                </w:tcPr>
                <w:p w14:paraId="15E38543">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06" w:type="pct"/>
                  <w:tcBorders>
                    <w:tl2br w:val="nil"/>
                    <w:tr2bl w:val="nil"/>
                  </w:tcBorders>
                  <w:noWrap w:val="0"/>
                  <w:vAlign w:val="center"/>
                </w:tcPr>
                <w:p w14:paraId="3D08278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12:15</w:t>
                  </w:r>
                </w:p>
              </w:tc>
              <w:tc>
                <w:tcPr>
                  <w:tcW w:w="1454" w:type="pct"/>
                  <w:tcBorders>
                    <w:tl2br w:val="nil"/>
                    <w:tr2bl w:val="nil"/>
                  </w:tcBorders>
                  <w:noWrap w:val="0"/>
                  <w:vAlign w:val="center"/>
                </w:tcPr>
                <w:p w14:paraId="6155B22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&lt;10</w:t>
                  </w:r>
                </w:p>
              </w:tc>
            </w:tr>
            <w:tr w14:paraId="507ABF6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93" w:type="pct"/>
                  <w:vMerge w:val="continue"/>
                  <w:tcBorders>
                    <w:tl2br w:val="nil"/>
                    <w:tr2bl w:val="nil"/>
                  </w:tcBorders>
                  <w:noWrap w:val="0"/>
                  <w:vAlign w:val="center"/>
                </w:tcPr>
                <w:p w14:paraId="29633E71">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46" w:type="pct"/>
                  <w:vMerge w:val="continue"/>
                  <w:tcBorders>
                    <w:tl2br w:val="nil"/>
                    <w:tr2bl w:val="nil"/>
                  </w:tcBorders>
                  <w:noWrap w:val="0"/>
                  <w:vAlign w:val="center"/>
                </w:tcPr>
                <w:p w14:paraId="10568625">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06" w:type="pct"/>
                  <w:tcBorders>
                    <w:tl2br w:val="nil"/>
                    <w:tr2bl w:val="nil"/>
                  </w:tcBorders>
                  <w:noWrap w:val="0"/>
                  <w:vAlign w:val="center"/>
                </w:tcPr>
                <w:p w14:paraId="75C2131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13:16</w:t>
                  </w:r>
                </w:p>
              </w:tc>
              <w:tc>
                <w:tcPr>
                  <w:tcW w:w="1454" w:type="pct"/>
                  <w:tcBorders>
                    <w:tl2br w:val="nil"/>
                    <w:tr2bl w:val="nil"/>
                  </w:tcBorders>
                  <w:noWrap w:val="0"/>
                  <w:vAlign w:val="center"/>
                </w:tcPr>
                <w:p w14:paraId="643BB41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&lt;10</w:t>
                  </w:r>
                </w:p>
              </w:tc>
            </w:tr>
            <w:tr w14:paraId="40F0F4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93" w:type="pct"/>
                  <w:vMerge w:val="restart"/>
                  <w:tcBorders>
                    <w:tl2br w:val="nil"/>
                    <w:tr2bl w:val="nil"/>
                  </w:tcBorders>
                  <w:noWrap w:val="0"/>
                  <w:vAlign w:val="center"/>
                </w:tcPr>
                <w:p w14:paraId="4C87E09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厂界南</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下风向</w:t>
                  </w:r>
                  <w:r>
                    <w:rPr>
                      <w:rFonts w:hint="eastAsia" w:eastAsia="宋体" w:cs="Times New Roman"/>
                      <w:color w:val="000000" w:themeColor="text1"/>
                      <w:sz w:val="21"/>
                      <w:szCs w:val="21"/>
                      <w:highlight w:val="none"/>
                      <w:lang w:val="en-US" w:eastAsia="zh-CN" w:bidi="ar"/>
                      <w14:textFill>
                        <w14:solidFill>
                          <w14:schemeClr w14:val="tx1"/>
                        </w14:solidFill>
                      </w14:textFill>
                    </w:rPr>
                    <w:t>）</w:t>
                  </w:r>
                </w:p>
              </w:tc>
              <w:tc>
                <w:tcPr>
                  <w:tcW w:w="1046" w:type="pct"/>
                  <w:vMerge w:val="restart"/>
                  <w:tcBorders>
                    <w:tl2br w:val="nil"/>
                    <w:tr2bl w:val="nil"/>
                  </w:tcBorders>
                  <w:noWrap w:val="0"/>
                  <w:vAlign w:val="center"/>
                </w:tcPr>
                <w:p w14:paraId="7033043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2025.11.11</w:t>
                  </w:r>
                </w:p>
              </w:tc>
              <w:tc>
                <w:tcPr>
                  <w:tcW w:w="1006" w:type="pct"/>
                  <w:tcBorders>
                    <w:tl2br w:val="nil"/>
                    <w:tr2bl w:val="nil"/>
                  </w:tcBorders>
                  <w:noWrap w:val="0"/>
                  <w:vAlign w:val="center"/>
                </w:tcPr>
                <w:p w14:paraId="2BB41EF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11:32</w:t>
                  </w:r>
                </w:p>
              </w:tc>
              <w:tc>
                <w:tcPr>
                  <w:tcW w:w="1454" w:type="pct"/>
                  <w:tcBorders>
                    <w:tl2br w:val="nil"/>
                    <w:tr2bl w:val="nil"/>
                  </w:tcBorders>
                  <w:noWrap w:val="0"/>
                  <w:vAlign w:val="center"/>
                </w:tcPr>
                <w:p w14:paraId="2082F45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&lt;10</w:t>
                  </w:r>
                </w:p>
              </w:tc>
            </w:tr>
            <w:tr w14:paraId="3FC2BB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93" w:type="pct"/>
                  <w:vMerge w:val="continue"/>
                  <w:tcBorders>
                    <w:tl2br w:val="nil"/>
                    <w:tr2bl w:val="nil"/>
                  </w:tcBorders>
                  <w:noWrap w:val="0"/>
                  <w:vAlign w:val="center"/>
                </w:tcPr>
                <w:p w14:paraId="2408EEEE">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46" w:type="pct"/>
                  <w:vMerge w:val="continue"/>
                  <w:tcBorders>
                    <w:tl2br w:val="nil"/>
                    <w:tr2bl w:val="nil"/>
                  </w:tcBorders>
                  <w:noWrap w:val="0"/>
                  <w:vAlign w:val="center"/>
                </w:tcPr>
                <w:p w14:paraId="7122FA01">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06" w:type="pct"/>
                  <w:tcBorders>
                    <w:tl2br w:val="nil"/>
                    <w:tr2bl w:val="nil"/>
                  </w:tcBorders>
                  <w:noWrap w:val="0"/>
                  <w:vAlign w:val="center"/>
                </w:tcPr>
                <w:p w14:paraId="11C5BFF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12:29</w:t>
                  </w:r>
                </w:p>
              </w:tc>
              <w:tc>
                <w:tcPr>
                  <w:tcW w:w="1454" w:type="pct"/>
                  <w:tcBorders>
                    <w:tl2br w:val="nil"/>
                    <w:tr2bl w:val="nil"/>
                  </w:tcBorders>
                  <w:noWrap w:val="0"/>
                  <w:vAlign w:val="center"/>
                </w:tcPr>
                <w:p w14:paraId="3B13E63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&lt;10</w:t>
                  </w:r>
                </w:p>
              </w:tc>
            </w:tr>
            <w:tr w14:paraId="7025CE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93" w:type="pct"/>
                  <w:vMerge w:val="continue"/>
                  <w:tcBorders>
                    <w:tl2br w:val="nil"/>
                    <w:tr2bl w:val="nil"/>
                  </w:tcBorders>
                  <w:noWrap w:val="0"/>
                  <w:vAlign w:val="center"/>
                </w:tcPr>
                <w:p w14:paraId="156ECA06">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46" w:type="pct"/>
                  <w:vMerge w:val="continue"/>
                  <w:tcBorders>
                    <w:tl2br w:val="nil"/>
                    <w:tr2bl w:val="nil"/>
                  </w:tcBorders>
                  <w:noWrap w:val="0"/>
                  <w:vAlign w:val="center"/>
                </w:tcPr>
                <w:p w14:paraId="7F711DE7">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06" w:type="pct"/>
                  <w:tcBorders>
                    <w:tl2br w:val="nil"/>
                    <w:tr2bl w:val="nil"/>
                  </w:tcBorders>
                  <w:noWrap w:val="0"/>
                  <w:vAlign w:val="center"/>
                </w:tcPr>
                <w:p w14:paraId="3D77F49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13:30</w:t>
                  </w:r>
                </w:p>
              </w:tc>
              <w:tc>
                <w:tcPr>
                  <w:tcW w:w="1454" w:type="pct"/>
                  <w:tcBorders>
                    <w:tl2br w:val="nil"/>
                    <w:tr2bl w:val="nil"/>
                  </w:tcBorders>
                  <w:noWrap w:val="0"/>
                  <w:vAlign w:val="center"/>
                </w:tcPr>
                <w:p w14:paraId="36DA5B9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&lt;10</w:t>
                  </w:r>
                </w:p>
              </w:tc>
            </w:tr>
            <w:tr w14:paraId="6197F9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93" w:type="pct"/>
                  <w:vMerge w:val="restart"/>
                  <w:tcBorders>
                    <w:tl2br w:val="nil"/>
                    <w:tr2bl w:val="nil"/>
                  </w:tcBorders>
                  <w:noWrap w:val="0"/>
                  <w:vAlign w:val="center"/>
                </w:tcPr>
                <w:p w14:paraId="2A5F159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厂界西南</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下风向</w:t>
                  </w:r>
                  <w:r>
                    <w:rPr>
                      <w:rFonts w:hint="eastAsia" w:eastAsia="宋体" w:cs="Times New Roman"/>
                      <w:color w:val="000000" w:themeColor="text1"/>
                      <w:sz w:val="21"/>
                      <w:szCs w:val="21"/>
                      <w:highlight w:val="none"/>
                      <w:lang w:val="en-US" w:eastAsia="zh-CN" w:bidi="ar"/>
                      <w14:textFill>
                        <w14:solidFill>
                          <w14:schemeClr w14:val="tx1"/>
                        </w14:solidFill>
                      </w14:textFill>
                    </w:rPr>
                    <w:t>）</w:t>
                  </w:r>
                </w:p>
              </w:tc>
              <w:tc>
                <w:tcPr>
                  <w:tcW w:w="1046" w:type="pct"/>
                  <w:vMerge w:val="restart"/>
                  <w:tcBorders>
                    <w:tl2br w:val="nil"/>
                    <w:tr2bl w:val="nil"/>
                  </w:tcBorders>
                  <w:noWrap w:val="0"/>
                  <w:vAlign w:val="center"/>
                </w:tcPr>
                <w:p w14:paraId="52CA43A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2025.11.11</w:t>
                  </w:r>
                </w:p>
              </w:tc>
              <w:tc>
                <w:tcPr>
                  <w:tcW w:w="1006" w:type="pct"/>
                  <w:tcBorders>
                    <w:tl2br w:val="nil"/>
                    <w:tr2bl w:val="nil"/>
                  </w:tcBorders>
                  <w:noWrap w:val="0"/>
                  <w:vAlign w:val="center"/>
                </w:tcPr>
                <w:p w14:paraId="26CF000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11:46</w:t>
                  </w:r>
                </w:p>
              </w:tc>
              <w:tc>
                <w:tcPr>
                  <w:tcW w:w="1454" w:type="pct"/>
                  <w:tcBorders>
                    <w:tl2br w:val="nil"/>
                    <w:tr2bl w:val="nil"/>
                  </w:tcBorders>
                  <w:noWrap w:val="0"/>
                  <w:vAlign w:val="center"/>
                </w:tcPr>
                <w:p w14:paraId="5185645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&lt;10</w:t>
                  </w:r>
                </w:p>
              </w:tc>
            </w:tr>
            <w:tr w14:paraId="47128C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93" w:type="pct"/>
                  <w:vMerge w:val="continue"/>
                  <w:tcBorders>
                    <w:tl2br w:val="nil"/>
                    <w:tr2bl w:val="nil"/>
                  </w:tcBorders>
                  <w:noWrap w:val="0"/>
                  <w:vAlign w:val="center"/>
                </w:tcPr>
                <w:p w14:paraId="63F1B3EC">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46" w:type="pct"/>
                  <w:vMerge w:val="continue"/>
                  <w:tcBorders>
                    <w:tl2br w:val="nil"/>
                    <w:tr2bl w:val="nil"/>
                  </w:tcBorders>
                  <w:noWrap w:val="0"/>
                  <w:vAlign w:val="center"/>
                </w:tcPr>
                <w:p w14:paraId="2FF5FD4E">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06" w:type="pct"/>
                  <w:tcBorders>
                    <w:tl2br w:val="nil"/>
                    <w:tr2bl w:val="nil"/>
                  </w:tcBorders>
                  <w:noWrap w:val="0"/>
                  <w:vAlign w:val="center"/>
                </w:tcPr>
                <w:p w14:paraId="1C5471F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12:42</w:t>
                  </w:r>
                </w:p>
              </w:tc>
              <w:tc>
                <w:tcPr>
                  <w:tcW w:w="1454" w:type="pct"/>
                  <w:tcBorders>
                    <w:tl2br w:val="nil"/>
                    <w:tr2bl w:val="nil"/>
                  </w:tcBorders>
                  <w:noWrap w:val="0"/>
                  <w:vAlign w:val="center"/>
                </w:tcPr>
                <w:p w14:paraId="63852F1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&lt;10</w:t>
                  </w:r>
                </w:p>
              </w:tc>
            </w:tr>
            <w:tr w14:paraId="2A18B2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493" w:type="pct"/>
                  <w:vMerge w:val="continue"/>
                  <w:tcBorders>
                    <w:tl2br w:val="nil"/>
                    <w:tr2bl w:val="nil"/>
                  </w:tcBorders>
                  <w:noWrap w:val="0"/>
                  <w:vAlign w:val="center"/>
                </w:tcPr>
                <w:p w14:paraId="0B3D282A">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46" w:type="pct"/>
                  <w:vMerge w:val="continue"/>
                  <w:tcBorders>
                    <w:tl2br w:val="nil"/>
                    <w:tr2bl w:val="nil"/>
                  </w:tcBorders>
                  <w:noWrap w:val="0"/>
                  <w:vAlign w:val="center"/>
                </w:tcPr>
                <w:p w14:paraId="3A6BEC27">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06" w:type="pct"/>
                  <w:tcBorders>
                    <w:tl2br w:val="nil"/>
                    <w:tr2bl w:val="nil"/>
                  </w:tcBorders>
                  <w:noWrap w:val="0"/>
                  <w:vAlign w:val="center"/>
                </w:tcPr>
                <w:p w14:paraId="6DE3E7E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13:44</w:t>
                  </w:r>
                </w:p>
              </w:tc>
              <w:tc>
                <w:tcPr>
                  <w:tcW w:w="1454" w:type="pct"/>
                  <w:tcBorders>
                    <w:tl2br w:val="nil"/>
                    <w:tr2bl w:val="nil"/>
                  </w:tcBorders>
                  <w:noWrap w:val="0"/>
                  <w:vAlign w:val="center"/>
                </w:tcPr>
                <w:p w14:paraId="4814C9E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&lt;10</w:t>
                  </w:r>
                </w:p>
              </w:tc>
            </w:tr>
            <w:tr w14:paraId="411D2B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545" w:type="pct"/>
                  <w:gridSpan w:val="3"/>
                  <w:tcBorders>
                    <w:tl2br w:val="nil"/>
                    <w:tr2bl w:val="nil"/>
                  </w:tcBorders>
                  <w:noWrap w:val="0"/>
                  <w:vAlign w:val="center"/>
                </w:tcPr>
                <w:p w14:paraId="5A700E6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最大值</w:t>
                  </w:r>
                </w:p>
              </w:tc>
              <w:tc>
                <w:tcPr>
                  <w:tcW w:w="1454" w:type="pct"/>
                  <w:tcBorders>
                    <w:tl2br w:val="nil"/>
                    <w:tr2bl w:val="nil"/>
                  </w:tcBorders>
                  <w:noWrap w:val="0"/>
                  <w:vAlign w:val="center"/>
                </w:tcPr>
                <w:p w14:paraId="6D97C77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&lt;10</w:t>
                  </w:r>
                </w:p>
              </w:tc>
            </w:tr>
            <w:tr w14:paraId="49E076C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545" w:type="pct"/>
                  <w:gridSpan w:val="3"/>
                  <w:tcBorders>
                    <w:tl2br w:val="nil"/>
                    <w:tr2bl w:val="nil"/>
                  </w:tcBorders>
                  <w:noWrap w:val="0"/>
                  <w:vAlign w:val="center"/>
                </w:tcPr>
                <w:p w14:paraId="02DB0CF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《城镇污水处理厂污染物排放标准》</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GB18918-2002</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表</w:t>
                  </w:r>
                  <w:r>
                    <w:rPr>
                      <w:rFonts w:hint="eastAsia" w:eastAsia="宋体" w:cs="Times New Roman"/>
                      <w:color w:val="000000" w:themeColor="text1"/>
                      <w:sz w:val="21"/>
                      <w:szCs w:val="21"/>
                      <w:highlight w:val="none"/>
                      <w:lang w:val="en-US" w:eastAsia="zh-CN" w:bidi="ar"/>
                      <w14:textFill>
                        <w14:solidFill>
                          <w14:schemeClr w14:val="tx1"/>
                        </w14:solidFill>
                      </w14:textFill>
                    </w:rPr>
                    <w:t>4</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二级标准</w:t>
                  </w:r>
                </w:p>
              </w:tc>
              <w:tc>
                <w:tcPr>
                  <w:tcW w:w="1454" w:type="pct"/>
                  <w:tcBorders>
                    <w:tl2br w:val="nil"/>
                    <w:tr2bl w:val="nil"/>
                  </w:tcBorders>
                  <w:noWrap w:val="0"/>
                  <w:vAlign w:val="center"/>
                </w:tcPr>
                <w:p w14:paraId="212F074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w:t>
                  </w:r>
                </w:p>
              </w:tc>
            </w:tr>
          </w:tbl>
          <w:p w14:paraId="72411F6E">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Cs/>
                <w:color w:val="000000" w:themeColor="text1"/>
                <w:sz w:val="24"/>
                <w:highlight w:val="none"/>
                <w14:textFill>
                  <w14:solidFill>
                    <w14:schemeClr w14:val="tx1"/>
                  </w14:solidFill>
                </w14:textFill>
              </w:rPr>
            </w:pPr>
          </w:p>
          <w:p w14:paraId="08A39BE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由上表可以看出，</w:t>
            </w:r>
            <w:r>
              <w:rPr>
                <w:rFonts w:hint="eastAsia" w:cs="Times New Roman"/>
                <w:bCs/>
                <w:color w:val="000000" w:themeColor="text1"/>
                <w:sz w:val="24"/>
                <w:highlight w:val="none"/>
                <w:lang w:eastAsia="zh-CN"/>
                <w14:textFill>
                  <w14:solidFill>
                    <w14:schemeClr w14:val="tx1"/>
                  </w14:solidFill>
                </w14:textFill>
              </w:rPr>
              <w:t>污水处理厂</w:t>
            </w:r>
            <w:r>
              <w:rPr>
                <w:rFonts w:hint="default" w:ascii="Times New Roman" w:hAnsi="Times New Roman" w:cs="Times New Roman"/>
                <w:bCs/>
                <w:color w:val="000000" w:themeColor="text1"/>
                <w:sz w:val="24"/>
                <w:highlight w:val="none"/>
                <w14:textFill>
                  <w14:solidFill>
                    <w14:schemeClr w14:val="tx1"/>
                  </w14:solidFill>
                </w14:textFill>
              </w:rPr>
              <w:t>无组织废气满足《城镇污水处理厂污染物排放标准》（GB18918-2002）中大气污染物排放标准表</w:t>
            </w:r>
            <w:r>
              <w:rPr>
                <w:rFonts w:hint="eastAsia" w:cs="Times New Roman"/>
                <w:bCs/>
                <w:color w:val="000000" w:themeColor="text1"/>
                <w:sz w:val="24"/>
                <w:highlight w:val="none"/>
                <w:lang w:val="en-US" w:eastAsia="zh-CN"/>
                <w14:textFill>
                  <w14:solidFill>
                    <w14:schemeClr w14:val="tx1"/>
                  </w14:solidFill>
                </w14:textFill>
              </w:rPr>
              <w:t>4</w:t>
            </w:r>
            <w:r>
              <w:rPr>
                <w:rFonts w:hint="default" w:ascii="Times New Roman" w:hAnsi="Times New Roman" w:cs="Times New Roman"/>
                <w:bCs/>
                <w:color w:val="000000" w:themeColor="text1"/>
                <w:sz w:val="24"/>
                <w:highlight w:val="none"/>
                <w14:textFill>
                  <w14:solidFill>
                    <w14:schemeClr w14:val="tx1"/>
                  </w14:solidFill>
                </w14:textFill>
              </w:rPr>
              <w:t>二级标准。</w:t>
            </w:r>
          </w:p>
          <w:p w14:paraId="12B5FF3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lang w:val="en-US"/>
                <w14:textFill>
                  <w14:solidFill>
                    <w14:schemeClr w14:val="tx1"/>
                  </w14:solidFill>
                </w14:textFill>
              </w:rPr>
            </w:pPr>
            <w:r>
              <w:rPr>
                <w:rFonts w:hint="eastAsia" w:cs="Times New Roman"/>
                <w:bCs/>
                <w:color w:val="000000" w:themeColor="text1"/>
                <w:sz w:val="24"/>
                <w:highlight w:val="none"/>
                <w:lang w:eastAsia="zh-CN"/>
                <w14:textFill>
                  <w14:solidFill>
                    <w14:schemeClr w14:val="tx1"/>
                  </w14:solidFill>
                </w14:textFill>
              </w:rPr>
              <w:t>（</w:t>
            </w:r>
            <w:r>
              <w:rPr>
                <w:rFonts w:hint="eastAsia" w:cs="Times New Roman"/>
                <w:bCs/>
                <w:color w:val="000000" w:themeColor="text1"/>
                <w:sz w:val="24"/>
                <w:highlight w:val="none"/>
                <w:lang w:val="en-US" w:eastAsia="zh-CN"/>
                <w14:textFill>
                  <w14:solidFill>
                    <w14:schemeClr w14:val="tx1"/>
                  </w14:solidFill>
                </w14:textFill>
              </w:rPr>
              <w:t>2</w:t>
            </w:r>
            <w:r>
              <w:rPr>
                <w:rFonts w:hint="eastAsia" w:cs="Times New Roman"/>
                <w:bCs/>
                <w:color w:val="000000" w:themeColor="text1"/>
                <w:sz w:val="24"/>
                <w:highlight w:val="none"/>
                <w:lang w:eastAsia="zh-CN"/>
                <w14:textFill>
                  <w14:solidFill>
                    <w14:schemeClr w14:val="tx1"/>
                  </w14:solidFill>
                </w14:textFill>
              </w:rPr>
              <w:t>）</w:t>
            </w:r>
            <w:r>
              <w:rPr>
                <w:rFonts w:hint="eastAsia" w:cs="Times New Roman"/>
                <w:bCs/>
                <w:color w:val="000000" w:themeColor="text1"/>
                <w:sz w:val="24"/>
                <w:highlight w:val="none"/>
                <w:lang w:val="en-US" w:eastAsia="zh-CN"/>
                <w14:textFill>
                  <w14:solidFill>
                    <w14:schemeClr w14:val="tx1"/>
                  </w14:solidFill>
                </w14:textFill>
              </w:rPr>
              <w:t>废水</w:t>
            </w:r>
          </w:p>
          <w:p w14:paraId="2B93F6D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磴口县巴彦高勒镇污水处理厂收集服务范围内的污水后，污水首先进入一期处理系统，一期工程采用MBBR工艺对污水进行预处理、生化处理及深度处理，出水达标《城镇污水处理厂污染物排放标准》（GB18918-2002）一级A标准后，一部分输送至中水厂进行再生回用，剩余部分用于湿地补水。</w:t>
            </w:r>
          </w:p>
          <w:p w14:paraId="569F0DE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根据巴彦淖尔市城投检测有限公司于2025年11月26日出具了废水检测报告，监测结果如下：</w:t>
            </w:r>
          </w:p>
          <w:p w14:paraId="07CE0343">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表2-22  2025年11月11日污水处理厂进水水质检测结果</w:t>
            </w:r>
          </w:p>
          <w:tbl>
            <w:tblPr>
              <w:tblStyle w:val="12"/>
              <w:tblW w:w="4998" w:type="pct"/>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503"/>
              <w:gridCol w:w="1830"/>
              <w:gridCol w:w="1817"/>
              <w:gridCol w:w="1858"/>
              <w:gridCol w:w="897"/>
            </w:tblGrid>
            <w:tr w14:paraId="7A6A9D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51" w:type="pct"/>
                  <w:vMerge w:val="restart"/>
                  <w:tcBorders>
                    <w:tl2br w:val="nil"/>
                    <w:tr2bl w:val="nil"/>
                  </w:tcBorders>
                  <w:noWrap w:val="0"/>
                  <w:vAlign w:val="center"/>
                </w:tcPr>
                <w:p w14:paraId="45547A7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项目</w:t>
                  </w:r>
                </w:p>
              </w:tc>
              <w:tc>
                <w:tcPr>
                  <w:tcW w:w="4048" w:type="pct"/>
                  <w:gridSpan w:val="4"/>
                  <w:tcBorders>
                    <w:tl2br w:val="nil"/>
                    <w:tr2bl w:val="nil"/>
                  </w:tcBorders>
                  <w:noWrap w:val="0"/>
                  <w:vAlign w:val="center"/>
                </w:tcPr>
                <w:p w14:paraId="444B0ED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检测结果</w:t>
                  </w:r>
                </w:p>
              </w:tc>
            </w:tr>
            <w:tr w14:paraId="48CF30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51" w:type="pct"/>
                  <w:vMerge w:val="continue"/>
                  <w:tcBorders>
                    <w:tl2br w:val="nil"/>
                    <w:tr2bl w:val="nil"/>
                  </w:tcBorders>
                  <w:noWrap w:val="0"/>
                  <w:vAlign w:val="center"/>
                </w:tcPr>
                <w:p w14:paraId="60C1B235">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4048" w:type="pct"/>
                  <w:gridSpan w:val="4"/>
                  <w:tcBorders>
                    <w:tl2br w:val="nil"/>
                    <w:tr2bl w:val="nil"/>
                  </w:tcBorders>
                  <w:noWrap w:val="0"/>
                  <w:vAlign w:val="center"/>
                </w:tcPr>
                <w:p w14:paraId="5CC66F7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废水进口</w:t>
                  </w:r>
                </w:p>
              </w:tc>
            </w:tr>
            <w:tr w14:paraId="335531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51" w:type="pct"/>
                  <w:tcBorders>
                    <w:tl2br w:val="nil"/>
                    <w:tr2bl w:val="nil"/>
                  </w:tcBorders>
                  <w:noWrap w:val="0"/>
                  <w:vAlign w:val="center"/>
                </w:tcPr>
                <w:p w14:paraId="172466D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采样日期</w:t>
                  </w:r>
                </w:p>
              </w:tc>
              <w:tc>
                <w:tcPr>
                  <w:tcW w:w="4048" w:type="pct"/>
                  <w:gridSpan w:val="4"/>
                  <w:tcBorders>
                    <w:tl2br w:val="nil"/>
                    <w:tr2bl w:val="nil"/>
                  </w:tcBorders>
                  <w:noWrap w:val="0"/>
                  <w:vAlign w:val="center"/>
                </w:tcPr>
                <w:p w14:paraId="07DB0D8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2025年11月11日</w:t>
                  </w:r>
                </w:p>
              </w:tc>
            </w:tr>
            <w:tr w14:paraId="13EBD4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51" w:type="pct"/>
                  <w:tcBorders>
                    <w:tl2br w:val="nil"/>
                    <w:tr2bl w:val="nil"/>
                  </w:tcBorders>
                  <w:noWrap w:val="0"/>
                  <w:vAlign w:val="center"/>
                </w:tcPr>
                <w:p w14:paraId="26603E6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样品编号</w:t>
                  </w:r>
                </w:p>
              </w:tc>
              <w:tc>
                <w:tcPr>
                  <w:tcW w:w="1157" w:type="pct"/>
                  <w:tcBorders>
                    <w:tl2br w:val="nil"/>
                    <w:tr2bl w:val="nil"/>
                  </w:tcBorders>
                  <w:noWrap w:val="0"/>
                  <w:vAlign w:val="center"/>
                </w:tcPr>
                <w:p w14:paraId="0B24D29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WT25410-WS</w:t>
                  </w:r>
                </w:p>
                <w:p w14:paraId="5709348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-02-001</w:t>
                  </w:r>
                </w:p>
              </w:tc>
              <w:tc>
                <w:tcPr>
                  <w:tcW w:w="1149" w:type="pct"/>
                  <w:tcBorders>
                    <w:tl2br w:val="nil"/>
                    <w:tr2bl w:val="nil"/>
                  </w:tcBorders>
                  <w:noWrap w:val="0"/>
                  <w:vAlign w:val="center"/>
                </w:tcPr>
                <w:p w14:paraId="7CCC63C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WT25410-WS</w:t>
                  </w:r>
                </w:p>
                <w:p w14:paraId="6AB5513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-02-002</w:t>
                  </w:r>
                </w:p>
              </w:tc>
              <w:tc>
                <w:tcPr>
                  <w:tcW w:w="1175" w:type="pct"/>
                  <w:tcBorders>
                    <w:tl2br w:val="nil"/>
                    <w:tr2bl w:val="nil"/>
                  </w:tcBorders>
                  <w:noWrap w:val="0"/>
                  <w:vAlign w:val="center"/>
                </w:tcPr>
                <w:p w14:paraId="34CF05F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WT25410-WS</w:t>
                  </w:r>
                </w:p>
                <w:p w14:paraId="201CC26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-02-003</w:t>
                  </w:r>
                </w:p>
              </w:tc>
              <w:tc>
                <w:tcPr>
                  <w:tcW w:w="566" w:type="pct"/>
                  <w:tcBorders>
                    <w:tl2br w:val="nil"/>
                    <w:tr2bl w:val="nil"/>
                  </w:tcBorders>
                  <w:noWrap w:val="0"/>
                  <w:vAlign w:val="center"/>
                </w:tcPr>
                <w:p w14:paraId="723B4A0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平均值</w:t>
                  </w:r>
                </w:p>
              </w:tc>
            </w:tr>
            <w:tr w14:paraId="14D0AA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51" w:type="pct"/>
                  <w:tcBorders>
                    <w:tl2br w:val="nil"/>
                    <w:tr2bl w:val="nil"/>
                  </w:tcBorders>
                  <w:noWrap w:val="0"/>
                  <w:vAlign w:val="center"/>
                </w:tcPr>
                <w:p w14:paraId="25C9783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五日生化需氧量</w:t>
                  </w:r>
                </w:p>
              </w:tc>
              <w:tc>
                <w:tcPr>
                  <w:tcW w:w="1157" w:type="pct"/>
                  <w:tcBorders>
                    <w:tl2br w:val="nil"/>
                    <w:tr2bl w:val="nil"/>
                  </w:tcBorders>
                  <w:noWrap w:val="0"/>
                  <w:vAlign w:val="center"/>
                </w:tcPr>
                <w:p w14:paraId="04BD541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117</w:t>
                  </w:r>
                </w:p>
              </w:tc>
              <w:tc>
                <w:tcPr>
                  <w:tcW w:w="1149" w:type="pct"/>
                  <w:tcBorders>
                    <w:tl2br w:val="nil"/>
                    <w:tr2bl w:val="nil"/>
                  </w:tcBorders>
                  <w:noWrap w:val="0"/>
                  <w:vAlign w:val="center"/>
                </w:tcPr>
                <w:p w14:paraId="320FF28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110</w:t>
                  </w:r>
                </w:p>
              </w:tc>
              <w:tc>
                <w:tcPr>
                  <w:tcW w:w="1175" w:type="pct"/>
                  <w:tcBorders>
                    <w:tl2br w:val="nil"/>
                    <w:tr2bl w:val="nil"/>
                  </w:tcBorders>
                  <w:noWrap w:val="0"/>
                  <w:vAlign w:val="center"/>
                </w:tcPr>
                <w:p w14:paraId="703688F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117</w:t>
                  </w:r>
                </w:p>
              </w:tc>
              <w:tc>
                <w:tcPr>
                  <w:tcW w:w="566" w:type="pct"/>
                  <w:tcBorders>
                    <w:tl2br w:val="nil"/>
                    <w:tr2bl w:val="nil"/>
                  </w:tcBorders>
                  <w:noWrap w:val="0"/>
                  <w:vAlign w:val="center"/>
                </w:tcPr>
                <w:p w14:paraId="469812B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115</w:t>
                  </w:r>
                </w:p>
              </w:tc>
            </w:tr>
          </w:tbl>
          <w:p w14:paraId="1E9F3F65">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表2-23  2025年11月11日污水处理厂出水水质检测结果</w:t>
            </w:r>
          </w:p>
          <w:tbl>
            <w:tblPr>
              <w:tblStyle w:val="12"/>
              <w:tblW w:w="492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875"/>
              <w:gridCol w:w="1587"/>
              <w:gridCol w:w="1587"/>
              <w:gridCol w:w="1587"/>
              <w:gridCol w:w="822"/>
              <w:gridCol w:w="1450"/>
            </w:tblGrid>
            <w:tr w14:paraId="39176D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vMerge w:val="restart"/>
                  <w:tcBorders>
                    <w:tl2br w:val="nil"/>
                    <w:tr2bl w:val="nil"/>
                  </w:tcBorders>
                  <w:noWrap w:val="0"/>
                  <w:vAlign w:val="center"/>
                </w:tcPr>
                <w:p w14:paraId="791B151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项目</w:t>
                  </w:r>
                </w:p>
              </w:tc>
              <w:tc>
                <w:tcPr>
                  <w:tcW w:w="2826" w:type="pct"/>
                  <w:gridSpan w:val="4"/>
                  <w:tcBorders>
                    <w:tl2br w:val="nil"/>
                    <w:tr2bl w:val="nil"/>
                  </w:tcBorders>
                  <w:noWrap w:val="0"/>
                  <w:vAlign w:val="center"/>
                </w:tcPr>
                <w:p w14:paraId="3C3D95F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检测结果</w:t>
                  </w:r>
                </w:p>
              </w:tc>
              <w:tc>
                <w:tcPr>
                  <w:tcW w:w="891" w:type="pct"/>
                  <w:vMerge w:val="restart"/>
                  <w:tcBorders>
                    <w:tl2br w:val="nil"/>
                    <w:tr2bl w:val="nil"/>
                  </w:tcBorders>
                  <w:noWrap w:val="0"/>
                  <w:vAlign w:val="center"/>
                </w:tcPr>
                <w:p w14:paraId="7489A7C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《城镇污水处理厂污染物排放标准》</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GB18918-2002</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一级A标准和表2标准</w:t>
                  </w:r>
                </w:p>
              </w:tc>
            </w:tr>
            <w:tr w14:paraId="7512EE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vMerge w:val="continue"/>
                  <w:tcBorders>
                    <w:tl2br w:val="nil"/>
                    <w:tr2bl w:val="nil"/>
                  </w:tcBorders>
                  <w:noWrap w:val="0"/>
                  <w:vAlign w:val="center"/>
                </w:tcPr>
                <w:p w14:paraId="5810DB2C">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2826" w:type="pct"/>
                  <w:gridSpan w:val="4"/>
                  <w:tcBorders>
                    <w:tl2br w:val="nil"/>
                    <w:tr2bl w:val="nil"/>
                  </w:tcBorders>
                  <w:noWrap w:val="0"/>
                  <w:vAlign w:val="center"/>
                </w:tcPr>
                <w:p w14:paraId="61659F2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废水总排口</w:t>
                  </w:r>
                </w:p>
              </w:tc>
              <w:tc>
                <w:tcPr>
                  <w:tcW w:w="891" w:type="pct"/>
                  <w:vMerge w:val="continue"/>
                  <w:tcBorders>
                    <w:tl2br w:val="nil"/>
                    <w:tr2bl w:val="nil"/>
                  </w:tcBorders>
                  <w:noWrap w:val="0"/>
                  <w:vAlign w:val="center"/>
                </w:tcPr>
                <w:p w14:paraId="3745AF9A">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1533EA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2B11672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采样日期</w:t>
                  </w:r>
                </w:p>
              </w:tc>
              <w:tc>
                <w:tcPr>
                  <w:tcW w:w="2826" w:type="pct"/>
                  <w:gridSpan w:val="4"/>
                  <w:tcBorders>
                    <w:tl2br w:val="nil"/>
                    <w:tr2bl w:val="nil"/>
                  </w:tcBorders>
                  <w:noWrap w:val="0"/>
                  <w:vAlign w:val="center"/>
                </w:tcPr>
                <w:p w14:paraId="719C1C0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2025年11月11日</w:t>
                  </w:r>
                </w:p>
              </w:tc>
              <w:tc>
                <w:tcPr>
                  <w:tcW w:w="891" w:type="pct"/>
                  <w:vMerge w:val="continue"/>
                  <w:tcBorders>
                    <w:tl2br w:val="nil"/>
                    <w:tr2bl w:val="nil"/>
                  </w:tcBorders>
                  <w:noWrap w:val="0"/>
                  <w:vAlign w:val="center"/>
                </w:tcPr>
                <w:p w14:paraId="58EC9481">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305FC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2495806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检测频次</w:t>
                  </w:r>
                </w:p>
              </w:tc>
              <w:tc>
                <w:tcPr>
                  <w:tcW w:w="708" w:type="pct"/>
                  <w:tcBorders>
                    <w:tl2br w:val="nil"/>
                    <w:tr2bl w:val="nil"/>
                  </w:tcBorders>
                  <w:noWrap w:val="0"/>
                  <w:vAlign w:val="center"/>
                </w:tcPr>
                <w:p w14:paraId="7F151A7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WT25410-WS-01-001</w:t>
                  </w:r>
                </w:p>
              </w:tc>
              <w:tc>
                <w:tcPr>
                  <w:tcW w:w="724" w:type="pct"/>
                  <w:tcBorders>
                    <w:tl2br w:val="nil"/>
                    <w:tr2bl w:val="nil"/>
                  </w:tcBorders>
                  <w:noWrap w:val="0"/>
                  <w:vAlign w:val="center"/>
                </w:tcPr>
                <w:p w14:paraId="439FFA3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WT25410-WS-01-002</w:t>
                  </w:r>
                </w:p>
              </w:tc>
              <w:tc>
                <w:tcPr>
                  <w:tcW w:w="692" w:type="pct"/>
                  <w:tcBorders>
                    <w:tl2br w:val="nil"/>
                    <w:tr2bl w:val="nil"/>
                  </w:tcBorders>
                  <w:noWrap w:val="0"/>
                  <w:vAlign w:val="center"/>
                </w:tcPr>
                <w:p w14:paraId="1838ED7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WT25410-WS-01-003</w:t>
                  </w:r>
                </w:p>
              </w:tc>
              <w:tc>
                <w:tcPr>
                  <w:tcW w:w="700" w:type="pct"/>
                  <w:tcBorders>
                    <w:tl2br w:val="nil"/>
                    <w:tr2bl w:val="nil"/>
                  </w:tcBorders>
                  <w:noWrap w:val="0"/>
                  <w:vAlign w:val="center"/>
                </w:tcPr>
                <w:p w14:paraId="2666CE4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平均值</w:t>
                  </w:r>
                </w:p>
              </w:tc>
              <w:tc>
                <w:tcPr>
                  <w:tcW w:w="891" w:type="pct"/>
                  <w:vMerge w:val="continue"/>
                  <w:tcBorders>
                    <w:tl2br w:val="nil"/>
                    <w:tr2bl w:val="nil"/>
                  </w:tcBorders>
                  <w:noWrap w:val="0"/>
                  <w:vAlign w:val="center"/>
                </w:tcPr>
                <w:p w14:paraId="1C61CF4F">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4EFDDB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3402205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pH</w:t>
                  </w:r>
                </w:p>
              </w:tc>
              <w:tc>
                <w:tcPr>
                  <w:tcW w:w="708" w:type="pct"/>
                  <w:tcBorders>
                    <w:tl2br w:val="nil"/>
                    <w:tr2bl w:val="nil"/>
                  </w:tcBorders>
                  <w:noWrap w:val="0"/>
                  <w:vAlign w:val="center"/>
                </w:tcPr>
                <w:p w14:paraId="322412F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7.4</w:t>
                  </w:r>
                </w:p>
              </w:tc>
              <w:tc>
                <w:tcPr>
                  <w:tcW w:w="724" w:type="pct"/>
                  <w:tcBorders>
                    <w:tl2br w:val="nil"/>
                    <w:tr2bl w:val="nil"/>
                  </w:tcBorders>
                  <w:noWrap w:val="0"/>
                  <w:vAlign w:val="center"/>
                </w:tcPr>
                <w:p w14:paraId="4E146DE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7.5</w:t>
                  </w:r>
                </w:p>
              </w:tc>
              <w:tc>
                <w:tcPr>
                  <w:tcW w:w="692" w:type="pct"/>
                  <w:tcBorders>
                    <w:tl2br w:val="nil"/>
                    <w:tr2bl w:val="nil"/>
                  </w:tcBorders>
                  <w:noWrap w:val="0"/>
                  <w:vAlign w:val="center"/>
                </w:tcPr>
                <w:p w14:paraId="748E805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7.6</w:t>
                  </w:r>
                </w:p>
              </w:tc>
              <w:tc>
                <w:tcPr>
                  <w:tcW w:w="700" w:type="pct"/>
                  <w:tcBorders>
                    <w:tl2br w:val="nil"/>
                    <w:tr2bl w:val="nil"/>
                  </w:tcBorders>
                  <w:noWrap w:val="0"/>
                  <w:vAlign w:val="center"/>
                </w:tcPr>
                <w:p w14:paraId="006DA6D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7.4-7.6</w:t>
                  </w:r>
                </w:p>
              </w:tc>
              <w:tc>
                <w:tcPr>
                  <w:tcW w:w="891" w:type="pct"/>
                  <w:tcBorders>
                    <w:tl2br w:val="nil"/>
                    <w:tr2bl w:val="nil"/>
                  </w:tcBorders>
                  <w:noWrap w:val="0"/>
                  <w:vAlign w:val="center"/>
                </w:tcPr>
                <w:p w14:paraId="0F33F20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6-9</w:t>
                  </w:r>
                </w:p>
              </w:tc>
            </w:tr>
            <w:tr w14:paraId="5757DF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6CFFF0F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悬浮物</w:t>
                  </w:r>
                </w:p>
              </w:tc>
              <w:tc>
                <w:tcPr>
                  <w:tcW w:w="708" w:type="pct"/>
                  <w:tcBorders>
                    <w:tl2br w:val="nil"/>
                    <w:tr2bl w:val="nil"/>
                  </w:tcBorders>
                  <w:noWrap w:val="0"/>
                  <w:vAlign w:val="center"/>
                </w:tcPr>
                <w:p w14:paraId="3410823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724" w:type="pct"/>
                  <w:tcBorders>
                    <w:tl2br w:val="nil"/>
                    <w:tr2bl w:val="nil"/>
                  </w:tcBorders>
                  <w:noWrap w:val="0"/>
                  <w:vAlign w:val="center"/>
                </w:tcPr>
                <w:p w14:paraId="344E321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692" w:type="pct"/>
                  <w:tcBorders>
                    <w:tl2br w:val="nil"/>
                    <w:tr2bl w:val="nil"/>
                  </w:tcBorders>
                  <w:noWrap w:val="0"/>
                  <w:vAlign w:val="center"/>
                </w:tcPr>
                <w:p w14:paraId="166CD02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w:t>
                  </w:r>
                </w:p>
              </w:tc>
              <w:tc>
                <w:tcPr>
                  <w:tcW w:w="700" w:type="pct"/>
                  <w:tcBorders>
                    <w:tl2br w:val="nil"/>
                    <w:tr2bl w:val="nil"/>
                  </w:tcBorders>
                  <w:noWrap w:val="0"/>
                  <w:vAlign w:val="center"/>
                </w:tcPr>
                <w:p w14:paraId="5446F00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891" w:type="pct"/>
                  <w:tcBorders>
                    <w:tl2br w:val="nil"/>
                    <w:tr2bl w:val="nil"/>
                  </w:tcBorders>
                  <w:noWrap w:val="0"/>
                  <w:vAlign w:val="center"/>
                </w:tcPr>
                <w:p w14:paraId="359A7F7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r>
            <w:tr w14:paraId="4E73D4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0AD4137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五日生化需氧量</w:t>
                  </w:r>
                </w:p>
              </w:tc>
              <w:tc>
                <w:tcPr>
                  <w:tcW w:w="708" w:type="pct"/>
                  <w:tcBorders>
                    <w:tl2br w:val="nil"/>
                    <w:tr2bl w:val="nil"/>
                  </w:tcBorders>
                  <w:noWrap w:val="0"/>
                  <w:vAlign w:val="center"/>
                </w:tcPr>
                <w:p w14:paraId="6173396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4.3</w:t>
                  </w:r>
                </w:p>
              </w:tc>
              <w:tc>
                <w:tcPr>
                  <w:tcW w:w="724" w:type="pct"/>
                  <w:tcBorders>
                    <w:tl2br w:val="nil"/>
                    <w:tr2bl w:val="nil"/>
                  </w:tcBorders>
                  <w:noWrap w:val="0"/>
                  <w:vAlign w:val="center"/>
                </w:tcPr>
                <w:p w14:paraId="3D75513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3.4</w:t>
                  </w:r>
                </w:p>
              </w:tc>
              <w:tc>
                <w:tcPr>
                  <w:tcW w:w="692" w:type="pct"/>
                  <w:tcBorders>
                    <w:tl2br w:val="nil"/>
                    <w:tr2bl w:val="nil"/>
                  </w:tcBorders>
                  <w:noWrap w:val="0"/>
                  <w:vAlign w:val="center"/>
                </w:tcPr>
                <w:p w14:paraId="302BBC3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3.4</w:t>
                  </w:r>
                </w:p>
              </w:tc>
              <w:tc>
                <w:tcPr>
                  <w:tcW w:w="700" w:type="pct"/>
                  <w:tcBorders>
                    <w:tl2br w:val="nil"/>
                    <w:tr2bl w:val="nil"/>
                  </w:tcBorders>
                  <w:noWrap w:val="0"/>
                  <w:vAlign w:val="center"/>
                </w:tcPr>
                <w:p w14:paraId="2B78D88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3.7</w:t>
                  </w:r>
                </w:p>
              </w:tc>
              <w:tc>
                <w:tcPr>
                  <w:tcW w:w="891" w:type="pct"/>
                  <w:tcBorders>
                    <w:tl2br w:val="nil"/>
                    <w:tr2bl w:val="nil"/>
                  </w:tcBorders>
                  <w:noWrap w:val="0"/>
                  <w:vAlign w:val="center"/>
                </w:tcPr>
                <w:p w14:paraId="61DBB6A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r>
            <w:tr w14:paraId="29A136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02A1683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化学需氧量</w:t>
                  </w:r>
                </w:p>
              </w:tc>
              <w:tc>
                <w:tcPr>
                  <w:tcW w:w="708" w:type="pct"/>
                  <w:tcBorders>
                    <w:tl2br w:val="nil"/>
                    <w:tr2bl w:val="nil"/>
                  </w:tcBorders>
                  <w:noWrap w:val="0"/>
                  <w:vAlign w:val="center"/>
                </w:tcPr>
                <w:p w14:paraId="431BB26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36</w:t>
                  </w:r>
                </w:p>
              </w:tc>
              <w:tc>
                <w:tcPr>
                  <w:tcW w:w="724" w:type="pct"/>
                  <w:tcBorders>
                    <w:tl2br w:val="nil"/>
                    <w:tr2bl w:val="nil"/>
                  </w:tcBorders>
                  <w:noWrap w:val="0"/>
                  <w:vAlign w:val="center"/>
                </w:tcPr>
                <w:p w14:paraId="1CCEF93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37</w:t>
                  </w:r>
                </w:p>
              </w:tc>
              <w:tc>
                <w:tcPr>
                  <w:tcW w:w="692" w:type="pct"/>
                  <w:tcBorders>
                    <w:tl2br w:val="nil"/>
                    <w:tr2bl w:val="nil"/>
                  </w:tcBorders>
                  <w:noWrap w:val="0"/>
                  <w:vAlign w:val="center"/>
                </w:tcPr>
                <w:p w14:paraId="22DAA75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37</w:t>
                  </w:r>
                </w:p>
              </w:tc>
              <w:tc>
                <w:tcPr>
                  <w:tcW w:w="700" w:type="pct"/>
                  <w:tcBorders>
                    <w:tl2br w:val="nil"/>
                    <w:tr2bl w:val="nil"/>
                  </w:tcBorders>
                  <w:noWrap w:val="0"/>
                  <w:vAlign w:val="center"/>
                </w:tcPr>
                <w:p w14:paraId="4CAC524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37</w:t>
                  </w:r>
                </w:p>
              </w:tc>
              <w:tc>
                <w:tcPr>
                  <w:tcW w:w="891" w:type="pct"/>
                  <w:tcBorders>
                    <w:tl2br w:val="nil"/>
                    <w:tr2bl w:val="nil"/>
                  </w:tcBorders>
                  <w:noWrap w:val="0"/>
                  <w:vAlign w:val="center"/>
                </w:tcPr>
                <w:p w14:paraId="718B018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w:t>
                  </w:r>
                </w:p>
              </w:tc>
            </w:tr>
            <w:tr w14:paraId="29C3A2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2BC02C4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动植物油</w:t>
                  </w:r>
                </w:p>
              </w:tc>
              <w:tc>
                <w:tcPr>
                  <w:tcW w:w="708" w:type="pct"/>
                  <w:tcBorders>
                    <w:tl2br w:val="nil"/>
                    <w:tr2bl w:val="nil"/>
                  </w:tcBorders>
                  <w:noWrap w:val="0"/>
                  <w:vAlign w:val="center"/>
                </w:tcPr>
                <w:p w14:paraId="5668890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0.20</w:t>
                  </w:r>
                </w:p>
              </w:tc>
              <w:tc>
                <w:tcPr>
                  <w:tcW w:w="724" w:type="pct"/>
                  <w:tcBorders>
                    <w:tl2br w:val="nil"/>
                    <w:tr2bl w:val="nil"/>
                  </w:tcBorders>
                  <w:noWrap w:val="0"/>
                  <w:vAlign w:val="center"/>
                </w:tcPr>
                <w:p w14:paraId="42CFF4C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0.18</w:t>
                  </w:r>
                </w:p>
              </w:tc>
              <w:tc>
                <w:tcPr>
                  <w:tcW w:w="692" w:type="pct"/>
                  <w:tcBorders>
                    <w:tl2br w:val="nil"/>
                    <w:tr2bl w:val="nil"/>
                  </w:tcBorders>
                  <w:noWrap w:val="0"/>
                  <w:vAlign w:val="center"/>
                </w:tcPr>
                <w:p w14:paraId="26ACB2D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0.21</w:t>
                  </w:r>
                </w:p>
              </w:tc>
              <w:tc>
                <w:tcPr>
                  <w:tcW w:w="700" w:type="pct"/>
                  <w:tcBorders>
                    <w:tl2br w:val="nil"/>
                    <w:tr2bl w:val="nil"/>
                  </w:tcBorders>
                  <w:noWrap w:val="0"/>
                  <w:vAlign w:val="center"/>
                </w:tcPr>
                <w:p w14:paraId="4415CA1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0.20</w:t>
                  </w:r>
                </w:p>
              </w:tc>
              <w:tc>
                <w:tcPr>
                  <w:tcW w:w="891" w:type="pct"/>
                  <w:tcBorders>
                    <w:tl2br w:val="nil"/>
                    <w:tr2bl w:val="nil"/>
                  </w:tcBorders>
                  <w:noWrap w:val="0"/>
                  <w:vAlign w:val="center"/>
                </w:tcPr>
                <w:p w14:paraId="58500DA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14:paraId="08BA35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059C2E0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石油类</w:t>
                  </w:r>
                </w:p>
              </w:tc>
              <w:tc>
                <w:tcPr>
                  <w:tcW w:w="708" w:type="pct"/>
                  <w:tcBorders>
                    <w:tl2br w:val="nil"/>
                    <w:tr2bl w:val="nil"/>
                  </w:tcBorders>
                  <w:noWrap w:val="0"/>
                  <w:vAlign w:val="center"/>
                </w:tcPr>
                <w:p w14:paraId="25209E9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0.06L</w:t>
                  </w:r>
                </w:p>
              </w:tc>
              <w:tc>
                <w:tcPr>
                  <w:tcW w:w="724" w:type="pct"/>
                  <w:tcBorders>
                    <w:tl2br w:val="nil"/>
                    <w:tr2bl w:val="nil"/>
                  </w:tcBorders>
                  <w:noWrap w:val="0"/>
                  <w:vAlign w:val="center"/>
                </w:tcPr>
                <w:p w14:paraId="21BA5EF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0.06L</w:t>
                  </w:r>
                </w:p>
              </w:tc>
              <w:tc>
                <w:tcPr>
                  <w:tcW w:w="692" w:type="pct"/>
                  <w:tcBorders>
                    <w:tl2br w:val="nil"/>
                    <w:tr2bl w:val="nil"/>
                  </w:tcBorders>
                  <w:noWrap w:val="0"/>
                  <w:vAlign w:val="center"/>
                </w:tcPr>
                <w:p w14:paraId="44D750B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0.06L</w:t>
                  </w:r>
                </w:p>
              </w:tc>
              <w:tc>
                <w:tcPr>
                  <w:tcW w:w="700" w:type="pct"/>
                  <w:tcBorders>
                    <w:tl2br w:val="nil"/>
                    <w:tr2bl w:val="nil"/>
                  </w:tcBorders>
                  <w:noWrap w:val="0"/>
                  <w:vAlign w:val="center"/>
                </w:tcPr>
                <w:p w14:paraId="31DECE4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0.06L</w:t>
                  </w:r>
                </w:p>
              </w:tc>
              <w:tc>
                <w:tcPr>
                  <w:tcW w:w="891" w:type="pct"/>
                  <w:tcBorders>
                    <w:tl2br w:val="nil"/>
                    <w:tr2bl w:val="nil"/>
                  </w:tcBorders>
                  <w:noWrap w:val="0"/>
                  <w:vAlign w:val="center"/>
                </w:tcPr>
                <w:p w14:paraId="611BC26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14:paraId="78755B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52BBF90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阴离子表面活性剂</w:t>
                  </w:r>
                </w:p>
              </w:tc>
              <w:tc>
                <w:tcPr>
                  <w:tcW w:w="708" w:type="pct"/>
                  <w:tcBorders>
                    <w:tl2br w:val="nil"/>
                    <w:tr2bl w:val="nil"/>
                  </w:tcBorders>
                  <w:noWrap w:val="0"/>
                  <w:vAlign w:val="center"/>
                </w:tcPr>
                <w:p w14:paraId="221CFA0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0.07</w:t>
                  </w:r>
                </w:p>
              </w:tc>
              <w:tc>
                <w:tcPr>
                  <w:tcW w:w="724" w:type="pct"/>
                  <w:tcBorders>
                    <w:tl2br w:val="nil"/>
                    <w:tr2bl w:val="nil"/>
                  </w:tcBorders>
                  <w:noWrap w:val="0"/>
                  <w:vAlign w:val="center"/>
                </w:tcPr>
                <w:p w14:paraId="018BA6C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0.08</w:t>
                  </w:r>
                </w:p>
              </w:tc>
              <w:tc>
                <w:tcPr>
                  <w:tcW w:w="692" w:type="pct"/>
                  <w:tcBorders>
                    <w:tl2br w:val="nil"/>
                    <w:tr2bl w:val="nil"/>
                  </w:tcBorders>
                  <w:noWrap w:val="0"/>
                  <w:vAlign w:val="center"/>
                </w:tcPr>
                <w:p w14:paraId="58D8D79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0.08</w:t>
                  </w:r>
                </w:p>
              </w:tc>
              <w:tc>
                <w:tcPr>
                  <w:tcW w:w="700" w:type="pct"/>
                  <w:tcBorders>
                    <w:tl2br w:val="nil"/>
                    <w:tr2bl w:val="nil"/>
                  </w:tcBorders>
                  <w:noWrap w:val="0"/>
                  <w:vAlign w:val="center"/>
                </w:tcPr>
                <w:p w14:paraId="2401AC3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0.08</w:t>
                  </w:r>
                </w:p>
              </w:tc>
              <w:tc>
                <w:tcPr>
                  <w:tcW w:w="891" w:type="pct"/>
                  <w:tcBorders>
                    <w:tl2br w:val="nil"/>
                    <w:tr2bl w:val="nil"/>
                  </w:tcBorders>
                  <w:noWrap w:val="0"/>
                  <w:vAlign w:val="center"/>
                </w:tcPr>
                <w:p w14:paraId="08DDC0E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0.5</w:t>
                  </w:r>
                </w:p>
              </w:tc>
            </w:tr>
            <w:tr w14:paraId="249CE7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11D836E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色度</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倍</w:t>
                  </w:r>
                  <w:r>
                    <w:rPr>
                      <w:rFonts w:hint="eastAsia" w:eastAsia="宋体" w:cs="Times New Roman"/>
                      <w:color w:val="000000" w:themeColor="text1"/>
                      <w:sz w:val="21"/>
                      <w:szCs w:val="21"/>
                      <w:highlight w:val="none"/>
                      <w:lang w:val="en-US" w:eastAsia="zh-CN" w:bidi="ar"/>
                      <w14:textFill>
                        <w14:solidFill>
                          <w14:schemeClr w14:val="tx1"/>
                        </w14:solidFill>
                      </w14:textFill>
                    </w:rPr>
                    <w:t>）</w:t>
                  </w:r>
                </w:p>
              </w:tc>
              <w:tc>
                <w:tcPr>
                  <w:tcW w:w="708" w:type="pct"/>
                  <w:tcBorders>
                    <w:tl2br w:val="nil"/>
                    <w:tr2bl w:val="nil"/>
                  </w:tcBorders>
                  <w:noWrap w:val="0"/>
                  <w:vAlign w:val="center"/>
                </w:tcPr>
                <w:p w14:paraId="0E8FF05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724" w:type="pct"/>
                  <w:tcBorders>
                    <w:tl2br w:val="nil"/>
                    <w:tr2bl w:val="nil"/>
                  </w:tcBorders>
                  <w:noWrap w:val="0"/>
                  <w:vAlign w:val="center"/>
                </w:tcPr>
                <w:p w14:paraId="349A6A5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692" w:type="pct"/>
                  <w:tcBorders>
                    <w:tl2br w:val="nil"/>
                    <w:tr2bl w:val="nil"/>
                  </w:tcBorders>
                  <w:noWrap w:val="0"/>
                  <w:vAlign w:val="center"/>
                </w:tcPr>
                <w:p w14:paraId="703B5E7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700" w:type="pct"/>
                  <w:tcBorders>
                    <w:tl2br w:val="nil"/>
                    <w:tr2bl w:val="nil"/>
                  </w:tcBorders>
                  <w:noWrap w:val="0"/>
                  <w:vAlign w:val="center"/>
                </w:tcPr>
                <w:p w14:paraId="3B3BD5A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91" w:type="pct"/>
                  <w:tcBorders>
                    <w:tl2br w:val="nil"/>
                    <w:tr2bl w:val="nil"/>
                  </w:tcBorders>
                  <w:noWrap w:val="0"/>
                  <w:vAlign w:val="center"/>
                </w:tcPr>
                <w:p w14:paraId="1AB6A95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w:t>
                  </w:r>
                </w:p>
              </w:tc>
            </w:tr>
            <w:tr w14:paraId="60699B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7FA04F7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粪大肠菌群</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MPN/L</w:t>
                  </w:r>
                  <w:r>
                    <w:rPr>
                      <w:rFonts w:hint="eastAsia" w:eastAsia="宋体" w:cs="Times New Roman"/>
                      <w:color w:val="000000" w:themeColor="text1"/>
                      <w:sz w:val="21"/>
                      <w:szCs w:val="21"/>
                      <w:highlight w:val="none"/>
                      <w:lang w:val="en-US" w:eastAsia="zh-CN" w:bidi="ar"/>
                      <w14:textFill>
                        <w14:solidFill>
                          <w14:schemeClr w14:val="tx1"/>
                        </w14:solidFill>
                      </w14:textFill>
                    </w:rPr>
                    <w:t>）</w:t>
                  </w:r>
                </w:p>
              </w:tc>
              <w:tc>
                <w:tcPr>
                  <w:tcW w:w="708" w:type="pct"/>
                  <w:tcBorders>
                    <w:tl2br w:val="nil"/>
                    <w:tr2bl w:val="nil"/>
                  </w:tcBorders>
                  <w:noWrap w:val="0"/>
                  <w:vAlign w:val="center"/>
                </w:tcPr>
                <w:p w14:paraId="5995091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&lt;20</w:t>
                  </w:r>
                </w:p>
              </w:tc>
              <w:tc>
                <w:tcPr>
                  <w:tcW w:w="724" w:type="pct"/>
                  <w:tcBorders>
                    <w:tl2br w:val="nil"/>
                    <w:tr2bl w:val="nil"/>
                  </w:tcBorders>
                  <w:noWrap w:val="0"/>
                  <w:vAlign w:val="center"/>
                </w:tcPr>
                <w:p w14:paraId="0C4A455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&lt;20</w:t>
                  </w:r>
                </w:p>
              </w:tc>
              <w:tc>
                <w:tcPr>
                  <w:tcW w:w="692" w:type="pct"/>
                  <w:tcBorders>
                    <w:tl2br w:val="nil"/>
                    <w:tr2bl w:val="nil"/>
                  </w:tcBorders>
                  <w:noWrap w:val="0"/>
                  <w:vAlign w:val="center"/>
                </w:tcPr>
                <w:p w14:paraId="371ECD4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&lt;20</w:t>
                  </w:r>
                </w:p>
              </w:tc>
              <w:tc>
                <w:tcPr>
                  <w:tcW w:w="700" w:type="pct"/>
                  <w:tcBorders>
                    <w:tl2br w:val="nil"/>
                    <w:tr2bl w:val="nil"/>
                  </w:tcBorders>
                  <w:noWrap w:val="0"/>
                  <w:vAlign w:val="center"/>
                </w:tcPr>
                <w:p w14:paraId="628CB7C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&lt;20</w:t>
                  </w:r>
                </w:p>
              </w:tc>
              <w:tc>
                <w:tcPr>
                  <w:tcW w:w="891" w:type="pct"/>
                  <w:tcBorders>
                    <w:tl2br w:val="nil"/>
                    <w:tr2bl w:val="nil"/>
                  </w:tcBorders>
                  <w:noWrap w:val="0"/>
                  <w:vAlign w:val="center"/>
                </w:tcPr>
                <w:p w14:paraId="78C6F0F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1000</w:t>
                  </w:r>
                </w:p>
              </w:tc>
            </w:tr>
            <w:tr w14:paraId="216999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7A1AABA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砷</w:t>
                  </w:r>
                </w:p>
              </w:tc>
              <w:tc>
                <w:tcPr>
                  <w:tcW w:w="708" w:type="pct"/>
                  <w:tcBorders>
                    <w:tl2br w:val="nil"/>
                    <w:tr2bl w:val="nil"/>
                  </w:tcBorders>
                  <w:noWrap w:val="0"/>
                  <w:vAlign w:val="center"/>
                </w:tcPr>
                <w:p w14:paraId="1F88892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0.0003L</w:t>
                  </w:r>
                </w:p>
              </w:tc>
              <w:tc>
                <w:tcPr>
                  <w:tcW w:w="724" w:type="pct"/>
                  <w:tcBorders>
                    <w:tl2br w:val="nil"/>
                    <w:tr2bl w:val="nil"/>
                  </w:tcBorders>
                  <w:noWrap w:val="0"/>
                  <w:vAlign w:val="center"/>
                </w:tcPr>
                <w:p w14:paraId="66B0A2B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0.0003L</w:t>
                  </w:r>
                </w:p>
              </w:tc>
              <w:tc>
                <w:tcPr>
                  <w:tcW w:w="692" w:type="pct"/>
                  <w:tcBorders>
                    <w:tl2br w:val="nil"/>
                    <w:tr2bl w:val="nil"/>
                  </w:tcBorders>
                  <w:noWrap w:val="0"/>
                  <w:vAlign w:val="center"/>
                </w:tcPr>
                <w:p w14:paraId="1C24561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0.0003L</w:t>
                  </w:r>
                </w:p>
              </w:tc>
              <w:tc>
                <w:tcPr>
                  <w:tcW w:w="700" w:type="pct"/>
                  <w:tcBorders>
                    <w:tl2br w:val="nil"/>
                    <w:tr2bl w:val="nil"/>
                  </w:tcBorders>
                  <w:noWrap w:val="0"/>
                  <w:vAlign w:val="center"/>
                </w:tcPr>
                <w:p w14:paraId="79C1A0D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0.0003L</w:t>
                  </w:r>
                </w:p>
              </w:tc>
              <w:tc>
                <w:tcPr>
                  <w:tcW w:w="891" w:type="pct"/>
                  <w:tcBorders>
                    <w:tl2br w:val="nil"/>
                    <w:tr2bl w:val="nil"/>
                  </w:tcBorders>
                  <w:noWrap w:val="0"/>
                  <w:vAlign w:val="center"/>
                </w:tcPr>
                <w:p w14:paraId="5CC5E4C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w:t>
                  </w:r>
                </w:p>
              </w:tc>
            </w:tr>
            <w:tr w14:paraId="24B407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5E65683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汞</w:t>
                  </w:r>
                </w:p>
              </w:tc>
              <w:tc>
                <w:tcPr>
                  <w:tcW w:w="708" w:type="pct"/>
                  <w:tcBorders>
                    <w:tl2br w:val="nil"/>
                    <w:tr2bl w:val="nil"/>
                  </w:tcBorders>
                  <w:noWrap w:val="0"/>
                  <w:vAlign w:val="center"/>
                </w:tcPr>
                <w:p w14:paraId="5192C8B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0.00004L</w:t>
                  </w:r>
                </w:p>
              </w:tc>
              <w:tc>
                <w:tcPr>
                  <w:tcW w:w="724" w:type="pct"/>
                  <w:tcBorders>
                    <w:tl2br w:val="nil"/>
                    <w:tr2bl w:val="nil"/>
                  </w:tcBorders>
                  <w:noWrap w:val="0"/>
                  <w:vAlign w:val="center"/>
                </w:tcPr>
                <w:p w14:paraId="170949D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0.00004L</w:t>
                  </w:r>
                </w:p>
              </w:tc>
              <w:tc>
                <w:tcPr>
                  <w:tcW w:w="692" w:type="pct"/>
                  <w:tcBorders>
                    <w:tl2br w:val="nil"/>
                    <w:tr2bl w:val="nil"/>
                  </w:tcBorders>
                  <w:noWrap w:val="0"/>
                  <w:vAlign w:val="center"/>
                </w:tcPr>
                <w:p w14:paraId="613A6A3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0.00004L</w:t>
                  </w:r>
                </w:p>
              </w:tc>
              <w:tc>
                <w:tcPr>
                  <w:tcW w:w="700" w:type="pct"/>
                  <w:tcBorders>
                    <w:tl2br w:val="nil"/>
                    <w:tr2bl w:val="nil"/>
                  </w:tcBorders>
                  <w:noWrap w:val="0"/>
                  <w:vAlign w:val="center"/>
                </w:tcPr>
                <w:p w14:paraId="5A36CFA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0.00004L</w:t>
                  </w:r>
                </w:p>
              </w:tc>
              <w:tc>
                <w:tcPr>
                  <w:tcW w:w="891" w:type="pct"/>
                  <w:tcBorders>
                    <w:tl2br w:val="nil"/>
                    <w:tr2bl w:val="nil"/>
                  </w:tcBorders>
                  <w:noWrap w:val="0"/>
                  <w:vAlign w:val="center"/>
                </w:tcPr>
                <w:p w14:paraId="6347ABF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0.01</w:t>
                  </w:r>
                </w:p>
              </w:tc>
            </w:tr>
            <w:tr w14:paraId="2D2DDA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523E28C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六价铬</w:t>
                  </w:r>
                </w:p>
              </w:tc>
              <w:tc>
                <w:tcPr>
                  <w:tcW w:w="708" w:type="pct"/>
                  <w:tcBorders>
                    <w:tl2br w:val="nil"/>
                    <w:tr2bl w:val="nil"/>
                  </w:tcBorders>
                  <w:noWrap w:val="0"/>
                  <w:vAlign w:val="center"/>
                </w:tcPr>
                <w:p w14:paraId="4673FE2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0.004L</w:t>
                  </w:r>
                </w:p>
              </w:tc>
              <w:tc>
                <w:tcPr>
                  <w:tcW w:w="724" w:type="pct"/>
                  <w:tcBorders>
                    <w:tl2br w:val="nil"/>
                    <w:tr2bl w:val="nil"/>
                  </w:tcBorders>
                  <w:noWrap w:val="0"/>
                  <w:vAlign w:val="center"/>
                </w:tcPr>
                <w:p w14:paraId="7667B59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0.004L</w:t>
                  </w:r>
                </w:p>
              </w:tc>
              <w:tc>
                <w:tcPr>
                  <w:tcW w:w="692" w:type="pct"/>
                  <w:tcBorders>
                    <w:tl2br w:val="nil"/>
                    <w:tr2bl w:val="nil"/>
                  </w:tcBorders>
                  <w:noWrap w:val="0"/>
                  <w:vAlign w:val="center"/>
                </w:tcPr>
                <w:p w14:paraId="7A0A6AD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0.004L</w:t>
                  </w:r>
                </w:p>
              </w:tc>
              <w:tc>
                <w:tcPr>
                  <w:tcW w:w="700" w:type="pct"/>
                  <w:tcBorders>
                    <w:tl2br w:val="nil"/>
                    <w:tr2bl w:val="nil"/>
                  </w:tcBorders>
                  <w:noWrap w:val="0"/>
                  <w:vAlign w:val="center"/>
                </w:tcPr>
                <w:p w14:paraId="25356A1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0.004L</w:t>
                  </w:r>
                </w:p>
              </w:tc>
              <w:tc>
                <w:tcPr>
                  <w:tcW w:w="891" w:type="pct"/>
                  <w:tcBorders>
                    <w:tl2br w:val="nil"/>
                    <w:tr2bl w:val="nil"/>
                  </w:tcBorders>
                  <w:noWrap w:val="0"/>
                  <w:vAlign w:val="center"/>
                </w:tcPr>
                <w:p w14:paraId="65D35D4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0.05</w:t>
                  </w:r>
                </w:p>
              </w:tc>
            </w:tr>
            <w:tr w14:paraId="3226D5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4D31D32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总铬</w:t>
                  </w:r>
                </w:p>
              </w:tc>
              <w:tc>
                <w:tcPr>
                  <w:tcW w:w="708" w:type="pct"/>
                  <w:tcBorders>
                    <w:tl2br w:val="nil"/>
                    <w:tr2bl w:val="nil"/>
                  </w:tcBorders>
                  <w:noWrap w:val="0"/>
                  <w:vAlign w:val="center"/>
                </w:tcPr>
                <w:p w14:paraId="4B821A2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0.03L</w:t>
                  </w:r>
                </w:p>
              </w:tc>
              <w:tc>
                <w:tcPr>
                  <w:tcW w:w="724" w:type="pct"/>
                  <w:tcBorders>
                    <w:tl2br w:val="nil"/>
                    <w:tr2bl w:val="nil"/>
                  </w:tcBorders>
                  <w:noWrap w:val="0"/>
                  <w:vAlign w:val="center"/>
                </w:tcPr>
                <w:p w14:paraId="4E4C4C4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0.03L</w:t>
                  </w:r>
                </w:p>
              </w:tc>
              <w:tc>
                <w:tcPr>
                  <w:tcW w:w="692" w:type="pct"/>
                  <w:tcBorders>
                    <w:tl2br w:val="nil"/>
                    <w:tr2bl w:val="nil"/>
                  </w:tcBorders>
                  <w:noWrap w:val="0"/>
                  <w:vAlign w:val="center"/>
                </w:tcPr>
                <w:p w14:paraId="3E48BA3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0.03L</w:t>
                  </w:r>
                </w:p>
              </w:tc>
              <w:tc>
                <w:tcPr>
                  <w:tcW w:w="700" w:type="pct"/>
                  <w:tcBorders>
                    <w:tl2br w:val="nil"/>
                    <w:tr2bl w:val="nil"/>
                  </w:tcBorders>
                  <w:noWrap w:val="0"/>
                  <w:vAlign w:val="center"/>
                </w:tcPr>
                <w:p w14:paraId="2ACD3F7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0.03L</w:t>
                  </w:r>
                </w:p>
              </w:tc>
              <w:tc>
                <w:tcPr>
                  <w:tcW w:w="891" w:type="pct"/>
                  <w:tcBorders>
                    <w:tl2br w:val="nil"/>
                    <w:tr2bl w:val="nil"/>
                  </w:tcBorders>
                  <w:noWrap w:val="0"/>
                  <w:vAlign w:val="center"/>
                </w:tcPr>
                <w:p w14:paraId="330FDBE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w:t>
                  </w:r>
                </w:p>
              </w:tc>
            </w:tr>
            <w:tr w14:paraId="67BCE8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4999D6C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氨氮</w:t>
                  </w:r>
                </w:p>
              </w:tc>
              <w:tc>
                <w:tcPr>
                  <w:tcW w:w="708" w:type="pct"/>
                  <w:tcBorders>
                    <w:tl2br w:val="nil"/>
                    <w:tr2bl w:val="nil"/>
                  </w:tcBorders>
                  <w:noWrap w:val="0"/>
                  <w:vAlign w:val="center"/>
                </w:tcPr>
                <w:p w14:paraId="0120941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0.830</w:t>
                  </w:r>
                </w:p>
              </w:tc>
              <w:tc>
                <w:tcPr>
                  <w:tcW w:w="724" w:type="pct"/>
                  <w:tcBorders>
                    <w:tl2br w:val="nil"/>
                    <w:tr2bl w:val="nil"/>
                  </w:tcBorders>
                  <w:noWrap w:val="0"/>
                  <w:vAlign w:val="center"/>
                </w:tcPr>
                <w:p w14:paraId="0517D14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0.836</w:t>
                  </w:r>
                </w:p>
              </w:tc>
              <w:tc>
                <w:tcPr>
                  <w:tcW w:w="692" w:type="pct"/>
                  <w:tcBorders>
                    <w:tl2br w:val="nil"/>
                    <w:tr2bl w:val="nil"/>
                  </w:tcBorders>
                  <w:noWrap w:val="0"/>
                  <w:vAlign w:val="center"/>
                </w:tcPr>
                <w:p w14:paraId="3B46C80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0.841</w:t>
                  </w:r>
                </w:p>
              </w:tc>
              <w:tc>
                <w:tcPr>
                  <w:tcW w:w="700" w:type="pct"/>
                  <w:tcBorders>
                    <w:tl2br w:val="nil"/>
                    <w:tr2bl w:val="nil"/>
                  </w:tcBorders>
                  <w:noWrap w:val="0"/>
                  <w:vAlign w:val="center"/>
                </w:tcPr>
                <w:p w14:paraId="38121DB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0.836</w:t>
                  </w:r>
                </w:p>
              </w:tc>
              <w:tc>
                <w:tcPr>
                  <w:tcW w:w="891" w:type="pct"/>
                  <w:tcBorders>
                    <w:tl2br w:val="nil"/>
                    <w:tr2bl w:val="nil"/>
                  </w:tcBorders>
                  <w:noWrap w:val="0"/>
                  <w:vAlign w:val="center"/>
                </w:tcPr>
                <w:p w14:paraId="5E38838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5（</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r>
            <w:tr w14:paraId="4350BA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25772EC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总磷</w:t>
                  </w:r>
                </w:p>
              </w:tc>
              <w:tc>
                <w:tcPr>
                  <w:tcW w:w="708" w:type="pct"/>
                  <w:tcBorders>
                    <w:tl2br w:val="nil"/>
                    <w:tr2bl w:val="nil"/>
                  </w:tcBorders>
                  <w:noWrap w:val="0"/>
                  <w:vAlign w:val="center"/>
                </w:tcPr>
                <w:p w14:paraId="0FA0097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0.20</w:t>
                  </w:r>
                </w:p>
              </w:tc>
              <w:tc>
                <w:tcPr>
                  <w:tcW w:w="724" w:type="pct"/>
                  <w:tcBorders>
                    <w:tl2br w:val="nil"/>
                    <w:tr2bl w:val="nil"/>
                  </w:tcBorders>
                  <w:noWrap w:val="0"/>
                  <w:vAlign w:val="center"/>
                </w:tcPr>
                <w:p w14:paraId="0F6798D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0.19</w:t>
                  </w:r>
                </w:p>
              </w:tc>
              <w:tc>
                <w:tcPr>
                  <w:tcW w:w="692" w:type="pct"/>
                  <w:tcBorders>
                    <w:tl2br w:val="nil"/>
                    <w:tr2bl w:val="nil"/>
                  </w:tcBorders>
                  <w:noWrap w:val="0"/>
                  <w:vAlign w:val="center"/>
                </w:tcPr>
                <w:p w14:paraId="01B302A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0.21</w:t>
                  </w:r>
                </w:p>
              </w:tc>
              <w:tc>
                <w:tcPr>
                  <w:tcW w:w="700" w:type="pct"/>
                  <w:tcBorders>
                    <w:tl2br w:val="nil"/>
                    <w:tr2bl w:val="nil"/>
                  </w:tcBorders>
                  <w:noWrap w:val="0"/>
                  <w:vAlign w:val="center"/>
                </w:tcPr>
                <w:p w14:paraId="218EBB5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0.20</w:t>
                  </w:r>
                </w:p>
              </w:tc>
              <w:tc>
                <w:tcPr>
                  <w:tcW w:w="891" w:type="pct"/>
                  <w:tcBorders>
                    <w:tl2br w:val="nil"/>
                    <w:tr2bl w:val="nil"/>
                  </w:tcBorders>
                  <w:noWrap w:val="0"/>
                  <w:vAlign w:val="center"/>
                </w:tcPr>
                <w:p w14:paraId="268BF53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0.5</w:t>
                  </w:r>
                </w:p>
              </w:tc>
            </w:tr>
            <w:tr w14:paraId="2DC704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479989C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总氮</w:t>
                  </w:r>
                </w:p>
              </w:tc>
              <w:tc>
                <w:tcPr>
                  <w:tcW w:w="708" w:type="pct"/>
                  <w:tcBorders>
                    <w:tl2br w:val="nil"/>
                    <w:tr2bl w:val="nil"/>
                  </w:tcBorders>
                  <w:noWrap w:val="0"/>
                  <w:vAlign w:val="center"/>
                </w:tcPr>
                <w:p w14:paraId="2B234AA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4.72</w:t>
                  </w:r>
                </w:p>
              </w:tc>
              <w:tc>
                <w:tcPr>
                  <w:tcW w:w="724" w:type="pct"/>
                  <w:tcBorders>
                    <w:tl2br w:val="nil"/>
                    <w:tr2bl w:val="nil"/>
                  </w:tcBorders>
                  <w:noWrap w:val="0"/>
                  <w:vAlign w:val="center"/>
                </w:tcPr>
                <w:p w14:paraId="0CEA24E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4.69</w:t>
                  </w:r>
                </w:p>
              </w:tc>
              <w:tc>
                <w:tcPr>
                  <w:tcW w:w="692" w:type="pct"/>
                  <w:tcBorders>
                    <w:tl2br w:val="nil"/>
                    <w:tr2bl w:val="nil"/>
                  </w:tcBorders>
                  <w:noWrap w:val="0"/>
                  <w:vAlign w:val="center"/>
                </w:tcPr>
                <w:p w14:paraId="2CB031E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4.70</w:t>
                  </w:r>
                </w:p>
              </w:tc>
              <w:tc>
                <w:tcPr>
                  <w:tcW w:w="700" w:type="pct"/>
                  <w:tcBorders>
                    <w:tl2br w:val="nil"/>
                    <w:tr2bl w:val="nil"/>
                  </w:tcBorders>
                  <w:noWrap w:val="0"/>
                  <w:vAlign w:val="center"/>
                </w:tcPr>
                <w:p w14:paraId="799568F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4.70</w:t>
                  </w:r>
                </w:p>
              </w:tc>
              <w:tc>
                <w:tcPr>
                  <w:tcW w:w="891" w:type="pct"/>
                  <w:tcBorders>
                    <w:tl2br w:val="nil"/>
                    <w:tr2bl w:val="nil"/>
                  </w:tcBorders>
                  <w:noWrap w:val="0"/>
                  <w:vAlign w:val="center"/>
                </w:tcPr>
                <w:p w14:paraId="6168D4C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w:t>
                  </w:r>
                </w:p>
              </w:tc>
            </w:tr>
            <w:tr w14:paraId="3C0AE0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4B9BE19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氟化物</w:t>
                  </w:r>
                </w:p>
              </w:tc>
              <w:tc>
                <w:tcPr>
                  <w:tcW w:w="708" w:type="pct"/>
                  <w:tcBorders>
                    <w:tl2br w:val="nil"/>
                    <w:tr2bl w:val="nil"/>
                  </w:tcBorders>
                  <w:noWrap w:val="0"/>
                  <w:vAlign w:val="center"/>
                </w:tcPr>
                <w:p w14:paraId="29D7407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0.92</w:t>
                  </w:r>
                </w:p>
              </w:tc>
              <w:tc>
                <w:tcPr>
                  <w:tcW w:w="724" w:type="pct"/>
                  <w:tcBorders>
                    <w:tl2br w:val="nil"/>
                    <w:tr2bl w:val="nil"/>
                  </w:tcBorders>
                  <w:noWrap w:val="0"/>
                  <w:vAlign w:val="center"/>
                </w:tcPr>
                <w:p w14:paraId="50F857E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0.89</w:t>
                  </w:r>
                </w:p>
              </w:tc>
              <w:tc>
                <w:tcPr>
                  <w:tcW w:w="692" w:type="pct"/>
                  <w:tcBorders>
                    <w:tl2br w:val="nil"/>
                    <w:tr2bl w:val="nil"/>
                  </w:tcBorders>
                  <w:noWrap w:val="0"/>
                  <w:vAlign w:val="center"/>
                </w:tcPr>
                <w:p w14:paraId="6A879C7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0.89</w:t>
                  </w:r>
                </w:p>
              </w:tc>
              <w:tc>
                <w:tcPr>
                  <w:tcW w:w="700" w:type="pct"/>
                  <w:tcBorders>
                    <w:tl2br w:val="nil"/>
                    <w:tr2bl w:val="nil"/>
                  </w:tcBorders>
                  <w:noWrap w:val="0"/>
                  <w:vAlign w:val="center"/>
                </w:tcPr>
                <w:p w14:paraId="43B1648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0.90</w:t>
                  </w:r>
                </w:p>
              </w:tc>
              <w:tc>
                <w:tcPr>
                  <w:tcW w:w="891" w:type="pct"/>
                  <w:tcBorders>
                    <w:tl2br w:val="nil"/>
                    <w:tr2bl w:val="nil"/>
                  </w:tcBorders>
                  <w:noWrap w:val="0"/>
                  <w:vAlign w:val="center"/>
                </w:tcPr>
                <w:p w14:paraId="4673020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120689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09AD9CB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*铅</w:t>
                  </w:r>
                </w:p>
              </w:tc>
              <w:tc>
                <w:tcPr>
                  <w:tcW w:w="708" w:type="pct"/>
                  <w:tcBorders>
                    <w:tl2br w:val="nil"/>
                    <w:tr2bl w:val="nil"/>
                  </w:tcBorders>
                  <w:noWrap w:val="0"/>
                  <w:vAlign w:val="center"/>
                </w:tcPr>
                <w:p w14:paraId="5D5A183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0.00009L</w:t>
                  </w:r>
                </w:p>
              </w:tc>
              <w:tc>
                <w:tcPr>
                  <w:tcW w:w="724" w:type="pct"/>
                  <w:tcBorders>
                    <w:tl2br w:val="nil"/>
                    <w:tr2bl w:val="nil"/>
                  </w:tcBorders>
                  <w:noWrap w:val="0"/>
                  <w:vAlign w:val="center"/>
                </w:tcPr>
                <w:p w14:paraId="034638F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0.00009L</w:t>
                  </w:r>
                </w:p>
              </w:tc>
              <w:tc>
                <w:tcPr>
                  <w:tcW w:w="692" w:type="pct"/>
                  <w:tcBorders>
                    <w:tl2br w:val="nil"/>
                    <w:tr2bl w:val="nil"/>
                  </w:tcBorders>
                  <w:noWrap w:val="0"/>
                  <w:vAlign w:val="center"/>
                </w:tcPr>
                <w:p w14:paraId="340D106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0.00009L</w:t>
                  </w:r>
                </w:p>
              </w:tc>
              <w:tc>
                <w:tcPr>
                  <w:tcW w:w="700" w:type="pct"/>
                  <w:tcBorders>
                    <w:tl2br w:val="nil"/>
                    <w:tr2bl w:val="nil"/>
                  </w:tcBorders>
                  <w:noWrap w:val="0"/>
                  <w:vAlign w:val="center"/>
                </w:tcPr>
                <w:p w14:paraId="036C34C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0.00009L</w:t>
                  </w:r>
                </w:p>
              </w:tc>
              <w:tc>
                <w:tcPr>
                  <w:tcW w:w="891" w:type="pct"/>
                  <w:tcBorders>
                    <w:tl2br w:val="nil"/>
                    <w:tr2bl w:val="nil"/>
                  </w:tcBorders>
                  <w:noWrap w:val="0"/>
                  <w:vAlign w:val="center"/>
                </w:tcPr>
                <w:p w14:paraId="5E030A3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w:t>
                  </w:r>
                </w:p>
              </w:tc>
            </w:tr>
            <w:tr w14:paraId="68F96C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19E1615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*镉</w:t>
                  </w:r>
                </w:p>
              </w:tc>
              <w:tc>
                <w:tcPr>
                  <w:tcW w:w="708" w:type="pct"/>
                  <w:tcBorders>
                    <w:tl2br w:val="nil"/>
                    <w:tr2bl w:val="nil"/>
                  </w:tcBorders>
                  <w:noWrap w:val="0"/>
                  <w:vAlign w:val="center"/>
                </w:tcPr>
                <w:p w14:paraId="53BCD3A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0.00005L</w:t>
                  </w:r>
                </w:p>
              </w:tc>
              <w:tc>
                <w:tcPr>
                  <w:tcW w:w="724" w:type="pct"/>
                  <w:tcBorders>
                    <w:tl2br w:val="nil"/>
                    <w:tr2bl w:val="nil"/>
                  </w:tcBorders>
                  <w:noWrap w:val="0"/>
                  <w:vAlign w:val="center"/>
                </w:tcPr>
                <w:p w14:paraId="1D054C4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0.00005L</w:t>
                  </w:r>
                </w:p>
              </w:tc>
              <w:tc>
                <w:tcPr>
                  <w:tcW w:w="692" w:type="pct"/>
                  <w:tcBorders>
                    <w:tl2br w:val="nil"/>
                    <w:tr2bl w:val="nil"/>
                  </w:tcBorders>
                  <w:noWrap w:val="0"/>
                  <w:vAlign w:val="center"/>
                </w:tcPr>
                <w:p w14:paraId="6C8C3C4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0.00005L</w:t>
                  </w:r>
                </w:p>
              </w:tc>
              <w:tc>
                <w:tcPr>
                  <w:tcW w:w="700" w:type="pct"/>
                  <w:tcBorders>
                    <w:tl2br w:val="nil"/>
                    <w:tr2bl w:val="nil"/>
                  </w:tcBorders>
                  <w:noWrap w:val="0"/>
                  <w:vAlign w:val="center"/>
                </w:tcPr>
                <w:p w14:paraId="49B9609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0.00005L</w:t>
                  </w:r>
                </w:p>
              </w:tc>
              <w:tc>
                <w:tcPr>
                  <w:tcW w:w="891" w:type="pct"/>
                  <w:tcBorders>
                    <w:tl2br w:val="nil"/>
                    <w:tr2bl w:val="nil"/>
                  </w:tcBorders>
                  <w:noWrap w:val="0"/>
                  <w:vAlign w:val="center"/>
                </w:tcPr>
                <w:p w14:paraId="21F6A73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0.01</w:t>
                  </w:r>
                </w:p>
              </w:tc>
            </w:tr>
            <w:tr w14:paraId="6F1CB8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282" w:type="pct"/>
                  <w:tcBorders>
                    <w:tl2br w:val="nil"/>
                    <w:tr2bl w:val="nil"/>
                  </w:tcBorders>
                  <w:noWrap w:val="0"/>
                  <w:vAlign w:val="center"/>
                </w:tcPr>
                <w:p w14:paraId="2459F8C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备注</w:t>
                  </w:r>
                </w:p>
              </w:tc>
              <w:tc>
                <w:tcPr>
                  <w:tcW w:w="3717" w:type="pct"/>
                  <w:gridSpan w:val="5"/>
                  <w:tcBorders>
                    <w:tl2br w:val="nil"/>
                    <w:tr2bl w:val="nil"/>
                  </w:tcBorders>
                  <w:noWrap w:val="0"/>
                  <w:vAlign w:val="center"/>
                </w:tcPr>
                <w:p w14:paraId="72F54FE7">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cente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1、磴口县中涵水务有限公司废水总排口项目中带*项目为分包项，委托泉鑫检测科技</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山东</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有限公司分析，泉鑫检测科技</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山东</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有限公司资质认定证书编号为241512055860。</w:t>
                  </w:r>
                </w:p>
                <w:p w14:paraId="6610234D">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2、表中“L”代表未检出。</w:t>
                  </w:r>
                </w:p>
              </w:tc>
            </w:tr>
          </w:tbl>
          <w:p w14:paraId="26B98D60">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表2-24  2025年污水处理厂废水排口污染物在线监测情况</w:t>
            </w:r>
          </w:p>
          <w:tbl>
            <w:tblPr>
              <w:tblStyle w:val="12"/>
              <w:tblW w:w="4999" w:type="pct"/>
              <w:tblInd w:w="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483"/>
              <w:gridCol w:w="1206"/>
              <w:gridCol w:w="599"/>
              <w:gridCol w:w="1484"/>
              <w:gridCol w:w="1084"/>
              <w:gridCol w:w="1084"/>
              <w:gridCol w:w="1084"/>
              <w:gridCol w:w="883"/>
            </w:tblGrid>
            <w:tr w14:paraId="66683E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6" w:hRule="atLeast"/>
              </w:trPr>
              <w:tc>
                <w:tcPr>
                  <w:tcW w:w="313" w:type="pct"/>
                  <w:tcBorders>
                    <w:tl2br w:val="nil"/>
                    <w:tr2bl w:val="nil"/>
                  </w:tcBorders>
                  <w:noWrap/>
                  <w:vAlign w:val="center"/>
                </w:tcPr>
                <w:p w14:paraId="3DE405A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时间</w:t>
                  </w:r>
                </w:p>
              </w:tc>
              <w:tc>
                <w:tcPr>
                  <w:tcW w:w="767" w:type="pct"/>
                  <w:tcBorders>
                    <w:tl2br w:val="nil"/>
                    <w:tr2bl w:val="nil"/>
                  </w:tcBorders>
                  <w:noWrap/>
                  <w:vAlign w:val="center"/>
                </w:tcPr>
                <w:p w14:paraId="149EFE00">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累计流量（</w:t>
                  </w:r>
                  <w:r>
                    <w:rPr>
                      <w:rFonts w:hint="eastAsia"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m</w:t>
                  </w:r>
                  <w:r>
                    <w:rPr>
                      <w:rFonts w:hint="eastAsia" w:eastAsia="宋体" w:cs="Times New Roman"/>
                      <w:b w:val="0"/>
                      <w:bCs w:val="0"/>
                      <w:i w:val="0"/>
                      <w:iCs w:val="0"/>
                      <w:color w:val="000000" w:themeColor="text1"/>
                      <w:kern w:val="0"/>
                      <w:sz w:val="18"/>
                      <w:szCs w:val="18"/>
                      <w:highlight w:val="none"/>
                      <w:u w:val="none"/>
                      <w:vertAlign w:val="superscript"/>
                      <w:lang w:val="en-US" w:eastAsia="zh-CN" w:bidi="ar"/>
                      <w14:textFill>
                        <w14:solidFill>
                          <w14:schemeClr w14:val="tx1"/>
                        </w14:solidFill>
                      </w14:textFill>
                    </w:rPr>
                    <w:t>3</w:t>
                  </w: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w:t>
                  </w:r>
                </w:p>
              </w:tc>
              <w:tc>
                <w:tcPr>
                  <w:tcW w:w="541" w:type="pct"/>
                  <w:tcBorders>
                    <w:tl2br w:val="nil"/>
                    <w:tr2bl w:val="nil"/>
                  </w:tcBorders>
                  <w:noWrap/>
                  <w:vAlign w:val="center"/>
                </w:tcPr>
                <w:p w14:paraId="44B75B2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pH</w:t>
                  </w:r>
                </w:p>
              </w:tc>
              <w:tc>
                <w:tcPr>
                  <w:tcW w:w="744" w:type="pct"/>
                  <w:tcBorders>
                    <w:tl2br w:val="nil"/>
                    <w:tr2bl w:val="nil"/>
                  </w:tcBorders>
                  <w:noWrap/>
                  <w:vAlign w:val="center"/>
                </w:tcPr>
                <w:p w14:paraId="2FB6A72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化学需氧量（</w:t>
                  </w:r>
                  <w:r>
                    <w:rPr>
                      <w:rFonts w:hint="eastAsia"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mg/L</w:t>
                  </w: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w:t>
                  </w:r>
                </w:p>
              </w:tc>
              <w:tc>
                <w:tcPr>
                  <w:tcW w:w="684" w:type="pct"/>
                  <w:tcBorders>
                    <w:tl2br w:val="nil"/>
                    <w:tr2bl w:val="nil"/>
                  </w:tcBorders>
                  <w:noWrap/>
                  <w:vAlign w:val="center"/>
                </w:tcPr>
                <w:p w14:paraId="6CF7450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氨氮（</w:t>
                  </w:r>
                  <w:r>
                    <w:rPr>
                      <w:rFonts w:hint="eastAsia"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mg/L</w:t>
                  </w: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w:t>
                  </w:r>
                </w:p>
              </w:tc>
              <w:tc>
                <w:tcPr>
                  <w:tcW w:w="684" w:type="pct"/>
                  <w:tcBorders>
                    <w:tl2br w:val="nil"/>
                    <w:tr2bl w:val="nil"/>
                  </w:tcBorders>
                  <w:noWrap/>
                  <w:vAlign w:val="center"/>
                </w:tcPr>
                <w:p w14:paraId="4788F36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总氮（</w:t>
                  </w:r>
                  <w:r>
                    <w:rPr>
                      <w:rFonts w:hint="eastAsia"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mg/L</w:t>
                  </w: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w:t>
                  </w:r>
                </w:p>
              </w:tc>
              <w:tc>
                <w:tcPr>
                  <w:tcW w:w="684" w:type="pct"/>
                  <w:tcBorders>
                    <w:tl2br w:val="nil"/>
                    <w:tr2bl w:val="nil"/>
                  </w:tcBorders>
                  <w:noWrap/>
                  <w:vAlign w:val="center"/>
                </w:tcPr>
                <w:p w14:paraId="6264790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总磷（</w:t>
                  </w:r>
                  <w:r>
                    <w:rPr>
                      <w:rFonts w:hint="eastAsia"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mg/L</w:t>
                  </w: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w:t>
                  </w:r>
                </w:p>
              </w:tc>
              <w:tc>
                <w:tcPr>
                  <w:tcW w:w="580" w:type="pct"/>
                  <w:tcBorders>
                    <w:tl2br w:val="nil"/>
                    <w:tr2bl w:val="nil"/>
                  </w:tcBorders>
                  <w:noWrap/>
                  <w:vAlign w:val="center"/>
                </w:tcPr>
                <w:p w14:paraId="349DD4D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水温（</w:t>
                  </w:r>
                  <w:r>
                    <w:rPr>
                      <w:rFonts w:hint="eastAsia"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w:t>
                  </w: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w:t>
                  </w:r>
                </w:p>
              </w:tc>
            </w:tr>
            <w:tr w14:paraId="1DF173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13" w:type="pct"/>
                  <w:tcBorders>
                    <w:tl2br w:val="nil"/>
                    <w:tr2bl w:val="nil"/>
                  </w:tcBorders>
                  <w:noWrap w:val="0"/>
                  <w:vAlign w:val="center"/>
                </w:tcPr>
                <w:p w14:paraId="2BB68CC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1月</w:t>
                  </w:r>
                </w:p>
              </w:tc>
              <w:tc>
                <w:tcPr>
                  <w:tcW w:w="767" w:type="pct"/>
                  <w:tcBorders>
                    <w:tl2br w:val="nil"/>
                    <w:tr2bl w:val="nil"/>
                  </w:tcBorders>
                  <w:noWrap w:val="0"/>
                  <w:vAlign w:val="center"/>
                </w:tcPr>
                <w:p w14:paraId="4C09A16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285402.554</w:t>
                  </w:r>
                </w:p>
              </w:tc>
              <w:tc>
                <w:tcPr>
                  <w:tcW w:w="541" w:type="pct"/>
                  <w:tcBorders>
                    <w:tl2br w:val="nil"/>
                    <w:tr2bl w:val="nil"/>
                  </w:tcBorders>
                  <w:noWrap w:val="0"/>
                  <w:vAlign w:val="center"/>
                </w:tcPr>
                <w:p w14:paraId="5879403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7.952</w:t>
                  </w:r>
                </w:p>
              </w:tc>
              <w:tc>
                <w:tcPr>
                  <w:tcW w:w="744" w:type="pct"/>
                  <w:tcBorders>
                    <w:tl2br w:val="nil"/>
                    <w:tr2bl w:val="nil"/>
                  </w:tcBorders>
                  <w:noWrap w:val="0"/>
                  <w:vAlign w:val="center"/>
                </w:tcPr>
                <w:p w14:paraId="775CD58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24.038</w:t>
                  </w:r>
                </w:p>
              </w:tc>
              <w:tc>
                <w:tcPr>
                  <w:tcW w:w="684" w:type="pct"/>
                  <w:tcBorders>
                    <w:tl2br w:val="nil"/>
                    <w:tr2bl w:val="nil"/>
                  </w:tcBorders>
                  <w:noWrap w:val="0"/>
                  <w:vAlign w:val="center"/>
                </w:tcPr>
                <w:p w14:paraId="11E52AA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2.68</w:t>
                  </w:r>
                </w:p>
              </w:tc>
              <w:tc>
                <w:tcPr>
                  <w:tcW w:w="684" w:type="pct"/>
                  <w:tcBorders>
                    <w:tl2br w:val="nil"/>
                    <w:tr2bl w:val="nil"/>
                  </w:tcBorders>
                  <w:noWrap w:val="0"/>
                  <w:vAlign w:val="center"/>
                </w:tcPr>
                <w:p w14:paraId="7CEF854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10.795</w:t>
                  </w:r>
                </w:p>
              </w:tc>
              <w:tc>
                <w:tcPr>
                  <w:tcW w:w="684" w:type="pct"/>
                  <w:tcBorders>
                    <w:tl2br w:val="nil"/>
                    <w:tr2bl w:val="nil"/>
                  </w:tcBorders>
                  <w:noWrap w:val="0"/>
                  <w:vAlign w:val="center"/>
                </w:tcPr>
                <w:p w14:paraId="4F94C94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0.263</w:t>
                  </w:r>
                </w:p>
              </w:tc>
              <w:tc>
                <w:tcPr>
                  <w:tcW w:w="580" w:type="pct"/>
                  <w:tcBorders>
                    <w:tl2br w:val="nil"/>
                    <w:tr2bl w:val="nil"/>
                  </w:tcBorders>
                  <w:noWrap w:val="0"/>
                  <w:vAlign w:val="center"/>
                </w:tcPr>
                <w:p w14:paraId="6DC9CAD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14.542</w:t>
                  </w:r>
                </w:p>
              </w:tc>
            </w:tr>
            <w:tr w14:paraId="7790AC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13" w:type="pct"/>
                  <w:tcBorders>
                    <w:tl2br w:val="nil"/>
                    <w:tr2bl w:val="nil"/>
                  </w:tcBorders>
                  <w:noWrap w:val="0"/>
                  <w:vAlign w:val="center"/>
                </w:tcPr>
                <w:p w14:paraId="4B57934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2月</w:t>
                  </w:r>
                </w:p>
              </w:tc>
              <w:tc>
                <w:tcPr>
                  <w:tcW w:w="767" w:type="pct"/>
                  <w:tcBorders>
                    <w:tl2br w:val="nil"/>
                    <w:tr2bl w:val="nil"/>
                  </w:tcBorders>
                  <w:noWrap w:val="0"/>
                  <w:vAlign w:val="center"/>
                </w:tcPr>
                <w:p w14:paraId="19C94EC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229889.369</w:t>
                  </w:r>
                </w:p>
              </w:tc>
              <w:tc>
                <w:tcPr>
                  <w:tcW w:w="541" w:type="pct"/>
                  <w:tcBorders>
                    <w:tl2br w:val="nil"/>
                    <w:tr2bl w:val="nil"/>
                  </w:tcBorders>
                  <w:noWrap w:val="0"/>
                  <w:vAlign w:val="center"/>
                </w:tcPr>
                <w:p w14:paraId="7F5078B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7.871</w:t>
                  </w:r>
                </w:p>
              </w:tc>
              <w:tc>
                <w:tcPr>
                  <w:tcW w:w="744" w:type="pct"/>
                  <w:tcBorders>
                    <w:tl2br w:val="nil"/>
                    <w:tr2bl w:val="nil"/>
                  </w:tcBorders>
                  <w:noWrap w:val="0"/>
                  <w:vAlign w:val="center"/>
                </w:tcPr>
                <w:p w14:paraId="2D7AF34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17.995</w:t>
                  </w:r>
                </w:p>
              </w:tc>
              <w:tc>
                <w:tcPr>
                  <w:tcW w:w="684" w:type="pct"/>
                  <w:tcBorders>
                    <w:tl2br w:val="nil"/>
                    <w:tr2bl w:val="nil"/>
                  </w:tcBorders>
                  <w:noWrap w:val="0"/>
                  <w:vAlign w:val="center"/>
                </w:tcPr>
                <w:p w14:paraId="2517709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1.733</w:t>
                  </w:r>
                </w:p>
              </w:tc>
              <w:tc>
                <w:tcPr>
                  <w:tcW w:w="684" w:type="pct"/>
                  <w:tcBorders>
                    <w:tl2br w:val="nil"/>
                    <w:tr2bl w:val="nil"/>
                  </w:tcBorders>
                  <w:noWrap w:val="0"/>
                  <w:vAlign w:val="center"/>
                </w:tcPr>
                <w:p w14:paraId="3F482CD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10.422</w:t>
                  </w:r>
                </w:p>
              </w:tc>
              <w:tc>
                <w:tcPr>
                  <w:tcW w:w="684" w:type="pct"/>
                  <w:tcBorders>
                    <w:tl2br w:val="nil"/>
                    <w:tr2bl w:val="nil"/>
                  </w:tcBorders>
                  <w:noWrap w:val="0"/>
                  <w:vAlign w:val="center"/>
                </w:tcPr>
                <w:p w14:paraId="1074686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0.216</w:t>
                  </w:r>
                </w:p>
              </w:tc>
              <w:tc>
                <w:tcPr>
                  <w:tcW w:w="580" w:type="pct"/>
                  <w:tcBorders>
                    <w:tl2br w:val="nil"/>
                    <w:tr2bl w:val="nil"/>
                  </w:tcBorders>
                  <w:noWrap w:val="0"/>
                  <w:vAlign w:val="center"/>
                </w:tcPr>
                <w:p w14:paraId="036EFE9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13.822</w:t>
                  </w:r>
                </w:p>
              </w:tc>
            </w:tr>
            <w:tr w14:paraId="58FCE5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13" w:type="pct"/>
                  <w:tcBorders>
                    <w:tl2br w:val="nil"/>
                    <w:tr2bl w:val="nil"/>
                  </w:tcBorders>
                  <w:noWrap w:val="0"/>
                  <w:vAlign w:val="center"/>
                </w:tcPr>
                <w:p w14:paraId="3B86A9A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3月</w:t>
                  </w:r>
                </w:p>
              </w:tc>
              <w:tc>
                <w:tcPr>
                  <w:tcW w:w="767" w:type="pct"/>
                  <w:tcBorders>
                    <w:tl2br w:val="nil"/>
                    <w:tr2bl w:val="nil"/>
                  </w:tcBorders>
                  <w:noWrap w:val="0"/>
                  <w:vAlign w:val="center"/>
                </w:tcPr>
                <w:p w14:paraId="48CCB29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261010.4</w:t>
                  </w:r>
                </w:p>
              </w:tc>
              <w:tc>
                <w:tcPr>
                  <w:tcW w:w="541" w:type="pct"/>
                  <w:tcBorders>
                    <w:tl2br w:val="nil"/>
                    <w:tr2bl w:val="nil"/>
                  </w:tcBorders>
                  <w:noWrap w:val="0"/>
                  <w:vAlign w:val="center"/>
                </w:tcPr>
                <w:p w14:paraId="63BF36C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7.345</w:t>
                  </w:r>
                </w:p>
              </w:tc>
              <w:tc>
                <w:tcPr>
                  <w:tcW w:w="744" w:type="pct"/>
                  <w:tcBorders>
                    <w:tl2br w:val="nil"/>
                    <w:tr2bl w:val="nil"/>
                  </w:tcBorders>
                  <w:noWrap w:val="0"/>
                  <w:vAlign w:val="center"/>
                </w:tcPr>
                <w:p w14:paraId="4A4A63E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24.135</w:t>
                  </w:r>
                </w:p>
              </w:tc>
              <w:tc>
                <w:tcPr>
                  <w:tcW w:w="684" w:type="pct"/>
                  <w:tcBorders>
                    <w:tl2br w:val="nil"/>
                    <w:tr2bl w:val="nil"/>
                  </w:tcBorders>
                  <w:noWrap w:val="0"/>
                  <w:vAlign w:val="center"/>
                </w:tcPr>
                <w:p w14:paraId="0677CF1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2.169</w:t>
                  </w:r>
                </w:p>
              </w:tc>
              <w:tc>
                <w:tcPr>
                  <w:tcW w:w="684" w:type="pct"/>
                  <w:tcBorders>
                    <w:tl2br w:val="nil"/>
                    <w:tr2bl w:val="nil"/>
                  </w:tcBorders>
                  <w:noWrap w:val="0"/>
                  <w:vAlign w:val="center"/>
                </w:tcPr>
                <w:p w14:paraId="52DA26E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10.303</w:t>
                  </w:r>
                </w:p>
              </w:tc>
              <w:tc>
                <w:tcPr>
                  <w:tcW w:w="684" w:type="pct"/>
                  <w:tcBorders>
                    <w:tl2br w:val="nil"/>
                    <w:tr2bl w:val="nil"/>
                  </w:tcBorders>
                  <w:noWrap w:val="0"/>
                  <w:vAlign w:val="center"/>
                </w:tcPr>
                <w:p w14:paraId="0A39DFF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0.234</w:t>
                  </w:r>
                </w:p>
              </w:tc>
              <w:tc>
                <w:tcPr>
                  <w:tcW w:w="580" w:type="pct"/>
                  <w:tcBorders>
                    <w:tl2br w:val="nil"/>
                    <w:tr2bl w:val="nil"/>
                  </w:tcBorders>
                  <w:noWrap w:val="0"/>
                  <w:vAlign w:val="center"/>
                </w:tcPr>
                <w:p w14:paraId="4A7E8FC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15.629</w:t>
                  </w:r>
                </w:p>
              </w:tc>
            </w:tr>
            <w:tr w14:paraId="4BCBCF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13" w:type="pct"/>
                  <w:tcBorders>
                    <w:tl2br w:val="nil"/>
                    <w:tr2bl w:val="nil"/>
                  </w:tcBorders>
                  <w:noWrap w:val="0"/>
                  <w:vAlign w:val="center"/>
                </w:tcPr>
                <w:p w14:paraId="1EA1523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4月</w:t>
                  </w:r>
                </w:p>
              </w:tc>
              <w:tc>
                <w:tcPr>
                  <w:tcW w:w="767" w:type="pct"/>
                  <w:tcBorders>
                    <w:tl2br w:val="nil"/>
                    <w:tr2bl w:val="nil"/>
                  </w:tcBorders>
                  <w:noWrap w:val="0"/>
                  <w:vAlign w:val="center"/>
                </w:tcPr>
                <w:p w14:paraId="0C28276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258095.937</w:t>
                  </w:r>
                </w:p>
              </w:tc>
              <w:tc>
                <w:tcPr>
                  <w:tcW w:w="541" w:type="pct"/>
                  <w:tcBorders>
                    <w:tl2br w:val="nil"/>
                    <w:tr2bl w:val="nil"/>
                  </w:tcBorders>
                  <w:noWrap w:val="0"/>
                  <w:vAlign w:val="center"/>
                </w:tcPr>
                <w:p w14:paraId="50223EF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7.451</w:t>
                  </w:r>
                </w:p>
              </w:tc>
              <w:tc>
                <w:tcPr>
                  <w:tcW w:w="744" w:type="pct"/>
                  <w:tcBorders>
                    <w:tl2br w:val="nil"/>
                    <w:tr2bl w:val="nil"/>
                  </w:tcBorders>
                  <w:noWrap w:val="0"/>
                  <w:vAlign w:val="center"/>
                </w:tcPr>
                <w:p w14:paraId="4A31537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23.122</w:t>
                  </w:r>
                </w:p>
              </w:tc>
              <w:tc>
                <w:tcPr>
                  <w:tcW w:w="684" w:type="pct"/>
                  <w:tcBorders>
                    <w:tl2br w:val="nil"/>
                    <w:tr2bl w:val="nil"/>
                  </w:tcBorders>
                  <w:noWrap w:val="0"/>
                  <w:vAlign w:val="center"/>
                </w:tcPr>
                <w:p w14:paraId="3F017D4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2.671</w:t>
                  </w:r>
                </w:p>
              </w:tc>
              <w:tc>
                <w:tcPr>
                  <w:tcW w:w="684" w:type="pct"/>
                  <w:tcBorders>
                    <w:tl2br w:val="nil"/>
                    <w:tr2bl w:val="nil"/>
                  </w:tcBorders>
                  <w:noWrap w:val="0"/>
                  <w:vAlign w:val="center"/>
                </w:tcPr>
                <w:p w14:paraId="36D5AD3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10.582</w:t>
                  </w:r>
                </w:p>
              </w:tc>
              <w:tc>
                <w:tcPr>
                  <w:tcW w:w="684" w:type="pct"/>
                  <w:tcBorders>
                    <w:tl2br w:val="nil"/>
                    <w:tr2bl w:val="nil"/>
                  </w:tcBorders>
                  <w:noWrap w:val="0"/>
                  <w:vAlign w:val="center"/>
                </w:tcPr>
                <w:p w14:paraId="6B08240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0.223</w:t>
                  </w:r>
                </w:p>
              </w:tc>
              <w:tc>
                <w:tcPr>
                  <w:tcW w:w="580" w:type="pct"/>
                  <w:tcBorders>
                    <w:tl2br w:val="nil"/>
                    <w:tr2bl w:val="nil"/>
                  </w:tcBorders>
                  <w:noWrap w:val="0"/>
                  <w:vAlign w:val="center"/>
                </w:tcPr>
                <w:p w14:paraId="641F31E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17.927</w:t>
                  </w:r>
                </w:p>
              </w:tc>
            </w:tr>
            <w:tr w14:paraId="3F4ECC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13" w:type="pct"/>
                  <w:tcBorders>
                    <w:tl2br w:val="nil"/>
                    <w:tr2bl w:val="nil"/>
                  </w:tcBorders>
                  <w:noWrap w:val="0"/>
                  <w:vAlign w:val="center"/>
                </w:tcPr>
                <w:p w14:paraId="1E403EC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5月</w:t>
                  </w:r>
                </w:p>
              </w:tc>
              <w:tc>
                <w:tcPr>
                  <w:tcW w:w="767" w:type="pct"/>
                  <w:tcBorders>
                    <w:tl2br w:val="nil"/>
                    <w:tr2bl w:val="nil"/>
                  </w:tcBorders>
                  <w:noWrap w:val="0"/>
                  <w:vAlign w:val="center"/>
                </w:tcPr>
                <w:p w14:paraId="6FA3D79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306779.927</w:t>
                  </w:r>
                </w:p>
              </w:tc>
              <w:tc>
                <w:tcPr>
                  <w:tcW w:w="541" w:type="pct"/>
                  <w:tcBorders>
                    <w:tl2br w:val="nil"/>
                    <w:tr2bl w:val="nil"/>
                  </w:tcBorders>
                  <w:noWrap w:val="0"/>
                  <w:vAlign w:val="center"/>
                </w:tcPr>
                <w:p w14:paraId="3176DDE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7.495</w:t>
                  </w:r>
                </w:p>
              </w:tc>
              <w:tc>
                <w:tcPr>
                  <w:tcW w:w="744" w:type="pct"/>
                  <w:tcBorders>
                    <w:tl2br w:val="nil"/>
                    <w:tr2bl w:val="nil"/>
                  </w:tcBorders>
                  <w:noWrap w:val="0"/>
                  <w:vAlign w:val="center"/>
                </w:tcPr>
                <w:p w14:paraId="59751E1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24.979</w:t>
                  </w:r>
                </w:p>
              </w:tc>
              <w:tc>
                <w:tcPr>
                  <w:tcW w:w="684" w:type="pct"/>
                  <w:tcBorders>
                    <w:tl2br w:val="nil"/>
                    <w:tr2bl w:val="nil"/>
                  </w:tcBorders>
                  <w:noWrap w:val="0"/>
                  <w:vAlign w:val="center"/>
                </w:tcPr>
                <w:p w14:paraId="48ECF8C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1.866</w:t>
                  </w:r>
                </w:p>
              </w:tc>
              <w:tc>
                <w:tcPr>
                  <w:tcW w:w="684" w:type="pct"/>
                  <w:tcBorders>
                    <w:tl2br w:val="nil"/>
                    <w:tr2bl w:val="nil"/>
                  </w:tcBorders>
                  <w:noWrap w:val="0"/>
                  <w:vAlign w:val="center"/>
                </w:tcPr>
                <w:p w14:paraId="2F4F472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10.185</w:t>
                  </w:r>
                </w:p>
              </w:tc>
              <w:tc>
                <w:tcPr>
                  <w:tcW w:w="684" w:type="pct"/>
                  <w:tcBorders>
                    <w:tl2br w:val="nil"/>
                    <w:tr2bl w:val="nil"/>
                  </w:tcBorders>
                  <w:noWrap w:val="0"/>
                  <w:vAlign w:val="center"/>
                </w:tcPr>
                <w:p w14:paraId="495F334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0.252</w:t>
                  </w:r>
                </w:p>
              </w:tc>
              <w:tc>
                <w:tcPr>
                  <w:tcW w:w="580" w:type="pct"/>
                  <w:tcBorders>
                    <w:tl2br w:val="nil"/>
                    <w:tr2bl w:val="nil"/>
                  </w:tcBorders>
                  <w:noWrap w:val="0"/>
                  <w:vAlign w:val="center"/>
                </w:tcPr>
                <w:p w14:paraId="31B1981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20.935</w:t>
                  </w:r>
                </w:p>
              </w:tc>
            </w:tr>
            <w:tr w14:paraId="6B7002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13" w:type="pct"/>
                  <w:tcBorders>
                    <w:tl2br w:val="nil"/>
                    <w:tr2bl w:val="nil"/>
                  </w:tcBorders>
                  <w:noWrap w:val="0"/>
                  <w:vAlign w:val="center"/>
                </w:tcPr>
                <w:p w14:paraId="0621637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6月</w:t>
                  </w:r>
                </w:p>
              </w:tc>
              <w:tc>
                <w:tcPr>
                  <w:tcW w:w="767" w:type="pct"/>
                  <w:tcBorders>
                    <w:tl2br w:val="nil"/>
                    <w:tr2bl w:val="nil"/>
                  </w:tcBorders>
                  <w:noWrap w:val="0"/>
                  <w:vAlign w:val="center"/>
                </w:tcPr>
                <w:p w14:paraId="7FD311C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319108.726</w:t>
                  </w:r>
                </w:p>
              </w:tc>
              <w:tc>
                <w:tcPr>
                  <w:tcW w:w="541" w:type="pct"/>
                  <w:tcBorders>
                    <w:tl2br w:val="nil"/>
                    <w:tr2bl w:val="nil"/>
                  </w:tcBorders>
                  <w:noWrap w:val="0"/>
                  <w:vAlign w:val="center"/>
                </w:tcPr>
                <w:p w14:paraId="0E3D56C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7.423</w:t>
                  </w:r>
                </w:p>
              </w:tc>
              <w:tc>
                <w:tcPr>
                  <w:tcW w:w="744" w:type="pct"/>
                  <w:tcBorders>
                    <w:tl2br w:val="nil"/>
                    <w:tr2bl w:val="nil"/>
                  </w:tcBorders>
                  <w:noWrap w:val="0"/>
                  <w:vAlign w:val="center"/>
                </w:tcPr>
                <w:p w14:paraId="6D8ED17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19.708</w:t>
                  </w:r>
                </w:p>
              </w:tc>
              <w:tc>
                <w:tcPr>
                  <w:tcW w:w="684" w:type="pct"/>
                  <w:tcBorders>
                    <w:tl2br w:val="nil"/>
                    <w:tr2bl w:val="nil"/>
                  </w:tcBorders>
                  <w:noWrap w:val="0"/>
                  <w:vAlign w:val="center"/>
                </w:tcPr>
                <w:p w14:paraId="104BEBB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0.772</w:t>
                  </w:r>
                </w:p>
              </w:tc>
              <w:tc>
                <w:tcPr>
                  <w:tcW w:w="684" w:type="pct"/>
                  <w:tcBorders>
                    <w:tl2br w:val="nil"/>
                    <w:tr2bl w:val="nil"/>
                  </w:tcBorders>
                  <w:noWrap w:val="0"/>
                  <w:vAlign w:val="center"/>
                </w:tcPr>
                <w:p w14:paraId="4BB32A1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11.661</w:t>
                  </w:r>
                </w:p>
              </w:tc>
              <w:tc>
                <w:tcPr>
                  <w:tcW w:w="684" w:type="pct"/>
                  <w:tcBorders>
                    <w:tl2br w:val="nil"/>
                    <w:tr2bl w:val="nil"/>
                  </w:tcBorders>
                  <w:noWrap w:val="0"/>
                  <w:vAlign w:val="center"/>
                </w:tcPr>
                <w:p w14:paraId="7779C27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0.299</w:t>
                  </w:r>
                </w:p>
              </w:tc>
              <w:tc>
                <w:tcPr>
                  <w:tcW w:w="580" w:type="pct"/>
                  <w:tcBorders>
                    <w:tl2br w:val="nil"/>
                    <w:tr2bl w:val="nil"/>
                  </w:tcBorders>
                  <w:noWrap w:val="0"/>
                  <w:vAlign w:val="center"/>
                </w:tcPr>
                <w:p w14:paraId="25F1F9A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23.032</w:t>
                  </w:r>
                </w:p>
              </w:tc>
            </w:tr>
            <w:tr w14:paraId="03B992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13" w:type="pct"/>
                  <w:tcBorders>
                    <w:tl2br w:val="nil"/>
                    <w:tr2bl w:val="nil"/>
                  </w:tcBorders>
                  <w:noWrap w:val="0"/>
                  <w:vAlign w:val="center"/>
                </w:tcPr>
                <w:p w14:paraId="1F09F45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7月</w:t>
                  </w:r>
                </w:p>
              </w:tc>
              <w:tc>
                <w:tcPr>
                  <w:tcW w:w="767" w:type="pct"/>
                  <w:tcBorders>
                    <w:tl2br w:val="nil"/>
                    <w:tr2bl w:val="nil"/>
                  </w:tcBorders>
                  <w:noWrap w:val="0"/>
                  <w:vAlign w:val="center"/>
                </w:tcPr>
                <w:p w14:paraId="49197DD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350071.855</w:t>
                  </w:r>
                </w:p>
              </w:tc>
              <w:tc>
                <w:tcPr>
                  <w:tcW w:w="541" w:type="pct"/>
                  <w:tcBorders>
                    <w:tl2br w:val="nil"/>
                    <w:tr2bl w:val="nil"/>
                  </w:tcBorders>
                  <w:noWrap w:val="0"/>
                  <w:vAlign w:val="center"/>
                </w:tcPr>
                <w:p w14:paraId="0A22C63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7.593</w:t>
                  </w:r>
                </w:p>
              </w:tc>
              <w:tc>
                <w:tcPr>
                  <w:tcW w:w="744" w:type="pct"/>
                  <w:tcBorders>
                    <w:tl2br w:val="nil"/>
                    <w:tr2bl w:val="nil"/>
                  </w:tcBorders>
                  <w:noWrap w:val="0"/>
                  <w:vAlign w:val="center"/>
                </w:tcPr>
                <w:p w14:paraId="2D65D92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19.383</w:t>
                  </w:r>
                </w:p>
              </w:tc>
              <w:tc>
                <w:tcPr>
                  <w:tcW w:w="684" w:type="pct"/>
                  <w:tcBorders>
                    <w:tl2br w:val="nil"/>
                    <w:tr2bl w:val="nil"/>
                  </w:tcBorders>
                  <w:noWrap w:val="0"/>
                  <w:vAlign w:val="center"/>
                </w:tcPr>
                <w:p w14:paraId="571C499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0.551</w:t>
                  </w:r>
                </w:p>
              </w:tc>
              <w:tc>
                <w:tcPr>
                  <w:tcW w:w="684" w:type="pct"/>
                  <w:tcBorders>
                    <w:tl2br w:val="nil"/>
                    <w:tr2bl w:val="nil"/>
                  </w:tcBorders>
                  <w:noWrap w:val="0"/>
                  <w:vAlign w:val="center"/>
                </w:tcPr>
                <w:p w14:paraId="38F96DC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11.07</w:t>
                  </w:r>
                </w:p>
              </w:tc>
              <w:tc>
                <w:tcPr>
                  <w:tcW w:w="684" w:type="pct"/>
                  <w:tcBorders>
                    <w:tl2br w:val="nil"/>
                    <w:tr2bl w:val="nil"/>
                  </w:tcBorders>
                  <w:noWrap w:val="0"/>
                  <w:vAlign w:val="center"/>
                </w:tcPr>
                <w:p w14:paraId="2BB6D8F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0.284</w:t>
                  </w:r>
                </w:p>
              </w:tc>
              <w:tc>
                <w:tcPr>
                  <w:tcW w:w="580" w:type="pct"/>
                  <w:tcBorders>
                    <w:tl2br w:val="nil"/>
                    <w:tr2bl w:val="nil"/>
                  </w:tcBorders>
                  <w:noWrap w:val="0"/>
                  <w:vAlign w:val="center"/>
                </w:tcPr>
                <w:p w14:paraId="0519780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24.666</w:t>
                  </w:r>
                </w:p>
              </w:tc>
            </w:tr>
            <w:tr w14:paraId="7EC2B9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13" w:type="pct"/>
                  <w:tcBorders>
                    <w:tl2br w:val="nil"/>
                    <w:tr2bl w:val="nil"/>
                  </w:tcBorders>
                  <w:noWrap w:val="0"/>
                  <w:vAlign w:val="center"/>
                </w:tcPr>
                <w:p w14:paraId="1B14E33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8月</w:t>
                  </w:r>
                </w:p>
              </w:tc>
              <w:tc>
                <w:tcPr>
                  <w:tcW w:w="767" w:type="pct"/>
                  <w:tcBorders>
                    <w:tl2br w:val="nil"/>
                    <w:tr2bl w:val="nil"/>
                  </w:tcBorders>
                  <w:noWrap w:val="0"/>
                  <w:vAlign w:val="center"/>
                </w:tcPr>
                <w:p w14:paraId="7F4DCC4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497034.323</w:t>
                  </w:r>
                </w:p>
              </w:tc>
              <w:tc>
                <w:tcPr>
                  <w:tcW w:w="541" w:type="pct"/>
                  <w:tcBorders>
                    <w:tl2br w:val="nil"/>
                    <w:tr2bl w:val="nil"/>
                  </w:tcBorders>
                  <w:noWrap w:val="0"/>
                  <w:vAlign w:val="center"/>
                </w:tcPr>
                <w:p w14:paraId="08B8758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7.719</w:t>
                  </w:r>
                </w:p>
              </w:tc>
              <w:tc>
                <w:tcPr>
                  <w:tcW w:w="744" w:type="pct"/>
                  <w:tcBorders>
                    <w:tl2br w:val="nil"/>
                    <w:tr2bl w:val="nil"/>
                  </w:tcBorders>
                  <w:noWrap w:val="0"/>
                  <w:vAlign w:val="center"/>
                </w:tcPr>
                <w:p w14:paraId="6A8AF9A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19.229</w:t>
                  </w:r>
                </w:p>
              </w:tc>
              <w:tc>
                <w:tcPr>
                  <w:tcW w:w="684" w:type="pct"/>
                  <w:tcBorders>
                    <w:tl2br w:val="nil"/>
                    <w:tr2bl w:val="nil"/>
                  </w:tcBorders>
                  <w:noWrap w:val="0"/>
                  <w:vAlign w:val="center"/>
                </w:tcPr>
                <w:p w14:paraId="275AE73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0.397</w:t>
                  </w:r>
                </w:p>
              </w:tc>
              <w:tc>
                <w:tcPr>
                  <w:tcW w:w="684" w:type="pct"/>
                  <w:tcBorders>
                    <w:tl2br w:val="nil"/>
                    <w:tr2bl w:val="nil"/>
                  </w:tcBorders>
                  <w:noWrap w:val="0"/>
                  <w:vAlign w:val="center"/>
                </w:tcPr>
                <w:p w14:paraId="612E6D8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10.658</w:t>
                  </w:r>
                </w:p>
              </w:tc>
              <w:tc>
                <w:tcPr>
                  <w:tcW w:w="684" w:type="pct"/>
                  <w:tcBorders>
                    <w:tl2br w:val="nil"/>
                    <w:tr2bl w:val="nil"/>
                  </w:tcBorders>
                  <w:noWrap w:val="0"/>
                  <w:vAlign w:val="center"/>
                </w:tcPr>
                <w:p w14:paraId="616309C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0.259</w:t>
                  </w:r>
                </w:p>
              </w:tc>
              <w:tc>
                <w:tcPr>
                  <w:tcW w:w="580" w:type="pct"/>
                  <w:tcBorders>
                    <w:tl2br w:val="nil"/>
                    <w:tr2bl w:val="nil"/>
                  </w:tcBorders>
                  <w:noWrap w:val="0"/>
                  <w:vAlign w:val="center"/>
                </w:tcPr>
                <w:p w14:paraId="6E55E07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24.969</w:t>
                  </w:r>
                </w:p>
              </w:tc>
            </w:tr>
            <w:tr w14:paraId="461A7B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13" w:type="pct"/>
                  <w:tcBorders>
                    <w:tl2br w:val="nil"/>
                    <w:tr2bl w:val="nil"/>
                  </w:tcBorders>
                  <w:noWrap w:val="0"/>
                  <w:vAlign w:val="center"/>
                </w:tcPr>
                <w:p w14:paraId="7E79851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9月</w:t>
                  </w:r>
                </w:p>
              </w:tc>
              <w:tc>
                <w:tcPr>
                  <w:tcW w:w="767" w:type="pct"/>
                  <w:tcBorders>
                    <w:tl2br w:val="nil"/>
                    <w:tr2bl w:val="nil"/>
                  </w:tcBorders>
                  <w:noWrap w:val="0"/>
                  <w:vAlign w:val="center"/>
                </w:tcPr>
                <w:p w14:paraId="2D2AECC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538611.014</w:t>
                  </w:r>
                </w:p>
              </w:tc>
              <w:tc>
                <w:tcPr>
                  <w:tcW w:w="541" w:type="pct"/>
                  <w:tcBorders>
                    <w:tl2br w:val="nil"/>
                    <w:tr2bl w:val="nil"/>
                  </w:tcBorders>
                  <w:noWrap w:val="0"/>
                  <w:vAlign w:val="center"/>
                </w:tcPr>
                <w:p w14:paraId="7273363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7.654</w:t>
                  </w:r>
                </w:p>
              </w:tc>
              <w:tc>
                <w:tcPr>
                  <w:tcW w:w="744" w:type="pct"/>
                  <w:tcBorders>
                    <w:tl2br w:val="nil"/>
                    <w:tr2bl w:val="nil"/>
                  </w:tcBorders>
                  <w:noWrap w:val="0"/>
                  <w:vAlign w:val="center"/>
                </w:tcPr>
                <w:p w14:paraId="1B4D7AB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17.545</w:t>
                  </w:r>
                </w:p>
              </w:tc>
              <w:tc>
                <w:tcPr>
                  <w:tcW w:w="684" w:type="pct"/>
                  <w:tcBorders>
                    <w:tl2br w:val="nil"/>
                    <w:tr2bl w:val="nil"/>
                  </w:tcBorders>
                  <w:noWrap w:val="0"/>
                  <w:vAlign w:val="center"/>
                </w:tcPr>
                <w:p w14:paraId="7C2997C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0.964</w:t>
                  </w:r>
                </w:p>
              </w:tc>
              <w:tc>
                <w:tcPr>
                  <w:tcW w:w="684" w:type="pct"/>
                  <w:tcBorders>
                    <w:tl2br w:val="nil"/>
                    <w:tr2bl w:val="nil"/>
                  </w:tcBorders>
                  <w:noWrap w:val="0"/>
                  <w:vAlign w:val="center"/>
                </w:tcPr>
                <w:p w14:paraId="76F7149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9.667</w:t>
                  </w:r>
                </w:p>
              </w:tc>
              <w:tc>
                <w:tcPr>
                  <w:tcW w:w="684" w:type="pct"/>
                  <w:tcBorders>
                    <w:tl2br w:val="nil"/>
                    <w:tr2bl w:val="nil"/>
                  </w:tcBorders>
                  <w:noWrap w:val="0"/>
                  <w:vAlign w:val="center"/>
                </w:tcPr>
                <w:p w14:paraId="0D2FA10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0.242</w:t>
                  </w:r>
                </w:p>
              </w:tc>
              <w:tc>
                <w:tcPr>
                  <w:tcW w:w="580" w:type="pct"/>
                  <w:tcBorders>
                    <w:tl2br w:val="nil"/>
                    <w:tr2bl w:val="nil"/>
                  </w:tcBorders>
                  <w:noWrap w:val="0"/>
                  <w:vAlign w:val="center"/>
                </w:tcPr>
                <w:p w14:paraId="1EA71C4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23.999</w:t>
                  </w:r>
                </w:p>
              </w:tc>
            </w:tr>
            <w:tr w14:paraId="2BDFF3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13" w:type="pct"/>
                  <w:tcBorders>
                    <w:tl2br w:val="nil"/>
                    <w:tr2bl w:val="nil"/>
                  </w:tcBorders>
                  <w:noWrap w:val="0"/>
                  <w:vAlign w:val="center"/>
                </w:tcPr>
                <w:p w14:paraId="16467C7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10月</w:t>
                  </w:r>
                </w:p>
              </w:tc>
              <w:tc>
                <w:tcPr>
                  <w:tcW w:w="767" w:type="pct"/>
                  <w:tcBorders>
                    <w:tl2br w:val="nil"/>
                    <w:tr2bl w:val="nil"/>
                  </w:tcBorders>
                  <w:noWrap w:val="0"/>
                  <w:vAlign w:val="center"/>
                </w:tcPr>
                <w:p w14:paraId="4AA9B74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404554.657</w:t>
                  </w:r>
                </w:p>
              </w:tc>
              <w:tc>
                <w:tcPr>
                  <w:tcW w:w="541" w:type="pct"/>
                  <w:tcBorders>
                    <w:tl2br w:val="nil"/>
                    <w:tr2bl w:val="nil"/>
                  </w:tcBorders>
                  <w:noWrap w:val="0"/>
                  <w:vAlign w:val="center"/>
                </w:tcPr>
                <w:p w14:paraId="7CE8BAD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7.617</w:t>
                  </w:r>
                </w:p>
              </w:tc>
              <w:tc>
                <w:tcPr>
                  <w:tcW w:w="744" w:type="pct"/>
                  <w:tcBorders>
                    <w:tl2br w:val="nil"/>
                    <w:tr2bl w:val="nil"/>
                  </w:tcBorders>
                  <w:noWrap w:val="0"/>
                  <w:vAlign w:val="center"/>
                </w:tcPr>
                <w:p w14:paraId="7D06968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16.336</w:t>
                  </w:r>
                </w:p>
              </w:tc>
              <w:tc>
                <w:tcPr>
                  <w:tcW w:w="684" w:type="pct"/>
                  <w:tcBorders>
                    <w:tl2br w:val="nil"/>
                    <w:tr2bl w:val="nil"/>
                  </w:tcBorders>
                  <w:noWrap w:val="0"/>
                  <w:vAlign w:val="center"/>
                </w:tcPr>
                <w:p w14:paraId="1C0F845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0.766</w:t>
                  </w:r>
                </w:p>
              </w:tc>
              <w:tc>
                <w:tcPr>
                  <w:tcW w:w="684" w:type="pct"/>
                  <w:tcBorders>
                    <w:tl2br w:val="nil"/>
                    <w:tr2bl w:val="nil"/>
                  </w:tcBorders>
                  <w:noWrap w:val="0"/>
                  <w:vAlign w:val="center"/>
                </w:tcPr>
                <w:p w14:paraId="151FA17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10.482</w:t>
                  </w:r>
                </w:p>
              </w:tc>
              <w:tc>
                <w:tcPr>
                  <w:tcW w:w="684" w:type="pct"/>
                  <w:tcBorders>
                    <w:tl2br w:val="nil"/>
                    <w:tr2bl w:val="nil"/>
                  </w:tcBorders>
                  <w:noWrap w:val="0"/>
                  <w:vAlign w:val="center"/>
                </w:tcPr>
                <w:p w14:paraId="7963B5A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0.222</w:t>
                  </w:r>
                </w:p>
              </w:tc>
              <w:tc>
                <w:tcPr>
                  <w:tcW w:w="580" w:type="pct"/>
                  <w:tcBorders>
                    <w:tl2br w:val="nil"/>
                    <w:tr2bl w:val="nil"/>
                  </w:tcBorders>
                  <w:noWrap w:val="0"/>
                  <w:vAlign w:val="center"/>
                </w:tcPr>
                <w:p w14:paraId="2E7DE82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20.447</w:t>
                  </w:r>
                </w:p>
              </w:tc>
            </w:tr>
            <w:tr w14:paraId="2B6F09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13" w:type="pct"/>
                  <w:tcBorders>
                    <w:tl2br w:val="nil"/>
                    <w:tr2bl w:val="nil"/>
                  </w:tcBorders>
                  <w:noWrap w:val="0"/>
                  <w:vAlign w:val="center"/>
                </w:tcPr>
                <w:p w14:paraId="4A595BD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11月</w:t>
                  </w:r>
                </w:p>
              </w:tc>
              <w:tc>
                <w:tcPr>
                  <w:tcW w:w="767" w:type="pct"/>
                  <w:tcBorders>
                    <w:tl2br w:val="nil"/>
                    <w:tr2bl w:val="nil"/>
                  </w:tcBorders>
                  <w:noWrap w:val="0"/>
                  <w:vAlign w:val="center"/>
                </w:tcPr>
                <w:p w14:paraId="7C037EF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277614.115</w:t>
                  </w:r>
                </w:p>
              </w:tc>
              <w:tc>
                <w:tcPr>
                  <w:tcW w:w="541" w:type="pct"/>
                  <w:tcBorders>
                    <w:tl2br w:val="nil"/>
                    <w:tr2bl w:val="nil"/>
                  </w:tcBorders>
                  <w:noWrap w:val="0"/>
                  <w:vAlign w:val="center"/>
                </w:tcPr>
                <w:p w14:paraId="41EECEF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7.679</w:t>
                  </w:r>
                </w:p>
              </w:tc>
              <w:tc>
                <w:tcPr>
                  <w:tcW w:w="744" w:type="pct"/>
                  <w:tcBorders>
                    <w:tl2br w:val="nil"/>
                    <w:tr2bl w:val="nil"/>
                  </w:tcBorders>
                  <w:noWrap w:val="0"/>
                  <w:vAlign w:val="center"/>
                </w:tcPr>
                <w:p w14:paraId="07F7066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19.016</w:t>
                  </w:r>
                </w:p>
              </w:tc>
              <w:tc>
                <w:tcPr>
                  <w:tcW w:w="684" w:type="pct"/>
                  <w:tcBorders>
                    <w:tl2br w:val="nil"/>
                    <w:tr2bl w:val="nil"/>
                  </w:tcBorders>
                  <w:noWrap w:val="0"/>
                  <w:vAlign w:val="center"/>
                </w:tcPr>
                <w:p w14:paraId="50AA885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0.631</w:t>
                  </w:r>
                </w:p>
              </w:tc>
              <w:tc>
                <w:tcPr>
                  <w:tcW w:w="684" w:type="pct"/>
                  <w:tcBorders>
                    <w:tl2br w:val="nil"/>
                    <w:tr2bl w:val="nil"/>
                  </w:tcBorders>
                  <w:noWrap w:val="0"/>
                  <w:vAlign w:val="center"/>
                </w:tcPr>
                <w:p w14:paraId="27BF521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11.312</w:t>
                  </w:r>
                </w:p>
              </w:tc>
              <w:tc>
                <w:tcPr>
                  <w:tcW w:w="684" w:type="pct"/>
                  <w:tcBorders>
                    <w:tl2br w:val="nil"/>
                    <w:tr2bl w:val="nil"/>
                  </w:tcBorders>
                  <w:noWrap w:val="0"/>
                  <w:vAlign w:val="center"/>
                </w:tcPr>
                <w:p w14:paraId="42ABA8A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0.285</w:t>
                  </w:r>
                </w:p>
              </w:tc>
              <w:tc>
                <w:tcPr>
                  <w:tcW w:w="580" w:type="pct"/>
                  <w:tcBorders>
                    <w:tl2br w:val="nil"/>
                    <w:tr2bl w:val="nil"/>
                  </w:tcBorders>
                  <w:noWrap w:val="0"/>
                  <w:vAlign w:val="center"/>
                </w:tcPr>
                <w:p w14:paraId="4BCC699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17.506</w:t>
                  </w:r>
                </w:p>
              </w:tc>
            </w:tr>
            <w:tr w14:paraId="37964B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13" w:type="pct"/>
                  <w:tcBorders>
                    <w:tl2br w:val="nil"/>
                    <w:tr2bl w:val="nil"/>
                  </w:tcBorders>
                  <w:noWrap w:val="0"/>
                  <w:vAlign w:val="center"/>
                </w:tcPr>
                <w:p w14:paraId="11777A8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12月</w:t>
                  </w:r>
                </w:p>
              </w:tc>
              <w:tc>
                <w:tcPr>
                  <w:tcW w:w="767" w:type="pct"/>
                  <w:tcBorders>
                    <w:tl2br w:val="nil"/>
                    <w:tr2bl w:val="nil"/>
                  </w:tcBorders>
                  <w:noWrap w:val="0"/>
                  <w:vAlign w:val="center"/>
                </w:tcPr>
                <w:p w14:paraId="6F253FE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382556.597</w:t>
                  </w:r>
                </w:p>
              </w:tc>
              <w:tc>
                <w:tcPr>
                  <w:tcW w:w="541" w:type="pct"/>
                  <w:tcBorders>
                    <w:tl2br w:val="nil"/>
                    <w:tr2bl w:val="nil"/>
                  </w:tcBorders>
                  <w:noWrap w:val="0"/>
                  <w:vAlign w:val="center"/>
                </w:tcPr>
                <w:p w14:paraId="18AFC79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7.679</w:t>
                  </w:r>
                </w:p>
              </w:tc>
              <w:tc>
                <w:tcPr>
                  <w:tcW w:w="744" w:type="pct"/>
                  <w:tcBorders>
                    <w:tl2br w:val="nil"/>
                    <w:tr2bl w:val="nil"/>
                  </w:tcBorders>
                  <w:noWrap w:val="0"/>
                  <w:vAlign w:val="center"/>
                </w:tcPr>
                <w:p w14:paraId="2CE2B5A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23.037</w:t>
                  </w:r>
                </w:p>
              </w:tc>
              <w:tc>
                <w:tcPr>
                  <w:tcW w:w="684" w:type="pct"/>
                  <w:tcBorders>
                    <w:tl2br w:val="nil"/>
                    <w:tr2bl w:val="nil"/>
                  </w:tcBorders>
                  <w:noWrap w:val="0"/>
                  <w:vAlign w:val="center"/>
                </w:tcPr>
                <w:p w14:paraId="4B6A5BC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1.845</w:t>
                  </w:r>
                </w:p>
              </w:tc>
              <w:tc>
                <w:tcPr>
                  <w:tcW w:w="684" w:type="pct"/>
                  <w:tcBorders>
                    <w:tl2br w:val="nil"/>
                    <w:tr2bl w:val="nil"/>
                  </w:tcBorders>
                  <w:noWrap w:val="0"/>
                  <w:vAlign w:val="center"/>
                </w:tcPr>
                <w:p w14:paraId="641F493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11.252</w:t>
                  </w:r>
                </w:p>
              </w:tc>
              <w:tc>
                <w:tcPr>
                  <w:tcW w:w="684" w:type="pct"/>
                  <w:tcBorders>
                    <w:tl2br w:val="nil"/>
                    <w:tr2bl w:val="nil"/>
                  </w:tcBorders>
                  <w:noWrap w:val="0"/>
                  <w:vAlign w:val="center"/>
                </w:tcPr>
                <w:p w14:paraId="4604DCE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0.255</w:t>
                  </w:r>
                </w:p>
              </w:tc>
              <w:tc>
                <w:tcPr>
                  <w:tcW w:w="580" w:type="pct"/>
                  <w:tcBorders>
                    <w:tl2br w:val="nil"/>
                    <w:tr2bl w:val="nil"/>
                  </w:tcBorders>
                  <w:noWrap w:val="0"/>
                  <w:vAlign w:val="center"/>
                </w:tcPr>
                <w:p w14:paraId="2B82911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16.198</w:t>
                  </w:r>
                </w:p>
              </w:tc>
            </w:tr>
            <w:tr w14:paraId="5F80E6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13" w:type="pct"/>
                  <w:tcBorders>
                    <w:tl2br w:val="nil"/>
                    <w:tr2bl w:val="nil"/>
                  </w:tcBorders>
                  <w:noWrap w:val="0"/>
                  <w:vAlign w:val="center"/>
                </w:tcPr>
                <w:p w14:paraId="3452F9D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年均值</w:t>
                  </w:r>
                </w:p>
              </w:tc>
              <w:tc>
                <w:tcPr>
                  <w:tcW w:w="767" w:type="pct"/>
                  <w:tcBorders>
                    <w:tl2br w:val="nil"/>
                    <w:tr2bl w:val="nil"/>
                  </w:tcBorders>
                  <w:noWrap w:val="0"/>
                  <w:vAlign w:val="center"/>
                </w:tcPr>
                <w:p w14:paraId="2D6C4EDD">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p>
              </w:tc>
              <w:tc>
                <w:tcPr>
                  <w:tcW w:w="541" w:type="pct"/>
                  <w:tcBorders>
                    <w:tl2br w:val="nil"/>
                    <w:tr2bl w:val="nil"/>
                  </w:tcBorders>
                  <w:noWrap w:val="0"/>
                  <w:vAlign w:val="center"/>
                </w:tcPr>
                <w:p w14:paraId="590D17C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7.623</w:t>
                  </w:r>
                </w:p>
              </w:tc>
              <w:tc>
                <w:tcPr>
                  <w:tcW w:w="744" w:type="pct"/>
                  <w:tcBorders>
                    <w:tl2br w:val="nil"/>
                    <w:tr2bl w:val="nil"/>
                  </w:tcBorders>
                  <w:noWrap w:val="0"/>
                  <w:vAlign w:val="center"/>
                </w:tcPr>
                <w:p w14:paraId="43DBC5E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20.71</w:t>
                  </w:r>
                </w:p>
              </w:tc>
              <w:tc>
                <w:tcPr>
                  <w:tcW w:w="684" w:type="pct"/>
                  <w:tcBorders>
                    <w:tl2br w:val="nil"/>
                    <w:tr2bl w:val="nil"/>
                  </w:tcBorders>
                  <w:noWrap w:val="0"/>
                  <w:vAlign w:val="center"/>
                </w:tcPr>
                <w:p w14:paraId="1E4A4A7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1.42</w:t>
                  </w:r>
                </w:p>
              </w:tc>
              <w:tc>
                <w:tcPr>
                  <w:tcW w:w="684" w:type="pct"/>
                  <w:tcBorders>
                    <w:tl2br w:val="nil"/>
                    <w:tr2bl w:val="nil"/>
                  </w:tcBorders>
                  <w:noWrap w:val="0"/>
                  <w:vAlign w:val="center"/>
                </w:tcPr>
                <w:p w14:paraId="3466639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10.699</w:t>
                  </w:r>
                </w:p>
              </w:tc>
              <w:tc>
                <w:tcPr>
                  <w:tcW w:w="684" w:type="pct"/>
                  <w:tcBorders>
                    <w:tl2br w:val="nil"/>
                    <w:tr2bl w:val="nil"/>
                  </w:tcBorders>
                  <w:noWrap w:val="0"/>
                  <w:vAlign w:val="center"/>
                </w:tcPr>
                <w:p w14:paraId="0CB186D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0.252</w:t>
                  </w:r>
                </w:p>
              </w:tc>
              <w:tc>
                <w:tcPr>
                  <w:tcW w:w="580" w:type="pct"/>
                  <w:tcBorders>
                    <w:tl2br w:val="nil"/>
                    <w:tr2bl w:val="nil"/>
                  </w:tcBorders>
                  <w:noWrap w:val="0"/>
                  <w:vAlign w:val="center"/>
                </w:tcPr>
                <w:p w14:paraId="59EA256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19.472</w:t>
                  </w:r>
                </w:p>
              </w:tc>
            </w:tr>
            <w:tr w14:paraId="0338F0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13" w:type="pct"/>
                  <w:tcBorders>
                    <w:tl2br w:val="nil"/>
                    <w:tr2bl w:val="nil"/>
                  </w:tcBorders>
                  <w:noWrap w:val="0"/>
                  <w:vAlign w:val="center"/>
                </w:tcPr>
                <w:p w14:paraId="7EE070D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最大值</w:t>
                  </w:r>
                </w:p>
              </w:tc>
              <w:tc>
                <w:tcPr>
                  <w:tcW w:w="767" w:type="pct"/>
                  <w:tcBorders>
                    <w:tl2br w:val="nil"/>
                    <w:tr2bl w:val="nil"/>
                  </w:tcBorders>
                  <w:noWrap w:val="0"/>
                  <w:vAlign w:val="center"/>
                </w:tcPr>
                <w:p w14:paraId="017877C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538611.014</w:t>
                  </w:r>
                </w:p>
              </w:tc>
              <w:tc>
                <w:tcPr>
                  <w:tcW w:w="541" w:type="pct"/>
                  <w:tcBorders>
                    <w:tl2br w:val="nil"/>
                    <w:tr2bl w:val="nil"/>
                  </w:tcBorders>
                  <w:noWrap w:val="0"/>
                  <w:vAlign w:val="center"/>
                </w:tcPr>
                <w:p w14:paraId="44A6545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7.952</w:t>
                  </w:r>
                </w:p>
              </w:tc>
              <w:tc>
                <w:tcPr>
                  <w:tcW w:w="744" w:type="pct"/>
                  <w:tcBorders>
                    <w:tl2br w:val="nil"/>
                    <w:tr2bl w:val="nil"/>
                  </w:tcBorders>
                  <w:noWrap w:val="0"/>
                  <w:vAlign w:val="center"/>
                </w:tcPr>
                <w:p w14:paraId="43A7632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24.979</w:t>
                  </w:r>
                </w:p>
              </w:tc>
              <w:tc>
                <w:tcPr>
                  <w:tcW w:w="684" w:type="pct"/>
                  <w:tcBorders>
                    <w:tl2br w:val="nil"/>
                    <w:tr2bl w:val="nil"/>
                  </w:tcBorders>
                  <w:noWrap w:val="0"/>
                  <w:vAlign w:val="center"/>
                </w:tcPr>
                <w:p w14:paraId="50E99B8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2.68</w:t>
                  </w:r>
                </w:p>
              </w:tc>
              <w:tc>
                <w:tcPr>
                  <w:tcW w:w="684" w:type="pct"/>
                  <w:tcBorders>
                    <w:tl2br w:val="nil"/>
                    <w:tr2bl w:val="nil"/>
                  </w:tcBorders>
                  <w:noWrap w:val="0"/>
                  <w:vAlign w:val="center"/>
                </w:tcPr>
                <w:p w14:paraId="0A307BB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11.661</w:t>
                  </w:r>
                </w:p>
              </w:tc>
              <w:tc>
                <w:tcPr>
                  <w:tcW w:w="684" w:type="pct"/>
                  <w:tcBorders>
                    <w:tl2br w:val="nil"/>
                    <w:tr2bl w:val="nil"/>
                  </w:tcBorders>
                  <w:noWrap w:val="0"/>
                  <w:vAlign w:val="center"/>
                </w:tcPr>
                <w:p w14:paraId="103FC71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0.299</w:t>
                  </w:r>
                </w:p>
              </w:tc>
              <w:tc>
                <w:tcPr>
                  <w:tcW w:w="580" w:type="pct"/>
                  <w:tcBorders>
                    <w:tl2br w:val="nil"/>
                    <w:tr2bl w:val="nil"/>
                  </w:tcBorders>
                  <w:noWrap w:val="0"/>
                  <w:vAlign w:val="center"/>
                </w:tcPr>
                <w:p w14:paraId="1AF9129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24.969</w:t>
                  </w:r>
                </w:p>
              </w:tc>
            </w:tr>
            <w:tr w14:paraId="6FF6FF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13" w:type="pct"/>
                  <w:tcBorders>
                    <w:tl2br w:val="nil"/>
                    <w:tr2bl w:val="nil"/>
                  </w:tcBorders>
                  <w:noWrap w:val="0"/>
                  <w:vAlign w:val="center"/>
                </w:tcPr>
                <w:p w14:paraId="1ED5BF7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最小值</w:t>
                  </w:r>
                </w:p>
              </w:tc>
              <w:tc>
                <w:tcPr>
                  <w:tcW w:w="767" w:type="pct"/>
                  <w:tcBorders>
                    <w:tl2br w:val="nil"/>
                    <w:tr2bl w:val="nil"/>
                  </w:tcBorders>
                  <w:noWrap w:val="0"/>
                  <w:vAlign w:val="center"/>
                </w:tcPr>
                <w:p w14:paraId="2D1A5A7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229889.369</w:t>
                  </w:r>
                </w:p>
              </w:tc>
              <w:tc>
                <w:tcPr>
                  <w:tcW w:w="541" w:type="pct"/>
                  <w:tcBorders>
                    <w:tl2br w:val="nil"/>
                    <w:tr2bl w:val="nil"/>
                  </w:tcBorders>
                  <w:noWrap w:val="0"/>
                  <w:vAlign w:val="center"/>
                </w:tcPr>
                <w:p w14:paraId="207B89D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7.345</w:t>
                  </w:r>
                </w:p>
              </w:tc>
              <w:tc>
                <w:tcPr>
                  <w:tcW w:w="744" w:type="pct"/>
                  <w:tcBorders>
                    <w:tl2br w:val="nil"/>
                    <w:tr2bl w:val="nil"/>
                  </w:tcBorders>
                  <w:noWrap w:val="0"/>
                  <w:vAlign w:val="center"/>
                </w:tcPr>
                <w:p w14:paraId="33C20B5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16.336</w:t>
                  </w:r>
                </w:p>
              </w:tc>
              <w:tc>
                <w:tcPr>
                  <w:tcW w:w="684" w:type="pct"/>
                  <w:tcBorders>
                    <w:tl2br w:val="nil"/>
                    <w:tr2bl w:val="nil"/>
                  </w:tcBorders>
                  <w:noWrap w:val="0"/>
                  <w:vAlign w:val="center"/>
                </w:tcPr>
                <w:p w14:paraId="5812B7D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0.397</w:t>
                  </w:r>
                </w:p>
              </w:tc>
              <w:tc>
                <w:tcPr>
                  <w:tcW w:w="684" w:type="pct"/>
                  <w:tcBorders>
                    <w:tl2br w:val="nil"/>
                    <w:tr2bl w:val="nil"/>
                  </w:tcBorders>
                  <w:noWrap w:val="0"/>
                  <w:vAlign w:val="center"/>
                </w:tcPr>
                <w:p w14:paraId="77D9B9A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9.667</w:t>
                  </w:r>
                </w:p>
              </w:tc>
              <w:tc>
                <w:tcPr>
                  <w:tcW w:w="684" w:type="pct"/>
                  <w:tcBorders>
                    <w:tl2br w:val="nil"/>
                    <w:tr2bl w:val="nil"/>
                  </w:tcBorders>
                  <w:noWrap w:val="0"/>
                  <w:vAlign w:val="center"/>
                </w:tcPr>
                <w:p w14:paraId="57588C6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0.216</w:t>
                  </w:r>
                </w:p>
              </w:tc>
              <w:tc>
                <w:tcPr>
                  <w:tcW w:w="580" w:type="pct"/>
                  <w:tcBorders>
                    <w:tl2br w:val="nil"/>
                    <w:tr2bl w:val="nil"/>
                  </w:tcBorders>
                  <w:noWrap w:val="0"/>
                  <w:vAlign w:val="center"/>
                </w:tcPr>
                <w:p w14:paraId="5EB8F07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13.822</w:t>
                  </w:r>
                </w:p>
              </w:tc>
            </w:tr>
            <w:tr w14:paraId="42B0C7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13" w:type="pct"/>
                  <w:tcBorders>
                    <w:tl2br w:val="nil"/>
                    <w:tr2bl w:val="nil"/>
                  </w:tcBorders>
                  <w:noWrap w:val="0"/>
                  <w:vAlign w:val="center"/>
                </w:tcPr>
                <w:p w14:paraId="737C143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总量</w:t>
                  </w:r>
                </w:p>
              </w:tc>
              <w:tc>
                <w:tcPr>
                  <w:tcW w:w="767" w:type="pct"/>
                  <w:tcBorders>
                    <w:tl2br w:val="nil"/>
                    <w:tr2bl w:val="nil"/>
                  </w:tcBorders>
                  <w:noWrap w:val="0"/>
                  <w:vAlign w:val="center"/>
                </w:tcPr>
                <w:p w14:paraId="06B4099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18"/>
                      <w:szCs w:val="18"/>
                      <w:highlight w:val="none"/>
                      <w:u w:val="none"/>
                      <w:lang w:val="en-US" w:eastAsia="zh-CN" w:bidi="ar"/>
                      <w14:textFill>
                        <w14:solidFill>
                          <w14:schemeClr w14:val="tx1"/>
                        </w14:solidFill>
                      </w14:textFill>
                    </w:rPr>
                    <w:t>4110729.474</w:t>
                  </w:r>
                </w:p>
              </w:tc>
              <w:tc>
                <w:tcPr>
                  <w:tcW w:w="541" w:type="pct"/>
                  <w:tcBorders>
                    <w:tl2br w:val="nil"/>
                    <w:tr2bl w:val="nil"/>
                  </w:tcBorders>
                  <w:noWrap w:val="0"/>
                  <w:vAlign w:val="center"/>
                </w:tcPr>
                <w:p w14:paraId="50466B8F">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p>
              </w:tc>
              <w:tc>
                <w:tcPr>
                  <w:tcW w:w="744" w:type="pct"/>
                  <w:tcBorders>
                    <w:tl2br w:val="nil"/>
                    <w:tr2bl w:val="nil"/>
                  </w:tcBorders>
                  <w:noWrap w:val="0"/>
                  <w:vAlign w:val="center"/>
                </w:tcPr>
                <w:p w14:paraId="6259CF85">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p>
              </w:tc>
              <w:tc>
                <w:tcPr>
                  <w:tcW w:w="684" w:type="pct"/>
                  <w:tcBorders>
                    <w:tl2br w:val="nil"/>
                    <w:tr2bl w:val="nil"/>
                  </w:tcBorders>
                  <w:noWrap w:val="0"/>
                  <w:vAlign w:val="center"/>
                </w:tcPr>
                <w:p w14:paraId="2573E4A7">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p>
              </w:tc>
              <w:tc>
                <w:tcPr>
                  <w:tcW w:w="684" w:type="pct"/>
                  <w:tcBorders>
                    <w:tl2br w:val="nil"/>
                    <w:tr2bl w:val="nil"/>
                  </w:tcBorders>
                  <w:noWrap w:val="0"/>
                  <w:vAlign w:val="center"/>
                </w:tcPr>
                <w:p w14:paraId="2EE5E226">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p>
              </w:tc>
              <w:tc>
                <w:tcPr>
                  <w:tcW w:w="684" w:type="pct"/>
                  <w:tcBorders>
                    <w:tl2br w:val="nil"/>
                    <w:tr2bl w:val="nil"/>
                  </w:tcBorders>
                  <w:noWrap w:val="0"/>
                  <w:vAlign w:val="center"/>
                </w:tcPr>
                <w:p w14:paraId="0B3DB5CF">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p>
              </w:tc>
              <w:tc>
                <w:tcPr>
                  <w:tcW w:w="580" w:type="pct"/>
                  <w:tcBorders>
                    <w:tl2br w:val="nil"/>
                    <w:tr2bl w:val="nil"/>
                  </w:tcBorders>
                  <w:noWrap w:val="0"/>
                  <w:vAlign w:val="center"/>
                </w:tcPr>
                <w:p w14:paraId="035F35E7">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18"/>
                      <w:szCs w:val="18"/>
                      <w:highlight w:val="none"/>
                      <w:u w:val="none"/>
                      <w14:textFill>
                        <w14:solidFill>
                          <w14:schemeClr w14:val="tx1"/>
                        </w14:solidFill>
                      </w14:textFill>
                    </w:rPr>
                  </w:pPr>
                </w:p>
              </w:tc>
            </w:tr>
          </w:tbl>
          <w:p w14:paraId="4DE4A0E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p>
          <w:p w14:paraId="0516E31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由上表可以看出，</w:t>
            </w:r>
            <w:r>
              <w:rPr>
                <w:rFonts w:hint="eastAsia" w:cs="Times New Roman"/>
                <w:bCs/>
                <w:color w:val="000000" w:themeColor="text1"/>
                <w:sz w:val="24"/>
                <w:highlight w:val="none"/>
                <w:lang w:eastAsia="zh-CN"/>
                <w14:textFill>
                  <w14:solidFill>
                    <w14:schemeClr w14:val="tx1"/>
                  </w14:solidFill>
                </w14:textFill>
              </w:rPr>
              <w:t>污水处理厂</w:t>
            </w:r>
            <w:r>
              <w:rPr>
                <w:rFonts w:hint="default" w:ascii="Times New Roman" w:hAnsi="Times New Roman" w:cs="Times New Roman"/>
                <w:bCs/>
                <w:color w:val="000000" w:themeColor="text1"/>
                <w:sz w:val="24"/>
                <w:highlight w:val="none"/>
                <w14:textFill>
                  <w14:solidFill>
                    <w14:schemeClr w14:val="tx1"/>
                  </w14:solidFill>
                </w14:textFill>
              </w:rPr>
              <w:t>出水水质能够达到《城镇污水处理厂污染物排放标准》（GB18918-2002）一级A标准限值。</w:t>
            </w:r>
          </w:p>
          <w:p w14:paraId="785848E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eastAsia" w:cs="Times New Roman"/>
                <w:bCs/>
                <w:color w:val="000000" w:themeColor="text1"/>
                <w:sz w:val="24"/>
                <w:highlight w:val="none"/>
                <w:lang w:eastAsia="zh-CN"/>
                <w14:textFill>
                  <w14:solidFill>
                    <w14:schemeClr w14:val="tx1"/>
                  </w14:solidFill>
                </w14:textFill>
              </w:rPr>
              <w:t>（</w:t>
            </w:r>
            <w:r>
              <w:rPr>
                <w:rFonts w:hint="eastAsia" w:cs="Times New Roman"/>
                <w:bCs/>
                <w:color w:val="000000" w:themeColor="text1"/>
                <w:sz w:val="24"/>
                <w:highlight w:val="none"/>
                <w:lang w:val="en-US" w:eastAsia="zh-CN"/>
                <w14:textFill>
                  <w14:solidFill>
                    <w14:schemeClr w14:val="tx1"/>
                  </w14:solidFill>
                </w14:textFill>
              </w:rPr>
              <w:t>3</w:t>
            </w:r>
            <w:r>
              <w:rPr>
                <w:rFonts w:hint="eastAsia"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14:textFill>
                  <w14:solidFill>
                    <w14:schemeClr w14:val="tx1"/>
                  </w14:solidFill>
                </w14:textFill>
              </w:rPr>
              <w:t>噪声</w:t>
            </w:r>
          </w:p>
          <w:p w14:paraId="09BF4D5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根据巴彦淖尔市城投检测有限公司于2025年1</w:t>
            </w:r>
            <w:r>
              <w:rPr>
                <w:rFonts w:hint="eastAsia" w:cs="Times New Roman"/>
                <w:bCs/>
                <w:color w:val="000000" w:themeColor="text1"/>
                <w:sz w:val="24"/>
                <w:highlight w:val="none"/>
                <w:lang w:val="en-US" w:eastAsia="zh-CN"/>
                <w14:textFill>
                  <w14:solidFill>
                    <w14:schemeClr w14:val="tx1"/>
                  </w14:solidFill>
                </w14:textFill>
              </w:rPr>
              <w:t>2</w:t>
            </w:r>
            <w:r>
              <w:rPr>
                <w:rFonts w:hint="default" w:ascii="Times New Roman" w:hAnsi="Times New Roman" w:cs="Times New Roman"/>
                <w:bCs/>
                <w:color w:val="000000" w:themeColor="text1"/>
                <w:sz w:val="24"/>
                <w:highlight w:val="none"/>
                <w14:textFill>
                  <w14:solidFill>
                    <w14:schemeClr w14:val="tx1"/>
                  </w14:solidFill>
                </w14:textFill>
              </w:rPr>
              <w:t>月</w:t>
            </w:r>
            <w:r>
              <w:rPr>
                <w:rFonts w:hint="eastAsia" w:cs="Times New Roman"/>
                <w:bCs/>
                <w:color w:val="000000" w:themeColor="text1"/>
                <w:sz w:val="24"/>
                <w:highlight w:val="none"/>
                <w:lang w:val="en-US" w:eastAsia="zh-CN"/>
                <w14:textFill>
                  <w14:solidFill>
                    <w14:schemeClr w14:val="tx1"/>
                  </w14:solidFill>
                </w14:textFill>
              </w:rPr>
              <w:t>1</w:t>
            </w:r>
            <w:r>
              <w:rPr>
                <w:rFonts w:hint="default" w:ascii="Times New Roman" w:hAnsi="Times New Roman" w:cs="Times New Roman"/>
                <w:bCs/>
                <w:color w:val="000000" w:themeColor="text1"/>
                <w:sz w:val="24"/>
                <w:highlight w:val="none"/>
                <w14:textFill>
                  <w14:solidFill>
                    <w14:schemeClr w14:val="tx1"/>
                  </w14:solidFill>
                </w14:textFill>
              </w:rPr>
              <w:t>日出具了</w:t>
            </w:r>
            <w:r>
              <w:rPr>
                <w:rFonts w:hint="eastAsia" w:cs="Times New Roman"/>
                <w:bCs/>
                <w:color w:val="000000" w:themeColor="text1"/>
                <w:sz w:val="24"/>
                <w:highlight w:val="none"/>
                <w:lang w:val="en-US" w:eastAsia="zh-CN"/>
                <w14:textFill>
                  <w14:solidFill>
                    <w14:schemeClr w14:val="tx1"/>
                  </w14:solidFill>
                </w14:textFill>
              </w:rPr>
              <w:t>噪声</w:t>
            </w:r>
            <w:r>
              <w:rPr>
                <w:rFonts w:hint="default" w:ascii="Times New Roman" w:hAnsi="Times New Roman" w:cs="Times New Roman"/>
                <w:bCs/>
                <w:color w:val="000000" w:themeColor="text1"/>
                <w:sz w:val="24"/>
                <w:highlight w:val="none"/>
                <w14:textFill>
                  <w14:solidFill>
                    <w14:schemeClr w14:val="tx1"/>
                  </w14:solidFill>
                </w14:textFill>
              </w:rPr>
              <w:t>检测报告，监测结果如下：</w:t>
            </w:r>
          </w:p>
          <w:p w14:paraId="1659265E">
            <w:pPr>
              <w:pStyle w:val="20"/>
              <w:keepNext w:val="0"/>
              <w:keepLines w:val="0"/>
              <w:pageBreakBefore w:val="0"/>
              <w:widowControl w:val="0"/>
              <w:kinsoku/>
              <w:wordWrap/>
              <w:overflowPunct/>
              <w:topLinePunct w:val="0"/>
              <w:autoSpaceDE w:val="0"/>
              <w:autoSpaceDN w:val="0"/>
              <w:bidi w:val="0"/>
              <w:adjustRightInd w:val="0"/>
              <w:snapToGrid w:val="0"/>
              <w:spacing w:line="240" w:lineRule="auto"/>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表2-25  噪声现状监测结果</w:t>
            </w:r>
          </w:p>
          <w:tbl>
            <w:tblPr>
              <w:tblStyle w:val="12"/>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4517"/>
              <w:gridCol w:w="1942"/>
              <w:gridCol w:w="1447"/>
            </w:tblGrid>
            <w:tr w14:paraId="35E9A1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2856" w:type="pct"/>
                  <w:vMerge w:val="restart"/>
                  <w:tcBorders>
                    <w:tl2br w:val="nil"/>
                    <w:tr2bl w:val="nil"/>
                  </w:tcBorders>
                  <w:noWrap w:val="0"/>
                  <w:vAlign w:val="center"/>
                </w:tcPr>
                <w:p w14:paraId="1A0ED5C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点位名称</w:t>
                  </w:r>
                </w:p>
              </w:tc>
              <w:tc>
                <w:tcPr>
                  <w:tcW w:w="2143" w:type="pct"/>
                  <w:gridSpan w:val="2"/>
                  <w:tcBorders>
                    <w:tl2br w:val="nil"/>
                    <w:tr2bl w:val="nil"/>
                  </w:tcBorders>
                  <w:noWrap w:val="0"/>
                  <w:vAlign w:val="center"/>
                </w:tcPr>
                <w:p w14:paraId="61B1CC0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等效声级Leq</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dB</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A</w:t>
                  </w:r>
                  <w:r>
                    <w:rPr>
                      <w:rFonts w:hint="eastAsia" w:cs="Times New Roman"/>
                      <w:color w:val="000000" w:themeColor="text1"/>
                      <w:sz w:val="21"/>
                      <w:szCs w:val="21"/>
                      <w:highlight w:val="none"/>
                      <w:lang w:val="en-US" w:eastAsia="zh-CN" w:bidi="ar"/>
                      <w14:textFill>
                        <w14:solidFill>
                          <w14:schemeClr w14:val="tx1"/>
                        </w14:solidFill>
                      </w14:textFill>
                    </w:rPr>
                    <w:t>）〕</w:t>
                  </w:r>
                </w:p>
              </w:tc>
            </w:tr>
            <w:tr w14:paraId="700762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2856" w:type="pct"/>
                  <w:vMerge w:val="continue"/>
                  <w:tcBorders>
                    <w:tl2br w:val="nil"/>
                    <w:tr2bl w:val="nil"/>
                  </w:tcBorders>
                  <w:noWrap w:val="0"/>
                  <w:vAlign w:val="center"/>
                </w:tcPr>
                <w:p w14:paraId="5584B114">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2143" w:type="pct"/>
                  <w:gridSpan w:val="2"/>
                  <w:tcBorders>
                    <w:tl2br w:val="nil"/>
                    <w:tr2bl w:val="nil"/>
                  </w:tcBorders>
                  <w:noWrap w:val="0"/>
                  <w:vAlign w:val="center"/>
                </w:tcPr>
                <w:p w14:paraId="4580B52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11月11日</w:t>
                  </w:r>
                </w:p>
              </w:tc>
            </w:tr>
            <w:tr w14:paraId="659884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2856" w:type="pct"/>
                  <w:vMerge w:val="continue"/>
                  <w:tcBorders>
                    <w:tl2br w:val="nil"/>
                    <w:tr2bl w:val="nil"/>
                  </w:tcBorders>
                  <w:noWrap w:val="0"/>
                  <w:vAlign w:val="center"/>
                </w:tcPr>
                <w:p w14:paraId="1E596C1D">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228" w:type="pct"/>
                  <w:tcBorders>
                    <w:tl2br w:val="nil"/>
                    <w:tr2bl w:val="nil"/>
                  </w:tcBorders>
                  <w:noWrap w:val="0"/>
                  <w:vAlign w:val="center"/>
                </w:tcPr>
                <w:p w14:paraId="17904DE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昼间</w:t>
                  </w:r>
                </w:p>
              </w:tc>
              <w:tc>
                <w:tcPr>
                  <w:tcW w:w="915" w:type="pct"/>
                  <w:tcBorders>
                    <w:tl2br w:val="nil"/>
                    <w:tr2bl w:val="nil"/>
                  </w:tcBorders>
                  <w:noWrap w:val="0"/>
                  <w:vAlign w:val="center"/>
                </w:tcPr>
                <w:p w14:paraId="6D5B031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bottom"/>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夜间</w:t>
                  </w:r>
                </w:p>
              </w:tc>
            </w:tr>
            <w:tr w14:paraId="2F2993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2856" w:type="pct"/>
                  <w:tcBorders>
                    <w:tl2br w:val="nil"/>
                    <w:tr2bl w:val="nil"/>
                  </w:tcBorders>
                  <w:noWrap w:val="0"/>
                  <w:vAlign w:val="center"/>
                </w:tcPr>
                <w:p w14:paraId="566C480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厂界东</w:t>
                  </w:r>
                </w:p>
              </w:tc>
              <w:tc>
                <w:tcPr>
                  <w:tcW w:w="1228" w:type="pct"/>
                  <w:tcBorders>
                    <w:tl2br w:val="nil"/>
                    <w:tr2bl w:val="nil"/>
                  </w:tcBorders>
                  <w:noWrap w:val="0"/>
                  <w:vAlign w:val="center"/>
                </w:tcPr>
                <w:p w14:paraId="201EE32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52.4</w:t>
                  </w:r>
                </w:p>
              </w:tc>
              <w:tc>
                <w:tcPr>
                  <w:tcW w:w="915" w:type="pct"/>
                  <w:tcBorders>
                    <w:tl2br w:val="nil"/>
                    <w:tr2bl w:val="nil"/>
                  </w:tcBorders>
                  <w:noWrap w:val="0"/>
                  <w:vAlign w:val="center"/>
                </w:tcPr>
                <w:p w14:paraId="3400CBE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43.7</w:t>
                  </w:r>
                </w:p>
              </w:tc>
            </w:tr>
            <w:tr w14:paraId="674280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2856" w:type="pct"/>
                  <w:tcBorders>
                    <w:tl2br w:val="nil"/>
                    <w:tr2bl w:val="nil"/>
                  </w:tcBorders>
                  <w:noWrap w:val="0"/>
                  <w:vAlign w:val="center"/>
                </w:tcPr>
                <w:p w14:paraId="56DFB53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厂界南</w:t>
                  </w:r>
                </w:p>
              </w:tc>
              <w:tc>
                <w:tcPr>
                  <w:tcW w:w="1228" w:type="pct"/>
                  <w:tcBorders>
                    <w:tl2br w:val="nil"/>
                    <w:tr2bl w:val="nil"/>
                  </w:tcBorders>
                  <w:noWrap w:val="0"/>
                  <w:vAlign w:val="center"/>
                </w:tcPr>
                <w:p w14:paraId="23E1ACE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56.4</w:t>
                  </w:r>
                </w:p>
              </w:tc>
              <w:tc>
                <w:tcPr>
                  <w:tcW w:w="915" w:type="pct"/>
                  <w:tcBorders>
                    <w:tl2br w:val="nil"/>
                    <w:tr2bl w:val="nil"/>
                  </w:tcBorders>
                  <w:noWrap w:val="0"/>
                  <w:vAlign w:val="center"/>
                </w:tcPr>
                <w:p w14:paraId="1A7D665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41.1</w:t>
                  </w:r>
                </w:p>
              </w:tc>
            </w:tr>
            <w:tr w14:paraId="333CDA9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2856" w:type="pct"/>
                  <w:tcBorders>
                    <w:tl2br w:val="nil"/>
                    <w:tr2bl w:val="nil"/>
                  </w:tcBorders>
                  <w:noWrap w:val="0"/>
                  <w:vAlign w:val="center"/>
                </w:tcPr>
                <w:p w14:paraId="4E00353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厂界西</w:t>
                  </w:r>
                </w:p>
              </w:tc>
              <w:tc>
                <w:tcPr>
                  <w:tcW w:w="1228" w:type="pct"/>
                  <w:tcBorders>
                    <w:tl2br w:val="nil"/>
                    <w:tr2bl w:val="nil"/>
                  </w:tcBorders>
                  <w:noWrap w:val="0"/>
                  <w:vAlign w:val="center"/>
                </w:tcPr>
                <w:p w14:paraId="11C5F60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53.7</w:t>
                  </w:r>
                </w:p>
              </w:tc>
              <w:tc>
                <w:tcPr>
                  <w:tcW w:w="915" w:type="pct"/>
                  <w:tcBorders>
                    <w:tl2br w:val="nil"/>
                    <w:tr2bl w:val="nil"/>
                  </w:tcBorders>
                  <w:noWrap w:val="0"/>
                  <w:vAlign w:val="center"/>
                </w:tcPr>
                <w:p w14:paraId="7BEF7AB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42.3</w:t>
                  </w:r>
                </w:p>
              </w:tc>
            </w:tr>
            <w:tr w14:paraId="553F8F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2856" w:type="pct"/>
                  <w:tcBorders>
                    <w:tl2br w:val="nil"/>
                    <w:tr2bl w:val="nil"/>
                  </w:tcBorders>
                  <w:noWrap w:val="0"/>
                  <w:vAlign w:val="center"/>
                </w:tcPr>
                <w:p w14:paraId="6A048DD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厂界北</w:t>
                  </w:r>
                </w:p>
              </w:tc>
              <w:tc>
                <w:tcPr>
                  <w:tcW w:w="1228" w:type="pct"/>
                  <w:tcBorders>
                    <w:tl2br w:val="nil"/>
                    <w:tr2bl w:val="nil"/>
                  </w:tcBorders>
                  <w:noWrap w:val="0"/>
                  <w:vAlign w:val="center"/>
                </w:tcPr>
                <w:p w14:paraId="40C3024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54.2</w:t>
                  </w:r>
                </w:p>
              </w:tc>
              <w:tc>
                <w:tcPr>
                  <w:tcW w:w="915" w:type="pct"/>
                  <w:tcBorders>
                    <w:tl2br w:val="nil"/>
                    <w:tr2bl w:val="nil"/>
                  </w:tcBorders>
                  <w:noWrap w:val="0"/>
                  <w:vAlign w:val="center"/>
                </w:tcPr>
                <w:p w14:paraId="3FDCDB7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44.3</w:t>
                  </w:r>
                </w:p>
              </w:tc>
            </w:tr>
            <w:tr w14:paraId="0C4034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2856" w:type="pct"/>
                  <w:tcBorders>
                    <w:tl2br w:val="nil"/>
                    <w:tr2bl w:val="nil"/>
                  </w:tcBorders>
                  <w:noWrap w:val="0"/>
                  <w:vAlign w:val="center"/>
                </w:tcPr>
                <w:p w14:paraId="508722F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《工业企业厂界环境噪声排放标准》</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GB12348-2008</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2类标准</w:t>
                  </w:r>
                </w:p>
              </w:tc>
              <w:tc>
                <w:tcPr>
                  <w:tcW w:w="1228" w:type="pct"/>
                  <w:tcBorders>
                    <w:tl2br w:val="nil"/>
                    <w:tr2bl w:val="nil"/>
                  </w:tcBorders>
                  <w:noWrap w:val="0"/>
                  <w:vAlign w:val="center"/>
                </w:tcPr>
                <w:p w14:paraId="2359249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60</w:t>
                  </w:r>
                </w:p>
              </w:tc>
              <w:tc>
                <w:tcPr>
                  <w:tcW w:w="915" w:type="pct"/>
                  <w:tcBorders>
                    <w:tl2br w:val="nil"/>
                    <w:tr2bl w:val="nil"/>
                  </w:tcBorders>
                  <w:noWrap w:val="0"/>
                  <w:vAlign w:val="center"/>
                </w:tcPr>
                <w:p w14:paraId="612A08D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w:t>
                  </w:r>
                </w:p>
              </w:tc>
            </w:tr>
          </w:tbl>
          <w:p w14:paraId="5B26542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p>
          <w:p w14:paraId="06988D4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由上表可以看出，</w:t>
            </w:r>
            <w:r>
              <w:rPr>
                <w:rFonts w:hint="eastAsia" w:cs="Times New Roman"/>
                <w:bCs/>
                <w:color w:val="000000" w:themeColor="text1"/>
                <w:sz w:val="24"/>
                <w:highlight w:val="none"/>
                <w:lang w:eastAsia="zh-CN"/>
                <w14:textFill>
                  <w14:solidFill>
                    <w14:schemeClr w14:val="tx1"/>
                  </w14:solidFill>
                </w14:textFill>
              </w:rPr>
              <w:t>污水处理厂</w:t>
            </w:r>
            <w:r>
              <w:rPr>
                <w:rFonts w:hint="default" w:ascii="Times New Roman" w:hAnsi="Times New Roman" w:cs="Times New Roman"/>
                <w:bCs/>
                <w:color w:val="000000" w:themeColor="text1"/>
                <w:sz w:val="24"/>
                <w:highlight w:val="none"/>
                <w14:textFill>
                  <w14:solidFill>
                    <w14:schemeClr w14:val="tx1"/>
                  </w14:solidFill>
                </w14:textFill>
              </w:rPr>
              <w:t>厂界噪声满足《工业企业厂界环境噪声排放标准》（GB12348-2008）2类标准。</w:t>
            </w:r>
          </w:p>
          <w:p w14:paraId="4A93477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eastAsia" w:cs="Times New Roman"/>
                <w:bCs/>
                <w:color w:val="000000" w:themeColor="text1"/>
                <w:sz w:val="24"/>
                <w:highlight w:val="none"/>
                <w:lang w:eastAsia="zh-CN"/>
                <w14:textFill>
                  <w14:solidFill>
                    <w14:schemeClr w14:val="tx1"/>
                  </w14:solidFill>
                </w14:textFill>
              </w:rPr>
              <w:t>（</w:t>
            </w:r>
            <w:r>
              <w:rPr>
                <w:rFonts w:hint="eastAsia" w:cs="Times New Roman"/>
                <w:bCs/>
                <w:color w:val="000000" w:themeColor="text1"/>
                <w:sz w:val="24"/>
                <w:highlight w:val="none"/>
                <w:lang w:val="en-US" w:eastAsia="zh-CN"/>
                <w14:textFill>
                  <w14:solidFill>
                    <w14:schemeClr w14:val="tx1"/>
                  </w14:solidFill>
                </w14:textFill>
              </w:rPr>
              <w:t>4</w:t>
            </w:r>
            <w:r>
              <w:rPr>
                <w:rFonts w:hint="eastAsia"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14:textFill>
                  <w14:solidFill>
                    <w14:schemeClr w14:val="tx1"/>
                  </w14:solidFill>
                </w14:textFill>
              </w:rPr>
              <w:t>固体废物</w:t>
            </w:r>
          </w:p>
          <w:p w14:paraId="167DFD1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本项目运营期间产生的固体废弃物主要有工作人员产生的生活垃圾、污水处理构筑物产生的栅渣、沉砂、污泥</w:t>
            </w:r>
            <w:r>
              <w:rPr>
                <w:rFonts w:hint="eastAsia" w:cs="Times New Roman"/>
                <w:bCs/>
                <w:color w:val="000000" w:themeColor="text1"/>
                <w:sz w:val="24"/>
                <w:highlight w:val="none"/>
                <w:lang w:val="en-US" w:eastAsia="zh-CN"/>
                <w14:textFill>
                  <w14:solidFill>
                    <w14:schemeClr w14:val="tx1"/>
                  </w14:solidFill>
                </w14:textFill>
              </w:rPr>
              <w:t>及废包装材料</w:t>
            </w:r>
            <w:r>
              <w:rPr>
                <w:rFonts w:hint="default" w:ascii="Times New Roman" w:hAnsi="Times New Roman" w:cs="Times New Roman"/>
                <w:bCs/>
                <w:color w:val="000000" w:themeColor="text1"/>
                <w:sz w:val="24"/>
                <w:highlight w:val="none"/>
                <w14:textFill>
                  <w14:solidFill>
                    <w14:schemeClr w14:val="tx1"/>
                  </w14:solidFill>
                </w14:textFill>
              </w:rPr>
              <w:t>。本项目的固体废物产生情况如下：</w:t>
            </w:r>
          </w:p>
          <w:p w14:paraId="7E07FDF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1</w:t>
            </w:r>
            <w:r>
              <w:rPr>
                <w:rFonts w:hint="eastAsia"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14:textFill>
                  <w14:solidFill>
                    <w14:schemeClr w14:val="tx1"/>
                  </w14:solidFill>
                </w14:textFill>
              </w:rPr>
              <w:t>一般固体废物</w:t>
            </w:r>
          </w:p>
          <w:p w14:paraId="2B6D6FB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eastAsia" w:ascii="宋体" w:hAnsi="宋体" w:eastAsia="宋体" w:cs="宋体"/>
                <w:bCs/>
                <w:color w:val="000000" w:themeColor="text1"/>
                <w:sz w:val="24"/>
                <w:highlight w:val="none"/>
                <w14:textFill>
                  <w14:solidFill>
                    <w14:schemeClr w14:val="tx1"/>
                  </w14:solidFill>
                </w14:textFill>
              </w:rPr>
              <w:t>①</w:t>
            </w:r>
            <w:r>
              <w:rPr>
                <w:rFonts w:hint="default" w:ascii="Times New Roman" w:hAnsi="Times New Roman" w:cs="Times New Roman"/>
                <w:bCs/>
                <w:color w:val="000000" w:themeColor="text1"/>
                <w:sz w:val="24"/>
                <w:highlight w:val="none"/>
                <w14:textFill>
                  <w14:solidFill>
                    <w14:schemeClr w14:val="tx1"/>
                  </w14:solidFill>
                </w14:textFill>
              </w:rPr>
              <w:t>生活垃圾</w:t>
            </w:r>
          </w:p>
          <w:p w14:paraId="163C848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生活垃圾</w:t>
            </w:r>
            <w:r>
              <w:rPr>
                <w:rFonts w:hint="eastAsia" w:cs="Times New Roman"/>
                <w:bCs/>
                <w:color w:val="000000" w:themeColor="text1"/>
                <w:sz w:val="24"/>
                <w:highlight w:val="none"/>
                <w:lang w:val="en-US" w:eastAsia="zh-CN"/>
                <w14:textFill>
                  <w14:solidFill>
                    <w14:schemeClr w14:val="tx1"/>
                  </w14:solidFill>
                </w14:textFill>
              </w:rPr>
              <w:t>产生量为1.46t/a，</w:t>
            </w:r>
            <w:r>
              <w:rPr>
                <w:rFonts w:hint="default" w:ascii="Times New Roman" w:hAnsi="Times New Roman" w:cs="Times New Roman"/>
                <w:bCs/>
                <w:color w:val="000000" w:themeColor="text1"/>
                <w:sz w:val="24"/>
                <w:highlight w:val="none"/>
                <w14:textFill>
                  <w14:solidFill>
                    <w14:schemeClr w14:val="tx1"/>
                  </w14:solidFill>
                </w14:textFill>
              </w:rPr>
              <w:t>由厂区清洁人员按时清扫，暂存于垃圾桶内，由专人清运，交由环卫处理。</w:t>
            </w:r>
          </w:p>
          <w:p w14:paraId="4A8A9EE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pPr>
            <w:r>
              <w:rPr>
                <w:rFonts w:hint="eastAsia" w:ascii="宋体" w:hAnsi="宋体" w:eastAsia="宋体" w:cs="宋体"/>
                <w:bCs/>
                <w:color w:val="000000" w:themeColor="text1"/>
                <w:sz w:val="24"/>
                <w:highlight w:val="none"/>
                <w14:textFill>
                  <w14:solidFill>
                    <w14:schemeClr w14:val="tx1"/>
                  </w14:solidFill>
                </w14:textFill>
              </w:rPr>
              <w:t>②</w:t>
            </w:r>
            <w:r>
              <w:rPr>
                <w:rFonts w:hint="default" w:ascii="Times New Roman" w:hAnsi="Times New Roman" w:cs="Times New Roman"/>
                <w:bCs/>
                <w:color w:val="000000" w:themeColor="text1"/>
                <w:sz w:val="24"/>
                <w:highlight w:val="none"/>
                <w14:textFill>
                  <w14:solidFill>
                    <w14:schemeClr w14:val="tx1"/>
                  </w14:solidFill>
                </w14:textFill>
              </w:rPr>
              <w:t>栅渣</w:t>
            </w:r>
            <w:r>
              <w:rPr>
                <w:rFonts w:hint="eastAsia" w:cs="Times New Roman"/>
                <w:bCs/>
                <w:color w:val="000000" w:themeColor="text1"/>
                <w:sz w:val="24"/>
                <w:highlight w:val="none"/>
                <w:lang w:val="en-US" w:eastAsia="zh-CN"/>
                <w14:textFill>
                  <w14:solidFill>
                    <w14:schemeClr w14:val="tx1"/>
                  </w14:solidFill>
                </w14:textFill>
              </w:rPr>
              <w:t>及沉砂</w:t>
            </w:r>
          </w:p>
          <w:p w14:paraId="5233EFE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污水处理厂</w:t>
            </w:r>
            <w:r>
              <w:rPr>
                <w:rFonts w:hint="default" w:ascii="Times New Roman" w:hAnsi="Times New Roman" w:cs="Times New Roman"/>
                <w:bCs/>
                <w:color w:val="000000" w:themeColor="text1"/>
                <w:sz w:val="24"/>
                <w:highlight w:val="none"/>
                <w14:textFill>
                  <w14:solidFill>
                    <w14:schemeClr w14:val="tx1"/>
                  </w14:solidFill>
                </w14:textFill>
              </w:rPr>
              <w:t>栅渣以及沉砂池的沉砂</w:t>
            </w:r>
            <w:r>
              <w:rPr>
                <w:rFonts w:hint="eastAsia" w:cs="Times New Roman"/>
                <w:bCs/>
                <w:color w:val="000000" w:themeColor="text1"/>
                <w:sz w:val="24"/>
                <w:highlight w:val="none"/>
                <w:lang w:val="en-US" w:eastAsia="zh-CN"/>
                <w14:textFill>
                  <w14:solidFill>
                    <w14:schemeClr w14:val="tx1"/>
                  </w14:solidFill>
                </w14:textFill>
              </w:rPr>
              <w:t>产生量159.27t/a，</w:t>
            </w:r>
            <w:r>
              <w:rPr>
                <w:rFonts w:hint="default" w:ascii="Times New Roman" w:hAnsi="Times New Roman" w:cs="Times New Roman"/>
                <w:bCs/>
                <w:color w:val="000000" w:themeColor="text1"/>
                <w:sz w:val="24"/>
                <w:highlight w:val="none"/>
                <w14:textFill>
                  <w14:solidFill>
                    <w14:schemeClr w14:val="tx1"/>
                  </w14:solidFill>
                </w14:textFill>
              </w:rPr>
              <w:t>均由专人清运，</w:t>
            </w:r>
            <w:r>
              <w:rPr>
                <w:rFonts w:hint="eastAsia" w:cs="Times New Roman"/>
                <w:bCs/>
                <w:color w:val="000000" w:themeColor="text1"/>
                <w:sz w:val="24"/>
                <w:highlight w:val="none"/>
                <w:lang w:val="en-US" w:eastAsia="zh-CN"/>
                <w14:textFill>
                  <w14:solidFill>
                    <w14:schemeClr w14:val="tx1"/>
                  </w14:solidFill>
                </w14:textFill>
              </w:rPr>
              <w:t>运至磴口县垃圾填埋场填埋处置</w:t>
            </w:r>
            <w:r>
              <w:rPr>
                <w:rFonts w:hint="default" w:ascii="Times New Roman" w:hAnsi="Times New Roman" w:cs="Times New Roman"/>
                <w:bCs/>
                <w:color w:val="000000" w:themeColor="text1"/>
                <w:sz w:val="24"/>
                <w:highlight w:val="none"/>
                <w14:textFill>
                  <w14:solidFill>
                    <w14:schemeClr w14:val="tx1"/>
                  </w14:solidFill>
                </w14:textFill>
              </w:rPr>
              <w:t>。</w:t>
            </w:r>
          </w:p>
          <w:p w14:paraId="173DDBB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eastAsia" w:ascii="宋体" w:hAnsi="宋体" w:eastAsia="宋体" w:cs="宋体"/>
                <w:bCs/>
                <w:color w:val="000000" w:themeColor="text1"/>
                <w:sz w:val="24"/>
                <w:highlight w:val="none"/>
                <w14:textFill>
                  <w14:solidFill>
                    <w14:schemeClr w14:val="tx1"/>
                  </w14:solidFill>
                </w14:textFill>
              </w:rPr>
              <w:t>③</w:t>
            </w:r>
            <w:r>
              <w:rPr>
                <w:rFonts w:hint="default" w:ascii="Times New Roman" w:hAnsi="Times New Roman" w:cs="Times New Roman"/>
                <w:bCs/>
                <w:color w:val="000000" w:themeColor="text1"/>
                <w:sz w:val="24"/>
                <w:highlight w:val="none"/>
                <w14:textFill>
                  <w14:solidFill>
                    <w14:schemeClr w14:val="tx1"/>
                  </w14:solidFill>
                </w14:textFill>
              </w:rPr>
              <w:t>污泥</w:t>
            </w:r>
          </w:p>
          <w:p w14:paraId="22EBEA1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污水处理厂</w:t>
            </w:r>
            <w:r>
              <w:rPr>
                <w:rFonts w:hint="default" w:ascii="Times New Roman" w:hAnsi="Times New Roman" w:cs="Times New Roman"/>
                <w:bCs/>
                <w:color w:val="000000" w:themeColor="text1"/>
                <w:sz w:val="24"/>
                <w:highlight w:val="none"/>
                <w14:textFill>
                  <w14:solidFill>
                    <w14:schemeClr w14:val="tx1"/>
                  </w14:solidFill>
                </w14:textFill>
              </w:rPr>
              <w:t>污泥经压滤机压滤后，</w:t>
            </w:r>
            <w:r>
              <w:rPr>
                <w:rFonts w:hint="eastAsia" w:cs="Times New Roman"/>
                <w:bCs/>
                <w:color w:val="000000" w:themeColor="text1"/>
                <w:sz w:val="24"/>
                <w:highlight w:val="none"/>
                <w:lang w:val="en-US" w:eastAsia="zh-CN"/>
                <w14:textFill>
                  <w14:solidFill>
                    <w14:schemeClr w14:val="tx1"/>
                  </w14:solidFill>
                </w14:textFill>
              </w:rPr>
              <w:t>直接排入污泥斗下方停靠的污泥运输车内直接运至蚯蚓厂，实现污泥资源化利用</w:t>
            </w:r>
            <w:r>
              <w:rPr>
                <w:rFonts w:hint="eastAsia" w:cs="Times New Roman"/>
                <w:bCs/>
                <w:color w:val="000000" w:themeColor="text1"/>
                <w:sz w:val="24"/>
                <w:highlight w:val="none"/>
                <w:lang w:eastAsia="zh-CN"/>
                <w14:textFill>
                  <w14:solidFill>
                    <w14:schemeClr w14:val="tx1"/>
                  </w14:solidFill>
                </w14:textFill>
              </w:rPr>
              <w:t>，</w:t>
            </w:r>
            <w:r>
              <w:rPr>
                <w:rFonts w:hint="eastAsia" w:cs="Times New Roman"/>
                <w:bCs/>
                <w:color w:val="000000" w:themeColor="text1"/>
                <w:sz w:val="24"/>
                <w:highlight w:val="none"/>
                <w:lang w:val="en-US" w:eastAsia="zh-CN"/>
                <w14:textFill>
                  <w14:solidFill>
                    <w14:schemeClr w14:val="tx1"/>
                  </w14:solidFill>
                </w14:textFill>
              </w:rPr>
              <w:t>污泥产生量为2190t/a。</w:t>
            </w:r>
          </w:p>
          <w:p w14:paraId="05946B0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pPr>
            <w:r>
              <w:rPr>
                <w:rFonts w:hint="eastAsia" w:ascii="宋体" w:hAnsi="宋体" w:eastAsia="宋体" w:cs="宋体"/>
                <w:bCs/>
                <w:color w:val="000000" w:themeColor="text1"/>
                <w:sz w:val="24"/>
                <w:highlight w:val="none"/>
                <w14:textFill>
                  <w14:solidFill>
                    <w14:schemeClr w14:val="tx1"/>
                  </w14:solidFill>
                </w14:textFill>
              </w:rPr>
              <w:t>④</w:t>
            </w:r>
            <w:r>
              <w:rPr>
                <w:rFonts w:hint="eastAsia" w:cs="Times New Roman"/>
                <w:bCs/>
                <w:color w:val="000000" w:themeColor="text1"/>
                <w:sz w:val="24"/>
                <w:highlight w:val="none"/>
                <w:lang w:val="en-US" w:eastAsia="zh-CN"/>
                <w14:textFill>
                  <w14:solidFill>
                    <w14:schemeClr w14:val="tx1"/>
                  </w14:solidFill>
                </w14:textFill>
              </w:rPr>
              <w:t>废包装材料</w:t>
            </w:r>
          </w:p>
          <w:p w14:paraId="647D0B3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lang w:val="en-US"/>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污水处理厂废包装材料在办公区设垃圾箱收集，产生量为0.4t/a，收集后运往磴口县垃圾填埋场统一处理。</w:t>
            </w:r>
          </w:p>
          <w:p w14:paraId="5933954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s="Times New Roman"/>
                <w:bCs/>
                <w:color w:val="000000" w:themeColor="text1"/>
                <w:sz w:val="24"/>
                <w:highlight w:val="none"/>
                <w:lang w:val="en-US" w:eastAsia="zh-CN"/>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2）危险废物</w:t>
            </w:r>
          </w:p>
          <w:p w14:paraId="19671E4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s="Times New Roman"/>
                <w:bCs/>
                <w:color w:val="000000" w:themeColor="text1"/>
                <w:sz w:val="24"/>
                <w:highlight w:val="none"/>
                <w:lang w:val="en-US" w:eastAsia="zh-CN"/>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本项目依托磴口县中涵水务有限公司现有入河排污口实施尾水排放，运营期产生的在线监测废液（属危险废物）同步由该公司负责规范处置。一期工程在线监测产生废液，依托二期危废暂存间暂存后委托有资质单位处置。</w:t>
            </w:r>
          </w:p>
          <w:p w14:paraId="2239BF0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s="Times New Roman"/>
                <w:bCs/>
                <w:color w:val="000000" w:themeColor="text1"/>
                <w:sz w:val="24"/>
                <w:highlight w:val="none"/>
                <w:lang w:val="en-US" w:eastAsia="zh-CN"/>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（5）</w:t>
            </w:r>
            <w:r>
              <w:rPr>
                <w:rFonts w:hint="default" w:cs="Times New Roman"/>
                <w:bCs/>
                <w:color w:val="000000" w:themeColor="text1"/>
                <w:sz w:val="24"/>
                <w:highlight w:val="none"/>
                <w:lang w:val="en-US" w:eastAsia="zh-CN"/>
                <w14:textFill>
                  <w14:solidFill>
                    <w14:schemeClr w14:val="tx1"/>
                  </w14:solidFill>
                </w14:textFill>
              </w:rPr>
              <w:t>环境风险</w:t>
            </w:r>
          </w:p>
          <w:p w14:paraId="66E73E4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s="Times New Roman"/>
                <w:bCs/>
                <w:color w:val="000000" w:themeColor="text1"/>
                <w:sz w:val="24"/>
                <w:highlight w:val="none"/>
                <w:lang w:eastAsia="zh-CN"/>
                <w14:textFill>
                  <w14:solidFill>
                    <w14:schemeClr w14:val="tx1"/>
                  </w14:solidFill>
                </w14:textFill>
              </w:rPr>
            </w:pPr>
            <w:r>
              <w:rPr>
                <w:rFonts w:hint="eastAsia" w:cs="Times New Roman"/>
                <w:bCs/>
                <w:color w:val="000000" w:themeColor="text1"/>
                <w:sz w:val="24"/>
                <w:highlight w:val="none"/>
                <w:lang w:eastAsia="zh-CN"/>
                <w14:textFill>
                  <w14:solidFill>
                    <w14:schemeClr w14:val="tx1"/>
                  </w14:solidFill>
                </w14:textFill>
              </w:rPr>
              <w:t>企业已编制《企业事业突发环境事件应急预案》，并已向</w:t>
            </w:r>
            <w:r>
              <w:rPr>
                <w:rFonts w:hint="eastAsia" w:cs="Times New Roman"/>
                <w:bCs/>
                <w:color w:val="000000" w:themeColor="text1"/>
                <w:sz w:val="24"/>
                <w:highlight w:val="none"/>
                <w:lang w:val="en-US" w:eastAsia="zh-CN"/>
                <w14:textFill>
                  <w14:solidFill>
                    <w14:schemeClr w14:val="tx1"/>
                  </w14:solidFill>
                </w14:textFill>
              </w:rPr>
              <w:t>巴彦淖尔市生态环境局磴口县分局</w:t>
            </w:r>
            <w:r>
              <w:rPr>
                <w:rFonts w:hint="eastAsia" w:cs="Times New Roman"/>
                <w:bCs/>
                <w:color w:val="000000" w:themeColor="text1"/>
                <w:sz w:val="24"/>
                <w:highlight w:val="none"/>
                <w:lang w:eastAsia="zh-CN"/>
                <w14:textFill>
                  <w14:solidFill>
                    <w14:schemeClr w14:val="tx1"/>
                  </w14:solidFill>
                </w14:textFill>
              </w:rPr>
              <w:t>备案。</w:t>
            </w:r>
          </w:p>
          <w:p w14:paraId="4926F24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s="Times New Roman"/>
                <w:bCs/>
                <w:color w:val="000000" w:themeColor="text1"/>
                <w:sz w:val="24"/>
                <w:highlight w:val="none"/>
                <w:lang w:eastAsia="zh-CN"/>
                <w14:textFill>
                  <w14:solidFill>
                    <w14:schemeClr w14:val="tx1"/>
                  </w14:solidFill>
                </w14:textFill>
              </w:rPr>
            </w:pPr>
            <w:r>
              <w:rPr>
                <w:rFonts w:hint="eastAsia" w:cs="Times New Roman"/>
                <w:bCs/>
                <w:color w:val="000000" w:themeColor="text1"/>
                <w:sz w:val="24"/>
                <w:highlight w:val="none"/>
                <w:lang w:eastAsia="zh-CN"/>
                <w14:textFill>
                  <w14:solidFill>
                    <w14:schemeClr w14:val="tx1"/>
                  </w14:solidFill>
                </w14:textFill>
              </w:rPr>
              <w:t>（</w:t>
            </w:r>
            <w:r>
              <w:rPr>
                <w:rFonts w:hint="eastAsia" w:cs="Times New Roman"/>
                <w:bCs/>
                <w:color w:val="000000" w:themeColor="text1"/>
                <w:sz w:val="24"/>
                <w:highlight w:val="none"/>
                <w:lang w:val="en-US" w:eastAsia="zh-CN"/>
                <w14:textFill>
                  <w14:solidFill>
                    <w14:schemeClr w14:val="tx1"/>
                  </w14:solidFill>
                </w14:textFill>
              </w:rPr>
              <w:t>6</w:t>
            </w:r>
            <w:r>
              <w:rPr>
                <w:rFonts w:hint="eastAsia" w:cs="Times New Roman"/>
                <w:bCs/>
                <w:color w:val="000000" w:themeColor="text1"/>
                <w:sz w:val="24"/>
                <w:highlight w:val="none"/>
                <w:lang w:eastAsia="zh-CN"/>
                <w14:textFill>
                  <w14:solidFill>
                    <w14:schemeClr w14:val="tx1"/>
                  </w14:solidFill>
                </w14:textFill>
              </w:rPr>
              <w:t>）现有污水处理厂排污总量</w:t>
            </w:r>
          </w:p>
          <w:p w14:paraId="0A169C5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s="Times New Roman"/>
                <w:bCs/>
                <w:color w:val="000000" w:themeColor="text1"/>
                <w:sz w:val="24"/>
                <w:highlight w:val="none"/>
                <w:lang w:val="en-US" w:eastAsia="zh-CN"/>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磴口县巴彦高勒镇</w:t>
            </w:r>
            <w:r>
              <w:rPr>
                <w:rFonts w:hint="eastAsia" w:cs="Times New Roman"/>
                <w:bCs/>
                <w:color w:val="000000" w:themeColor="text1"/>
                <w:sz w:val="24"/>
                <w:highlight w:val="none"/>
                <w:lang w:eastAsia="zh-CN"/>
                <w14:textFill>
                  <w14:solidFill>
                    <w14:schemeClr w14:val="tx1"/>
                  </w14:solidFill>
                </w14:textFill>
              </w:rPr>
              <w:t>污水处理厂于</w:t>
            </w:r>
            <w:r>
              <w:rPr>
                <w:rFonts w:hint="eastAsia" w:cs="Times New Roman"/>
                <w:bCs/>
                <w:color w:val="000000" w:themeColor="text1"/>
                <w:sz w:val="24"/>
                <w:highlight w:val="none"/>
                <w:lang w:val="en-US" w:eastAsia="zh-CN"/>
                <w14:textFill>
                  <w14:solidFill>
                    <w14:schemeClr w14:val="tx1"/>
                  </w14:solidFill>
                </w14:textFill>
              </w:rPr>
              <w:t>2019</w:t>
            </w:r>
            <w:r>
              <w:rPr>
                <w:rFonts w:hint="eastAsia" w:cs="Times New Roman"/>
                <w:bCs/>
                <w:color w:val="000000" w:themeColor="text1"/>
                <w:sz w:val="24"/>
                <w:highlight w:val="none"/>
                <w:lang w:eastAsia="zh-CN"/>
                <w14:textFill>
                  <w14:solidFill>
                    <w14:schemeClr w14:val="tx1"/>
                  </w14:solidFill>
                </w14:textFill>
              </w:rPr>
              <w:t>年</w:t>
            </w:r>
            <w:r>
              <w:rPr>
                <w:rFonts w:hint="eastAsia" w:cs="Times New Roman"/>
                <w:bCs/>
                <w:color w:val="000000" w:themeColor="text1"/>
                <w:sz w:val="24"/>
                <w:highlight w:val="none"/>
                <w:lang w:val="en-US" w:eastAsia="zh-CN"/>
                <w14:textFill>
                  <w14:solidFill>
                    <w14:schemeClr w14:val="tx1"/>
                  </w14:solidFill>
                </w14:textFill>
              </w:rPr>
              <w:t>6</w:t>
            </w:r>
            <w:r>
              <w:rPr>
                <w:rFonts w:hint="eastAsia" w:cs="Times New Roman"/>
                <w:bCs/>
                <w:color w:val="000000" w:themeColor="text1"/>
                <w:sz w:val="24"/>
                <w:highlight w:val="none"/>
                <w:lang w:eastAsia="zh-CN"/>
                <w14:textFill>
                  <w14:solidFill>
                    <w14:schemeClr w14:val="tx1"/>
                  </w14:solidFill>
                </w14:textFill>
              </w:rPr>
              <w:t>月</w:t>
            </w:r>
            <w:r>
              <w:rPr>
                <w:rFonts w:hint="eastAsia" w:cs="Times New Roman"/>
                <w:bCs/>
                <w:color w:val="000000" w:themeColor="text1"/>
                <w:sz w:val="24"/>
                <w:highlight w:val="none"/>
                <w:lang w:val="en-US" w:eastAsia="zh-CN"/>
                <w14:textFill>
                  <w14:solidFill>
                    <w14:schemeClr w14:val="tx1"/>
                  </w14:solidFill>
                </w14:textFill>
              </w:rPr>
              <w:t>29</w:t>
            </w:r>
            <w:r>
              <w:rPr>
                <w:rFonts w:hint="eastAsia" w:cs="Times New Roman"/>
                <w:bCs/>
                <w:color w:val="000000" w:themeColor="text1"/>
                <w:sz w:val="24"/>
                <w:highlight w:val="none"/>
                <w:lang w:eastAsia="zh-CN"/>
                <w14:textFill>
                  <w14:solidFill>
                    <w14:schemeClr w14:val="tx1"/>
                  </w14:solidFill>
                </w14:textFill>
              </w:rPr>
              <w:t>日取得排污许可证（证书编号：91150822MA0NFCK50U），根据最新核发的排污许可证，项目废水污染物年许可排放量为：化学需氧量</w:t>
            </w:r>
            <w:r>
              <w:rPr>
                <w:rFonts w:hint="eastAsia" w:cs="Times New Roman"/>
                <w:bCs/>
                <w:color w:val="000000" w:themeColor="text1"/>
                <w:sz w:val="24"/>
                <w:highlight w:val="none"/>
                <w:lang w:val="en-US" w:eastAsia="zh-CN"/>
                <w14:textFill>
                  <w14:solidFill>
                    <w14:schemeClr w14:val="tx1"/>
                  </w14:solidFill>
                </w14:textFill>
              </w:rPr>
              <w:t>638.75</w:t>
            </w:r>
            <w:r>
              <w:rPr>
                <w:rFonts w:hint="eastAsia" w:cs="Times New Roman"/>
                <w:bCs/>
                <w:color w:val="000000" w:themeColor="text1"/>
                <w:sz w:val="24"/>
                <w:highlight w:val="none"/>
                <w:lang w:eastAsia="zh-CN"/>
                <w14:textFill>
                  <w14:solidFill>
                    <w14:schemeClr w14:val="tx1"/>
                  </w14:solidFill>
                </w14:textFill>
              </w:rPr>
              <w:t>吨，氨氮</w:t>
            </w:r>
            <w:r>
              <w:rPr>
                <w:rFonts w:hint="eastAsia" w:cs="Times New Roman"/>
                <w:bCs/>
                <w:color w:val="000000" w:themeColor="text1"/>
                <w:sz w:val="24"/>
                <w:highlight w:val="none"/>
                <w:lang w:val="en-US" w:eastAsia="zh-CN"/>
                <w14:textFill>
                  <w14:solidFill>
                    <w14:schemeClr w14:val="tx1"/>
                  </w14:solidFill>
                </w14:textFill>
              </w:rPr>
              <w:t>81.2</w:t>
            </w:r>
            <w:r>
              <w:rPr>
                <w:rFonts w:hint="eastAsia" w:cs="Times New Roman"/>
                <w:bCs/>
                <w:color w:val="000000" w:themeColor="text1"/>
                <w:sz w:val="24"/>
                <w:highlight w:val="none"/>
                <w:lang w:eastAsia="zh-CN"/>
                <w14:textFill>
                  <w14:solidFill>
                    <w14:schemeClr w14:val="tx1"/>
                  </w14:solidFill>
                </w14:textFill>
              </w:rPr>
              <w:t>吨，总氮</w:t>
            </w:r>
            <w:r>
              <w:rPr>
                <w:rFonts w:hint="eastAsia" w:cs="Times New Roman"/>
                <w:bCs/>
                <w:color w:val="000000" w:themeColor="text1"/>
                <w:sz w:val="24"/>
                <w:highlight w:val="none"/>
                <w:lang w:val="en-US" w:eastAsia="zh-CN"/>
                <w14:textFill>
                  <w14:solidFill>
                    <w14:schemeClr w14:val="tx1"/>
                  </w14:solidFill>
                </w14:textFill>
              </w:rPr>
              <w:t>191.63</w:t>
            </w:r>
            <w:r>
              <w:rPr>
                <w:rFonts w:hint="eastAsia" w:cs="Times New Roman"/>
                <w:bCs/>
                <w:color w:val="000000" w:themeColor="text1"/>
                <w:sz w:val="24"/>
                <w:highlight w:val="none"/>
                <w:lang w:eastAsia="zh-CN"/>
                <w14:textFill>
                  <w14:solidFill>
                    <w14:schemeClr w14:val="tx1"/>
                  </w14:solidFill>
                </w14:textFill>
              </w:rPr>
              <w:t>吨，总磷</w:t>
            </w:r>
            <w:r>
              <w:rPr>
                <w:rFonts w:hint="eastAsia" w:cs="Times New Roman"/>
                <w:bCs/>
                <w:color w:val="000000" w:themeColor="text1"/>
                <w:sz w:val="24"/>
                <w:highlight w:val="none"/>
                <w:lang w:val="en-US" w:eastAsia="zh-CN"/>
                <w14:textFill>
                  <w14:solidFill>
                    <w14:schemeClr w14:val="tx1"/>
                  </w14:solidFill>
                </w14:textFill>
              </w:rPr>
              <w:t>6.39</w:t>
            </w:r>
            <w:r>
              <w:rPr>
                <w:rFonts w:hint="eastAsia" w:cs="Times New Roman"/>
                <w:bCs/>
                <w:color w:val="000000" w:themeColor="text1"/>
                <w:sz w:val="24"/>
                <w:highlight w:val="none"/>
                <w:lang w:eastAsia="zh-CN"/>
                <w14:textFill>
                  <w14:solidFill>
                    <w14:schemeClr w14:val="tx1"/>
                  </w14:solidFill>
                </w14:textFill>
              </w:rPr>
              <w:t>吨。</w:t>
            </w:r>
          </w:p>
          <w:p w14:paraId="7340571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s="Times New Roman"/>
                <w:bCs/>
                <w:color w:val="000000" w:themeColor="text1"/>
                <w:sz w:val="24"/>
                <w:highlight w:val="none"/>
                <w:lang w:eastAsia="zh-CN"/>
                <w14:textFill>
                  <w14:solidFill>
                    <w14:schemeClr w14:val="tx1"/>
                  </w14:solidFill>
                </w14:textFill>
              </w:rPr>
            </w:pPr>
            <w:r>
              <w:rPr>
                <w:rFonts w:hint="eastAsia" w:cs="Times New Roman"/>
                <w:bCs/>
                <w:color w:val="000000" w:themeColor="text1"/>
                <w:sz w:val="24"/>
                <w:highlight w:val="none"/>
                <w:lang w:eastAsia="zh-CN"/>
                <w14:textFill>
                  <w14:solidFill>
                    <w14:schemeClr w14:val="tx1"/>
                  </w14:solidFill>
                </w14:textFill>
              </w:rPr>
              <w:t>现有工程废水污染源源强采用实测法，根据《</w:t>
            </w:r>
            <w:r>
              <w:rPr>
                <w:rFonts w:hint="eastAsia" w:cs="Times New Roman"/>
                <w:bCs/>
                <w:color w:val="000000" w:themeColor="text1"/>
                <w:sz w:val="24"/>
                <w:highlight w:val="none"/>
                <w:lang w:val="en-US" w:eastAsia="zh-CN"/>
                <w14:textFill>
                  <w14:solidFill>
                    <w14:schemeClr w14:val="tx1"/>
                  </w14:solidFill>
                </w14:textFill>
              </w:rPr>
              <w:t>2025</w:t>
            </w:r>
            <w:r>
              <w:rPr>
                <w:rFonts w:hint="eastAsia" w:cs="Times New Roman"/>
                <w:bCs/>
                <w:color w:val="000000" w:themeColor="text1"/>
                <w:sz w:val="24"/>
                <w:highlight w:val="none"/>
                <w:lang w:eastAsia="zh-CN"/>
                <w14:textFill>
                  <w14:solidFill>
                    <w14:schemeClr w14:val="tx1"/>
                  </w14:solidFill>
                </w14:textFill>
              </w:rPr>
              <w:t>年排污许可执行报告》核算如下：</w:t>
            </w:r>
          </w:p>
          <w:p w14:paraId="193B0758">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表2-26  现有废水污染源排放量统计表</w:t>
            </w:r>
          </w:p>
          <w:tbl>
            <w:tblPr>
              <w:tblStyle w:val="12"/>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936"/>
              <w:gridCol w:w="1306"/>
              <w:gridCol w:w="1952"/>
              <w:gridCol w:w="1956"/>
              <w:gridCol w:w="1755"/>
            </w:tblGrid>
            <w:tr w14:paraId="37957D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592" w:type="pct"/>
                  <w:tcBorders>
                    <w:tl2br w:val="nil"/>
                    <w:tr2bl w:val="nil"/>
                  </w:tcBorders>
                  <w:noWrap w:val="0"/>
                  <w:vAlign w:val="center"/>
                </w:tcPr>
                <w:p w14:paraId="044A911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种类</w:t>
                  </w:r>
                </w:p>
              </w:tc>
              <w:tc>
                <w:tcPr>
                  <w:tcW w:w="826" w:type="pct"/>
                  <w:tcBorders>
                    <w:tl2br w:val="nil"/>
                    <w:tr2bl w:val="nil"/>
                  </w:tcBorders>
                  <w:noWrap w:val="0"/>
                  <w:vAlign w:val="center"/>
                </w:tcPr>
                <w:p w14:paraId="6DF9E03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污染物</w:t>
                  </w:r>
                </w:p>
              </w:tc>
              <w:tc>
                <w:tcPr>
                  <w:tcW w:w="1234" w:type="pct"/>
                  <w:tcBorders>
                    <w:tl2br w:val="nil"/>
                    <w:tr2bl w:val="nil"/>
                  </w:tcBorders>
                  <w:noWrap w:val="0"/>
                  <w:vAlign w:val="center"/>
                </w:tcPr>
                <w:p w14:paraId="22F25AC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202</w:t>
                  </w:r>
                  <w:r>
                    <w:rPr>
                      <w:rFonts w:hint="eastAsia" w:eastAsia="宋体" w:cs="Times New Roman"/>
                      <w:color w:val="000000" w:themeColor="text1"/>
                      <w:sz w:val="21"/>
                      <w:szCs w:val="21"/>
                      <w:highlight w:val="none"/>
                      <w:lang w:val="en-US" w:eastAsia="zh-CN" w:bidi="ar"/>
                      <w14:textFill>
                        <w14:solidFill>
                          <w14:schemeClr w14:val="tx1"/>
                        </w14:solidFill>
                      </w14:textFill>
                    </w:rPr>
                    <w:t>5</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年排放量</w:t>
                  </w:r>
                </w:p>
              </w:tc>
              <w:tc>
                <w:tcPr>
                  <w:tcW w:w="1237" w:type="pct"/>
                  <w:tcBorders>
                    <w:tl2br w:val="nil"/>
                    <w:tr2bl w:val="nil"/>
                  </w:tcBorders>
                  <w:noWrap w:val="0"/>
                  <w:vAlign w:val="center"/>
                </w:tcPr>
                <w:p w14:paraId="778876F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许可排放量</w:t>
                  </w:r>
                </w:p>
              </w:tc>
              <w:tc>
                <w:tcPr>
                  <w:tcW w:w="1109" w:type="pct"/>
                  <w:tcBorders>
                    <w:tl2br w:val="nil"/>
                    <w:tr2bl w:val="nil"/>
                  </w:tcBorders>
                  <w:noWrap w:val="0"/>
                  <w:vAlign w:val="center"/>
                </w:tcPr>
                <w:p w14:paraId="63C8F84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备注</w:t>
                  </w:r>
                </w:p>
              </w:tc>
            </w:tr>
            <w:tr w14:paraId="1E3F4F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592" w:type="pct"/>
                  <w:vMerge w:val="restart"/>
                  <w:tcBorders>
                    <w:tl2br w:val="nil"/>
                    <w:tr2bl w:val="nil"/>
                  </w:tcBorders>
                  <w:noWrap w:val="0"/>
                  <w:vAlign w:val="center"/>
                </w:tcPr>
                <w:p w14:paraId="04D8F34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废水</w:t>
                  </w:r>
                </w:p>
              </w:tc>
              <w:tc>
                <w:tcPr>
                  <w:tcW w:w="826" w:type="pct"/>
                  <w:tcBorders>
                    <w:tl2br w:val="nil"/>
                    <w:tr2bl w:val="nil"/>
                  </w:tcBorders>
                  <w:noWrap w:val="0"/>
                  <w:vAlign w:val="center"/>
                </w:tcPr>
                <w:p w14:paraId="55A1135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CODcr</w:t>
                  </w:r>
                </w:p>
              </w:tc>
              <w:tc>
                <w:tcPr>
                  <w:tcW w:w="1234" w:type="pct"/>
                  <w:tcBorders>
                    <w:tl2br w:val="nil"/>
                    <w:tr2bl w:val="nil"/>
                  </w:tcBorders>
                  <w:noWrap w:val="0"/>
                  <w:vAlign w:val="center"/>
                </w:tcPr>
                <w:p w14:paraId="6B97866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eastAsia="宋体" w:cs="Times New Roman"/>
                      <w:i w:val="0"/>
                      <w:iCs w:val="0"/>
                      <w:color w:val="000000" w:themeColor="text1"/>
                      <w:sz w:val="21"/>
                      <w:szCs w:val="21"/>
                      <w:highlight w:val="none"/>
                      <w:u w:val="none"/>
                      <w:lang w:val="en-US" w:eastAsia="zh-CN"/>
                      <w14:textFill>
                        <w14:solidFill>
                          <w14:schemeClr w14:val="tx1"/>
                        </w14:solidFill>
                      </w14:textFill>
                    </w:rPr>
                    <w:t>256.4</w:t>
                  </w:r>
                </w:p>
              </w:tc>
              <w:tc>
                <w:tcPr>
                  <w:tcW w:w="1237" w:type="pct"/>
                  <w:tcBorders>
                    <w:tl2br w:val="nil"/>
                    <w:tr2bl w:val="nil"/>
                  </w:tcBorders>
                  <w:noWrap w:val="0"/>
                  <w:vAlign w:val="center"/>
                </w:tcPr>
                <w:p w14:paraId="0C412CA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eastAsia="宋体" w:cs="Times New Roman"/>
                      <w:i w:val="0"/>
                      <w:iCs w:val="0"/>
                      <w:color w:val="000000" w:themeColor="text1"/>
                      <w:sz w:val="21"/>
                      <w:szCs w:val="21"/>
                      <w:highlight w:val="none"/>
                      <w:u w:val="none"/>
                      <w:lang w:val="en-US" w:eastAsia="zh-CN"/>
                      <w14:textFill>
                        <w14:solidFill>
                          <w14:schemeClr w14:val="tx1"/>
                        </w14:solidFill>
                      </w14:textFill>
                    </w:rPr>
                    <w:t>638.75</w:t>
                  </w:r>
                </w:p>
              </w:tc>
              <w:tc>
                <w:tcPr>
                  <w:tcW w:w="1109" w:type="pct"/>
                  <w:tcBorders>
                    <w:tl2br w:val="nil"/>
                    <w:tr2bl w:val="nil"/>
                  </w:tcBorders>
                  <w:noWrap w:val="0"/>
                  <w:vAlign w:val="center"/>
                </w:tcPr>
                <w:p w14:paraId="2C481F4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达标</w:t>
                  </w:r>
                </w:p>
              </w:tc>
            </w:tr>
            <w:tr w14:paraId="530489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5" w:hRule="atLeast"/>
              </w:trPr>
              <w:tc>
                <w:tcPr>
                  <w:tcW w:w="592" w:type="pct"/>
                  <w:vMerge w:val="continue"/>
                  <w:tcBorders>
                    <w:tl2br w:val="nil"/>
                    <w:tr2bl w:val="nil"/>
                  </w:tcBorders>
                  <w:noWrap w:val="0"/>
                  <w:vAlign w:val="center"/>
                </w:tcPr>
                <w:p w14:paraId="22C29E86">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26" w:type="pct"/>
                  <w:tcBorders>
                    <w:tl2br w:val="nil"/>
                    <w:tr2bl w:val="nil"/>
                  </w:tcBorders>
                  <w:noWrap w:val="0"/>
                  <w:vAlign w:val="center"/>
                </w:tcPr>
                <w:p w14:paraId="544C844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NH</w:t>
                  </w:r>
                  <w:r>
                    <w:rPr>
                      <w:rFonts w:hint="eastAsia" w:cs="Times New Roman"/>
                      <w:color w:val="000000" w:themeColor="text1"/>
                      <w:sz w:val="21"/>
                      <w:szCs w:val="21"/>
                      <w:highlight w:val="none"/>
                      <w:vertAlign w:val="subscript"/>
                      <w:lang w:val="en-US" w:eastAsia="zh-CN" w:bidi="ar"/>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-N</w:t>
                  </w:r>
                </w:p>
              </w:tc>
              <w:tc>
                <w:tcPr>
                  <w:tcW w:w="1234" w:type="pct"/>
                  <w:tcBorders>
                    <w:tl2br w:val="nil"/>
                    <w:tr2bl w:val="nil"/>
                  </w:tcBorders>
                  <w:noWrap w:val="0"/>
                  <w:vAlign w:val="center"/>
                </w:tcPr>
                <w:p w14:paraId="6268DCF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eastAsia="宋体" w:cs="Times New Roman"/>
                      <w:i w:val="0"/>
                      <w:iCs w:val="0"/>
                      <w:color w:val="000000" w:themeColor="text1"/>
                      <w:sz w:val="21"/>
                      <w:szCs w:val="21"/>
                      <w:highlight w:val="none"/>
                      <w:u w:val="none"/>
                      <w:lang w:val="en-US" w:eastAsia="zh-CN"/>
                      <w14:textFill>
                        <w14:solidFill>
                          <w14:schemeClr w14:val="tx1"/>
                        </w14:solidFill>
                      </w14:textFill>
                    </w:rPr>
                    <w:t>17.35</w:t>
                  </w:r>
                </w:p>
              </w:tc>
              <w:tc>
                <w:tcPr>
                  <w:tcW w:w="1237" w:type="pct"/>
                  <w:tcBorders>
                    <w:tl2br w:val="nil"/>
                    <w:tr2bl w:val="nil"/>
                  </w:tcBorders>
                  <w:noWrap w:val="0"/>
                  <w:vAlign w:val="center"/>
                </w:tcPr>
                <w:p w14:paraId="23A2D26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eastAsia="宋体" w:cs="Times New Roman"/>
                      <w:i w:val="0"/>
                      <w:iCs w:val="0"/>
                      <w:color w:val="000000" w:themeColor="text1"/>
                      <w:sz w:val="21"/>
                      <w:szCs w:val="21"/>
                      <w:highlight w:val="none"/>
                      <w:u w:val="none"/>
                      <w:lang w:val="en-US" w:eastAsia="zh-CN"/>
                      <w14:textFill>
                        <w14:solidFill>
                          <w14:schemeClr w14:val="tx1"/>
                        </w14:solidFill>
                      </w14:textFill>
                    </w:rPr>
                    <w:t>81.2</w:t>
                  </w:r>
                </w:p>
              </w:tc>
              <w:tc>
                <w:tcPr>
                  <w:tcW w:w="1109" w:type="pct"/>
                  <w:tcBorders>
                    <w:tl2br w:val="nil"/>
                    <w:tr2bl w:val="nil"/>
                  </w:tcBorders>
                  <w:noWrap w:val="0"/>
                  <w:vAlign w:val="center"/>
                </w:tcPr>
                <w:p w14:paraId="1363130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达标</w:t>
                  </w:r>
                </w:p>
              </w:tc>
            </w:tr>
            <w:tr w14:paraId="7C1193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592" w:type="pct"/>
                  <w:vMerge w:val="continue"/>
                  <w:tcBorders>
                    <w:tl2br w:val="nil"/>
                    <w:tr2bl w:val="nil"/>
                  </w:tcBorders>
                  <w:noWrap w:val="0"/>
                  <w:vAlign w:val="center"/>
                </w:tcPr>
                <w:p w14:paraId="4D526094">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26" w:type="pct"/>
                  <w:tcBorders>
                    <w:tl2br w:val="nil"/>
                    <w:tr2bl w:val="nil"/>
                  </w:tcBorders>
                  <w:noWrap w:val="0"/>
                  <w:vAlign w:val="center"/>
                </w:tcPr>
                <w:p w14:paraId="71759F8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TN</w:t>
                  </w:r>
                </w:p>
              </w:tc>
              <w:tc>
                <w:tcPr>
                  <w:tcW w:w="1234" w:type="pct"/>
                  <w:tcBorders>
                    <w:tl2br w:val="nil"/>
                    <w:tr2bl w:val="nil"/>
                  </w:tcBorders>
                  <w:noWrap w:val="0"/>
                  <w:vAlign w:val="center"/>
                </w:tcPr>
                <w:p w14:paraId="2903A1A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eastAsia="宋体" w:cs="Times New Roman"/>
                      <w:i w:val="0"/>
                      <w:iCs w:val="0"/>
                      <w:color w:val="000000" w:themeColor="text1"/>
                      <w:sz w:val="21"/>
                      <w:szCs w:val="21"/>
                      <w:highlight w:val="none"/>
                      <w:u w:val="none"/>
                      <w:lang w:val="en-US" w:eastAsia="zh-CN"/>
                      <w14:textFill>
                        <w14:solidFill>
                          <w14:schemeClr w14:val="tx1"/>
                        </w14:solidFill>
                      </w14:textFill>
                    </w:rPr>
                    <w:t>129.78</w:t>
                  </w:r>
                </w:p>
              </w:tc>
              <w:tc>
                <w:tcPr>
                  <w:tcW w:w="1237" w:type="pct"/>
                  <w:tcBorders>
                    <w:tl2br w:val="nil"/>
                    <w:tr2bl w:val="nil"/>
                  </w:tcBorders>
                  <w:noWrap w:val="0"/>
                  <w:vAlign w:val="center"/>
                </w:tcPr>
                <w:p w14:paraId="201B23D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eastAsia="宋体" w:cs="Times New Roman"/>
                      <w:i w:val="0"/>
                      <w:iCs w:val="0"/>
                      <w:color w:val="000000" w:themeColor="text1"/>
                      <w:sz w:val="21"/>
                      <w:szCs w:val="21"/>
                      <w:highlight w:val="none"/>
                      <w:u w:val="none"/>
                      <w:lang w:val="en-US" w:eastAsia="zh-CN"/>
                      <w14:textFill>
                        <w14:solidFill>
                          <w14:schemeClr w14:val="tx1"/>
                        </w14:solidFill>
                      </w14:textFill>
                    </w:rPr>
                    <w:t>191.63</w:t>
                  </w:r>
                </w:p>
              </w:tc>
              <w:tc>
                <w:tcPr>
                  <w:tcW w:w="1109" w:type="pct"/>
                  <w:tcBorders>
                    <w:tl2br w:val="nil"/>
                    <w:tr2bl w:val="nil"/>
                  </w:tcBorders>
                  <w:noWrap w:val="0"/>
                  <w:vAlign w:val="center"/>
                </w:tcPr>
                <w:p w14:paraId="718BAD0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达标</w:t>
                  </w:r>
                </w:p>
              </w:tc>
            </w:tr>
            <w:tr w14:paraId="140694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592" w:type="pct"/>
                  <w:vMerge w:val="continue"/>
                  <w:tcBorders>
                    <w:tl2br w:val="nil"/>
                    <w:tr2bl w:val="nil"/>
                  </w:tcBorders>
                  <w:noWrap w:val="0"/>
                  <w:vAlign w:val="center"/>
                </w:tcPr>
                <w:p w14:paraId="39C17E37">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26" w:type="pct"/>
                  <w:tcBorders>
                    <w:tl2br w:val="nil"/>
                    <w:tr2bl w:val="nil"/>
                  </w:tcBorders>
                  <w:noWrap w:val="0"/>
                  <w:vAlign w:val="center"/>
                </w:tcPr>
                <w:p w14:paraId="67326B0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TP</w:t>
                  </w:r>
                </w:p>
              </w:tc>
              <w:tc>
                <w:tcPr>
                  <w:tcW w:w="1234" w:type="pct"/>
                  <w:tcBorders>
                    <w:tl2br w:val="nil"/>
                    <w:tr2bl w:val="nil"/>
                  </w:tcBorders>
                  <w:noWrap w:val="0"/>
                  <w:vAlign w:val="center"/>
                </w:tcPr>
                <w:p w14:paraId="6CE45ED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eastAsia="宋体" w:cs="Times New Roman"/>
                      <w:i w:val="0"/>
                      <w:iCs w:val="0"/>
                      <w:color w:val="000000" w:themeColor="text1"/>
                      <w:sz w:val="21"/>
                      <w:szCs w:val="21"/>
                      <w:highlight w:val="none"/>
                      <w:u w:val="none"/>
                      <w:lang w:val="en-US" w:eastAsia="zh-CN"/>
                      <w14:textFill>
                        <w14:solidFill>
                          <w14:schemeClr w14:val="tx1"/>
                        </w14:solidFill>
                      </w14:textFill>
                    </w:rPr>
                    <w:t>3.162</w:t>
                  </w:r>
                </w:p>
              </w:tc>
              <w:tc>
                <w:tcPr>
                  <w:tcW w:w="1237" w:type="pct"/>
                  <w:tcBorders>
                    <w:tl2br w:val="nil"/>
                    <w:tr2bl w:val="nil"/>
                  </w:tcBorders>
                  <w:noWrap w:val="0"/>
                  <w:vAlign w:val="center"/>
                </w:tcPr>
                <w:p w14:paraId="4718F14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eastAsia="宋体" w:cs="Times New Roman"/>
                      <w:i w:val="0"/>
                      <w:iCs w:val="0"/>
                      <w:color w:val="000000" w:themeColor="text1"/>
                      <w:sz w:val="21"/>
                      <w:szCs w:val="21"/>
                      <w:highlight w:val="none"/>
                      <w:u w:val="none"/>
                      <w:lang w:val="en-US" w:eastAsia="zh-CN"/>
                      <w14:textFill>
                        <w14:solidFill>
                          <w14:schemeClr w14:val="tx1"/>
                        </w14:solidFill>
                      </w14:textFill>
                    </w:rPr>
                    <w:t>6.39</w:t>
                  </w:r>
                </w:p>
              </w:tc>
              <w:tc>
                <w:tcPr>
                  <w:tcW w:w="1109" w:type="pct"/>
                  <w:tcBorders>
                    <w:tl2br w:val="nil"/>
                    <w:tr2bl w:val="nil"/>
                  </w:tcBorders>
                  <w:noWrap w:val="0"/>
                  <w:vAlign w:val="center"/>
                </w:tcPr>
                <w:p w14:paraId="0D9427A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达标</w:t>
                  </w:r>
                </w:p>
              </w:tc>
            </w:tr>
          </w:tbl>
          <w:p w14:paraId="6FC1582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bCs/>
                <w:color w:val="000000" w:themeColor="text1"/>
                <w:sz w:val="24"/>
                <w:highlight w:val="none"/>
                <w14:textFill>
                  <w14:solidFill>
                    <w14:schemeClr w14:val="tx1"/>
                  </w14:solidFill>
                </w14:textFill>
              </w:rPr>
            </w:pPr>
          </w:p>
          <w:p w14:paraId="19A051C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bCs/>
                <w:color w:val="000000" w:themeColor="text1"/>
                <w:sz w:val="24"/>
                <w:highlight w:val="none"/>
                <w14:textFill>
                  <w14:solidFill>
                    <w14:schemeClr w14:val="tx1"/>
                  </w14:solidFill>
                </w14:textFill>
              </w:rPr>
            </w:pPr>
            <w:r>
              <w:rPr>
                <w:rFonts w:hint="default" w:ascii="Times New Roman" w:hAnsi="Times New Roman" w:eastAsia="宋体" w:cs="Times New Roman"/>
                <w:bCs/>
                <w:color w:val="000000" w:themeColor="text1"/>
                <w:sz w:val="24"/>
                <w:highlight w:val="none"/>
                <w14:textFill>
                  <w14:solidFill>
                    <w14:schemeClr w14:val="tx1"/>
                  </w14:solidFill>
                </w14:textFill>
              </w:rPr>
              <w:t>综上，根据企业近年来污染源自行检查数据统计：COD</w:t>
            </w:r>
            <w:r>
              <w:rPr>
                <w:rFonts w:hint="default" w:ascii="Times New Roman" w:hAnsi="Times New Roman" w:eastAsia="宋体" w:cs="Times New Roman"/>
                <w:bCs/>
                <w:color w:val="000000" w:themeColor="text1"/>
                <w:sz w:val="24"/>
                <w:highlight w:val="none"/>
                <w:vertAlign w:val="subscript"/>
                <w14:textFill>
                  <w14:solidFill>
                    <w14:schemeClr w14:val="tx1"/>
                  </w14:solidFill>
                </w14:textFill>
              </w:rPr>
              <w:t>Cr</w:t>
            </w:r>
            <w:r>
              <w:rPr>
                <w:rFonts w:hint="default" w:ascii="Times New Roman" w:hAnsi="Times New Roman" w:eastAsia="宋体" w:cs="Times New Roman"/>
                <w:bCs/>
                <w:color w:val="000000" w:themeColor="text1"/>
                <w:sz w:val="24"/>
                <w:highlight w:val="none"/>
                <w14:textFill>
                  <w14:solidFill>
                    <w14:schemeClr w14:val="tx1"/>
                  </w14:solidFill>
                </w14:textFill>
              </w:rPr>
              <w:t>、氨氮、总氮、总磷现状排放量满足排污许可证总量要求。</w:t>
            </w:r>
          </w:p>
          <w:p w14:paraId="1ACC2D2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bCs/>
                <w:color w:val="000000" w:themeColor="text1"/>
                <w:sz w:val="24"/>
                <w:highlight w:val="none"/>
                <w14:textFill>
                  <w14:solidFill>
                    <w14:schemeClr w14:val="tx1"/>
                  </w14:solidFill>
                </w14:textFill>
              </w:rPr>
            </w:pPr>
            <w:r>
              <w:rPr>
                <w:rFonts w:hint="default" w:ascii="Times New Roman" w:hAnsi="Times New Roman" w:eastAsia="宋体" w:cs="Times New Roman"/>
                <w:bCs/>
                <w:color w:val="000000" w:themeColor="text1"/>
                <w:sz w:val="24"/>
                <w:highlight w:val="none"/>
                <w14:textFill>
                  <w14:solidFill>
                    <w14:schemeClr w14:val="tx1"/>
                  </w14:solidFill>
                </w14:textFill>
              </w:rPr>
              <w:t>（</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7</w:t>
            </w:r>
            <w:r>
              <w:rPr>
                <w:rFonts w:hint="default" w:ascii="Times New Roman" w:hAnsi="Times New Roman" w:eastAsia="宋体" w:cs="Times New Roman"/>
                <w:bCs/>
                <w:color w:val="000000" w:themeColor="text1"/>
                <w:sz w:val="24"/>
                <w:highlight w:val="none"/>
                <w14:textFill>
                  <w14:solidFill>
                    <w14:schemeClr w14:val="tx1"/>
                  </w14:solidFill>
                </w14:textFill>
              </w:rPr>
              <w:t>）现有工程存在的主要环境问题及整改措施</w:t>
            </w:r>
          </w:p>
          <w:p w14:paraId="20EED7B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ascii="宋体" w:hAnsi="宋体"/>
                <w:bCs/>
                <w:color w:val="000000" w:themeColor="text1"/>
                <w:sz w:val="24"/>
                <w:highlight w:val="none"/>
                <w14:textFill>
                  <w14:solidFill>
                    <w14:schemeClr w14:val="tx1"/>
                  </w14:solidFill>
                </w14:textFill>
              </w:rPr>
            </w:pPr>
            <w:r>
              <w:rPr>
                <w:rFonts w:hint="eastAsia" w:eastAsia="宋体" w:cs="Times New Roman"/>
                <w:bCs/>
                <w:color w:val="000000" w:themeColor="text1"/>
                <w:sz w:val="24"/>
                <w:highlight w:val="none"/>
                <w:lang w:val="en-US" w:eastAsia="zh-CN"/>
                <w14:textFill>
                  <w14:solidFill>
                    <w14:schemeClr w14:val="tx1"/>
                  </w14:solidFill>
                </w14:textFill>
              </w:rPr>
              <w:t>污水处理厂</w:t>
            </w:r>
            <w:r>
              <w:rPr>
                <w:rFonts w:hint="default" w:ascii="Times New Roman" w:hAnsi="Times New Roman" w:eastAsia="宋体" w:cs="Times New Roman"/>
                <w:bCs/>
                <w:color w:val="000000" w:themeColor="text1"/>
                <w:sz w:val="24"/>
                <w:highlight w:val="none"/>
                <w14:textFill>
                  <w14:solidFill>
                    <w14:schemeClr w14:val="tx1"/>
                  </w14:solidFill>
                </w14:textFill>
              </w:rPr>
              <w:t>自投产以来运营良好，未发生民众投诉和重大环境污染事件。</w:t>
            </w:r>
          </w:p>
          <w:p w14:paraId="1E08871B">
            <w:pPr>
              <w:adjustRightInd w:val="0"/>
              <w:snapToGrid w:val="0"/>
              <w:rPr>
                <w:rFonts w:hint="eastAsia" w:ascii="宋体" w:hAnsi="宋体"/>
                <w:bCs/>
                <w:color w:val="000000" w:themeColor="text1"/>
                <w:sz w:val="24"/>
                <w:highlight w:val="none"/>
                <w14:textFill>
                  <w14:solidFill>
                    <w14:schemeClr w14:val="tx1"/>
                  </w14:solidFill>
                </w14:textFill>
              </w:rPr>
            </w:pPr>
          </w:p>
        </w:tc>
      </w:tr>
    </w:tbl>
    <w:p w14:paraId="1DF01543">
      <w:pPr>
        <w:jc w:val="center"/>
        <w:rPr>
          <w:rFonts w:ascii="黑体" w:hAnsi="黑体" w:eastAsia="黑体"/>
          <w:snapToGrid w:val="0"/>
          <w:color w:val="000000" w:themeColor="text1"/>
          <w:sz w:val="36"/>
          <w:szCs w:val="36"/>
          <w:highlight w:val="none"/>
          <w14:textFill>
            <w14:solidFill>
              <w14:schemeClr w14:val="tx1"/>
            </w14:solidFill>
          </w14:textFill>
        </w:rPr>
        <w:sectPr>
          <w:pgSz w:w="11906" w:h="16838"/>
          <w:pgMar w:top="1440" w:right="1797" w:bottom="1440" w:left="1797" w:header="851" w:footer="851" w:gutter="0"/>
          <w:pgBorders>
            <w:top w:val="none" w:sz="0" w:space="0"/>
            <w:left w:val="none" w:sz="0" w:space="0"/>
            <w:bottom w:val="none" w:sz="0" w:space="0"/>
            <w:right w:val="none" w:sz="0" w:space="0"/>
          </w:pgBorders>
          <w:pgNumType w:fmt="decimal"/>
          <w:cols w:space="720" w:num="1"/>
          <w:docGrid w:linePitch="312" w:charSpace="0"/>
        </w:sectPr>
      </w:pPr>
    </w:p>
    <w:p w14:paraId="226392D8">
      <w:pPr>
        <w:jc w:val="center"/>
        <w:outlineLvl w:val="0"/>
        <w:rPr>
          <w:rFonts w:ascii="黑体" w:hAnsi="黑体" w:eastAsia="黑体"/>
          <w:snapToGrid w:val="0"/>
          <w:color w:val="000000" w:themeColor="text1"/>
          <w:sz w:val="30"/>
          <w:szCs w:val="30"/>
          <w:highlight w:val="none"/>
          <w14:textFill>
            <w14:solidFill>
              <w14:schemeClr w14:val="tx1"/>
            </w14:solidFill>
          </w14:textFill>
        </w:rPr>
      </w:pPr>
      <w:bookmarkStart w:id="7" w:name="_Toc4621"/>
      <w:bookmarkStart w:id="8" w:name="_Toc5794"/>
      <w:bookmarkStart w:id="9" w:name="_Toc16146"/>
      <w:r>
        <w:rPr>
          <w:rFonts w:hint="eastAsia" w:ascii="黑体" w:hAnsi="黑体" w:eastAsia="黑体"/>
          <w:snapToGrid w:val="0"/>
          <w:color w:val="000000" w:themeColor="text1"/>
          <w:sz w:val="30"/>
          <w:szCs w:val="30"/>
          <w:highlight w:val="none"/>
          <w14:textFill>
            <w14:solidFill>
              <w14:schemeClr w14:val="tx1"/>
            </w14:solidFill>
          </w14:textFill>
        </w:rPr>
        <w:t>三、区域环境质量现状、环境保护目标及评价标准</w:t>
      </w:r>
      <w:bookmarkEnd w:id="7"/>
      <w:bookmarkEnd w:id="8"/>
      <w:bookmarkEnd w:id="9"/>
    </w:p>
    <w:tbl>
      <w:tblPr>
        <w:tblStyle w:val="1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196"/>
      </w:tblGrid>
      <w:tr w14:paraId="78EC61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00" w:type="dxa"/>
            <w:noWrap w:val="0"/>
            <w:vAlign w:val="center"/>
          </w:tcPr>
          <w:p w14:paraId="616C62AC">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区域</w:t>
            </w:r>
          </w:p>
          <w:p w14:paraId="02EFBEB6">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环境</w:t>
            </w:r>
          </w:p>
          <w:p w14:paraId="56328849">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质量</w:t>
            </w:r>
          </w:p>
          <w:p w14:paraId="71D4D4EC">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现状</w:t>
            </w:r>
          </w:p>
        </w:tc>
        <w:tc>
          <w:tcPr>
            <w:tcW w:w="8196" w:type="dxa"/>
            <w:noWrap w:val="0"/>
            <w:vAlign w:val="center"/>
          </w:tcPr>
          <w:p w14:paraId="7E8F0088">
            <w:pPr>
              <w:keepNext w:val="0"/>
              <w:keepLines w:val="0"/>
              <w:pageBreakBefore w:val="0"/>
              <w:widowControl w:val="0"/>
              <w:kinsoku/>
              <w:wordWrap/>
              <w:overflowPunct/>
              <w:topLinePunct w:val="0"/>
              <w:autoSpaceDE/>
              <w:autoSpaceDN/>
              <w:bidi w:val="0"/>
              <w:adjustRightInd w:val="0"/>
              <w:snapToGrid w:val="0"/>
              <w:jc w:val="left"/>
              <w:textAlignment w:val="auto"/>
              <w:rPr>
                <w:rFonts w:hint="default" w:cs="Times New Roman"/>
                <w:b/>
                <w:bCs/>
                <w:color w:val="000000" w:themeColor="text1"/>
                <w:kern w:val="0"/>
                <w:szCs w:val="21"/>
                <w:highlight w:val="none"/>
                <w:lang w:val="en-US" w:eastAsia="zh-CN"/>
                <w14:textFill>
                  <w14:solidFill>
                    <w14:schemeClr w14:val="tx1"/>
                  </w14:solidFill>
                </w14:textFill>
              </w:rPr>
            </w:pPr>
            <w:r>
              <w:rPr>
                <w:rFonts w:hint="eastAsia" w:cs="Times New Roman"/>
                <w:b/>
                <w:bCs/>
                <w:color w:val="000000" w:themeColor="text1"/>
                <w:kern w:val="0"/>
                <w:szCs w:val="21"/>
                <w:highlight w:val="none"/>
                <w:lang w:val="en-US" w:eastAsia="zh-CN"/>
                <w14:textFill>
                  <w14:solidFill>
                    <w14:schemeClr w14:val="tx1"/>
                  </w14:solidFill>
                </w14:textFill>
              </w:rPr>
              <w:t>1、环境空气质量现状</w:t>
            </w:r>
          </w:p>
          <w:p w14:paraId="3641BB4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Cs w:val="21"/>
                <w:highlight w:val="none"/>
                <w14:textFill>
                  <w14:solidFill>
                    <w14:schemeClr w14:val="tx1"/>
                  </w14:solidFill>
                </w14:textFill>
              </w:rPr>
              <w:t>达标区判定</w:t>
            </w:r>
          </w:p>
          <w:p w14:paraId="6189C90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根据《建设项目环境影响报告表编制技术指南（污染影响类）（试行）》的相关要求，需对本项目大气环境评价范围内的区域进行达标判定。本项目位于</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磴口县</w:t>
            </w:r>
            <w:r>
              <w:rPr>
                <w:rFonts w:hint="default" w:ascii="Times New Roman" w:hAnsi="Times New Roman" w:eastAsia="宋体" w:cs="Times New Roman"/>
                <w:color w:val="000000" w:themeColor="text1"/>
                <w:kern w:val="0"/>
                <w:szCs w:val="21"/>
                <w:highlight w:val="none"/>
                <w14:textFill>
                  <w14:solidFill>
                    <w14:schemeClr w14:val="tx1"/>
                  </w14:solidFill>
                </w14:textFill>
              </w:rPr>
              <w:t>境内，为二类区，适用《环境空气质量标准》（GB3095-20</w:t>
            </w:r>
            <w:r>
              <w:rPr>
                <w:rFonts w:hint="eastAsia" w:cs="Times New Roman"/>
                <w:color w:val="000000" w:themeColor="text1"/>
                <w:kern w:val="0"/>
                <w:szCs w:val="21"/>
                <w:highlight w:val="none"/>
                <w:lang w:val="en-US" w:eastAsia="zh-CN"/>
                <w14:textFill>
                  <w14:solidFill>
                    <w14:schemeClr w14:val="tx1"/>
                  </w14:solidFill>
                </w14:textFill>
              </w:rPr>
              <w:t>26</w:t>
            </w:r>
            <w:r>
              <w:rPr>
                <w:rFonts w:hint="default" w:ascii="Times New Roman" w:hAnsi="Times New Roman" w:eastAsia="宋体" w:cs="Times New Roman"/>
                <w:color w:val="000000" w:themeColor="text1"/>
                <w:kern w:val="0"/>
                <w:szCs w:val="21"/>
                <w:highlight w:val="none"/>
                <w14:textFill>
                  <w14:solidFill>
                    <w14:schemeClr w14:val="tx1"/>
                  </w14:solidFill>
                </w14:textFill>
              </w:rPr>
              <w:t>）中过渡阶段浓度限值二级标准。</w:t>
            </w:r>
          </w:p>
          <w:p w14:paraId="1660FF1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本次区域环境质量现状引用《巴彦淖尔市环境质量状况公报》（2024年）中磴口县</w:t>
            </w:r>
            <w:r>
              <w:rPr>
                <w:rFonts w:hint="default" w:ascii="Times New Roman" w:hAnsi="Times New Roman" w:eastAsia="宋体" w:cs="Times New Roman"/>
                <w:color w:val="000000" w:themeColor="text1"/>
                <w:sz w:val="24"/>
                <w:szCs w:val="20"/>
                <w:highlight w:val="none"/>
                <w14:textFill>
                  <w14:solidFill>
                    <w14:schemeClr w14:val="tx1"/>
                  </w14:solidFill>
                </w14:textFill>
              </w:rPr>
              <w:t>巴彦高勒镇相关统计结果</w:t>
            </w:r>
            <w:r>
              <w:rPr>
                <w:rFonts w:hint="default" w:ascii="Times New Roman" w:hAnsi="Times New Roman" w:eastAsia="宋体" w:cs="Times New Roman"/>
                <w:color w:val="000000" w:themeColor="text1"/>
                <w:sz w:val="24"/>
                <w:szCs w:val="24"/>
                <w:highlight w:val="none"/>
                <w14:textFill>
                  <w14:solidFill>
                    <w14:schemeClr w14:val="tx1"/>
                  </w14:solidFill>
                </w14:textFill>
              </w:rPr>
              <w:t>，2024年，巴彦高勒镇环境空气质量综合评价为达标，O</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日最大8小时滑动平均值第90百分位数为132μg/m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，SO</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年平均浓度为10μg/m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，CO24小时平均第95百分位数为1.1mg/m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，PM</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10</w:t>
            </w:r>
            <w:r>
              <w:rPr>
                <w:rFonts w:hint="default" w:ascii="Times New Roman" w:hAnsi="Times New Roman" w:eastAsia="宋体" w:cs="Times New Roman"/>
                <w:color w:val="000000" w:themeColor="text1"/>
                <w:sz w:val="24"/>
                <w:szCs w:val="24"/>
                <w:highlight w:val="none"/>
                <w14:textFill>
                  <w14:solidFill>
                    <w14:schemeClr w14:val="tx1"/>
                  </w14:solidFill>
                </w14:textFill>
              </w:rPr>
              <w:t>年平均浓度为57μg/m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，PM</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2.5</w:t>
            </w:r>
            <w:r>
              <w:rPr>
                <w:rFonts w:hint="default" w:ascii="Times New Roman" w:hAnsi="Times New Roman" w:eastAsia="宋体" w:cs="Times New Roman"/>
                <w:color w:val="000000" w:themeColor="text1"/>
                <w:sz w:val="24"/>
                <w:szCs w:val="24"/>
                <w:highlight w:val="none"/>
                <w14:textFill>
                  <w14:solidFill>
                    <w14:schemeClr w14:val="tx1"/>
                  </w14:solidFill>
                </w14:textFill>
              </w:rPr>
              <w:t>年平均浓度为16μg/m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，NO</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年平均浓度为18μg/m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，项目所在区域2024年环境质量情况O</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、SO</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、CO、PM</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10</w:t>
            </w:r>
            <w:r>
              <w:rPr>
                <w:rFonts w:hint="default" w:ascii="Times New Roman" w:hAnsi="Times New Roman" w:eastAsia="宋体" w:cs="Times New Roman"/>
                <w:color w:val="000000" w:themeColor="text1"/>
                <w:sz w:val="24"/>
                <w:szCs w:val="24"/>
                <w:highlight w:val="none"/>
                <w14:textFill>
                  <w14:solidFill>
                    <w14:schemeClr w14:val="tx1"/>
                  </w14:solidFill>
                </w14:textFill>
              </w:rPr>
              <w:t>、PM</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2.5</w:t>
            </w:r>
            <w:r>
              <w:rPr>
                <w:rFonts w:hint="default" w:ascii="Times New Roman" w:hAnsi="Times New Roman" w:eastAsia="宋体" w:cs="Times New Roman"/>
                <w:color w:val="000000" w:themeColor="text1"/>
                <w:sz w:val="24"/>
                <w:szCs w:val="24"/>
                <w:highlight w:val="none"/>
                <w14:textFill>
                  <w14:solidFill>
                    <w14:schemeClr w14:val="tx1"/>
                  </w14:solidFill>
                </w14:textFill>
              </w:rPr>
              <w:t>、NO</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均达到《环境空气质量标准》（GB3095-2</w:t>
            </w:r>
            <w:r>
              <w:rPr>
                <w:rFonts w:hint="eastAsia" w:cs="Times New Roman"/>
                <w:color w:val="000000" w:themeColor="text1"/>
                <w:sz w:val="24"/>
                <w:szCs w:val="24"/>
                <w:highlight w:val="none"/>
                <w:lang w:val="en-US" w:eastAsia="zh-CN"/>
                <w14:textFill>
                  <w14:solidFill>
                    <w14:schemeClr w14:val="tx1"/>
                  </w14:solidFill>
                </w14:textFill>
              </w:rPr>
              <w:t>012）二级标准限值。同时，对照《环境空气质量标准》（GB3095-2026）中过渡阶段浓度限值，各指标亦符合二级标准要求。</w:t>
            </w:r>
          </w:p>
          <w:p w14:paraId="05DFAE5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综上所述，该区域属于达标区。2024年区域基本污染物监测统计结果见下表。</w:t>
            </w:r>
          </w:p>
          <w:p w14:paraId="3E3F6C90">
            <w:pPr>
              <w:pStyle w:val="2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3-1</w:t>
            </w:r>
            <w:r>
              <w:rPr>
                <w:color w:val="000000" w:themeColor="text1"/>
                <w:highlight w:val="none"/>
                <w14:textFill>
                  <w14:solidFill>
                    <w14:schemeClr w14:val="tx1"/>
                  </w14:solidFill>
                </w14:textFill>
              </w:rPr>
              <w:t xml:space="preserve">  区域环境空气质量现状评价表</w:t>
            </w:r>
          </w:p>
          <w:tbl>
            <w:tblPr>
              <w:tblStyle w:val="1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38"/>
              <w:gridCol w:w="2555"/>
              <w:gridCol w:w="1066"/>
              <w:gridCol w:w="1882"/>
              <w:gridCol w:w="792"/>
              <w:gridCol w:w="914"/>
            </w:tblGrid>
            <w:tr w14:paraId="6F8CA7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2" w:type="pct"/>
                  <w:tcBorders>
                    <w:tl2br w:val="nil"/>
                    <w:tr2bl w:val="nil"/>
                  </w:tcBorders>
                  <w:noWrap w:val="0"/>
                  <w:vAlign w:val="center"/>
                </w:tcPr>
                <w:p w14:paraId="5FB31FB9">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污染物</w:t>
                  </w:r>
                </w:p>
              </w:tc>
              <w:tc>
                <w:tcPr>
                  <w:tcW w:w="1664" w:type="pct"/>
                  <w:tcBorders>
                    <w:tl2br w:val="nil"/>
                    <w:tr2bl w:val="nil"/>
                  </w:tcBorders>
                  <w:noWrap w:val="0"/>
                  <w:vAlign w:val="center"/>
                </w:tcPr>
                <w:p w14:paraId="3FAE5F1E">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年评价指标</w:t>
                  </w:r>
                </w:p>
              </w:tc>
              <w:tc>
                <w:tcPr>
                  <w:tcW w:w="710" w:type="pct"/>
                  <w:tcBorders>
                    <w:tl2br w:val="nil"/>
                    <w:tr2bl w:val="nil"/>
                  </w:tcBorders>
                  <w:noWrap w:val="0"/>
                  <w:vAlign w:val="center"/>
                </w:tcPr>
                <w:p w14:paraId="0290B98E">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现状浓度（μg/m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897" w:type="pct"/>
                  <w:tcBorders>
                    <w:tl2br w:val="nil"/>
                    <w:tr2bl w:val="nil"/>
                  </w:tcBorders>
                  <w:noWrap w:val="0"/>
                  <w:vAlign w:val="center"/>
                </w:tcPr>
                <w:p w14:paraId="09A46EA3">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（GB3095-2012）二级标准浓度限值（μg/m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573" w:type="pct"/>
                  <w:tcBorders>
                    <w:tl2br w:val="nil"/>
                    <w:tr2bl w:val="nil"/>
                  </w:tcBorders>
                  <w:noWrap w:val="0"/>
                  <w:vAlign w:val="center"/>
                </w:tcPr>
                <w:p w14:paraId="69A57EA7">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占标率</w:t>
                  </w:r>
                </w:p>
                <w:p w14:paraId="6E638499">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632" w:type="pct"/>
                  <w:tcBorders>
                    <w:tl2br w:val="nil"/>
                    <w:tr2bl w:val="nil"/>
                  </w:tcBorders>
                  <w:noWrap w:val="0"/>
                  <w:vAlign w:val="center"/>
                </w:tcPr>
                <w:p w14:paraId="484B4FD8">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达标情况</w:t>
                  </w:r>
                </w:p>
              </w:tc>
            </w:tr>
            <w:tr w14:paraId="160F43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2" w:type="pct"/>
                  <w:tcBorders>
                    <w:tl2br w:val="nil"/>
                    <w:tr2bl w:val="nil"/>
                  </w:tcBorders>
                  <w:noWrap w:val="0"/>
                  <w:vAlign w:val="center"/>
                </w:tcPr>
                <w:p w14:paraId="24814826">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SO</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w:t>
                  </w:r>
                </w:p>
              </w:tc>
              <w:tc>
                <w:tcPr>
                  <w:tcW w:w="1664" w:type="pct"/>
                  <w:tcBorders>
                    <w:tl2br w:val="nil"/>
                    <w:tr2bl w:val="nil"/>
                  </w:tcBorders>
                  <w:noWrap w:val="0"/>
                  <w:vAlign w:val="center"/>
                </w:tcPr>
                <w:p w14:paraId="66DC0825">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年平均质量浓度</w:t>
                  </w:r>
                </w:p>
              </w:tc>
              <w:tc>
                <w:tcPr>
                  <w:tcW w:w="710" w:type="pct"/>
                  <w:tcBorders>
                    <w:tl2br w:val="nil"/>
                    <w:tr2bl w:val="nil"/>
                  </w:tcBorders>
                  <w:noWrap w:val="0"/>
                  <w:vAlign w:val="center"/>
                </w:tcPr>
                <w:p w14:paraId="504D1A7A">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10</w:t>
                  </w:r>
                </w:p>
              </w:tc>
              <w:tc>
                <w:tcPr>
                  <w:tcW w:w="897" w:type="pct"/>
                  <w:tcBorders>
                    <w:tl2br w:val="nil"/>
                    <w:tr2bl w:val="nil"/>
                  </w:tcBorders>
                  <w:noWrap w:val="0"/>
                  <w:vAlign w:val="center"/>
                </w:tcPr>
                <w:p w14:paraId="666E3102">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60</w:t>
                  </w:r>
                </w:p>
              </w:tc>
              <w:tc>
                <w:tcPr>
                  <w:tcW w:w="573" w:type="pct"/>
                  <w:tcBorders>
                    <w:tl2br w:val="nil"/>
                    <w:tr2bl w:val="nil"/>
                  </w:tcBorders>
                  <w:noWrap w:val="0"/>
                  <w:vAlign w:val="center"/>
                </w:tcPr>
                <w:p w14:paraId="5A1763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16.67</w:t>
                  </w:r>
                </w:p>
              </w:tc>
              <w:tc>
                <w:tcPr>
                  <w:tcW w:w="632" w:type="pct"/>
                  <w:tcBorders>
                    <w:tl2br w:val="nil"/>
                    <w:tr2bl w:val="nil"/>
                  </w:tcBorders>
                  <w:noWrap w:val="0"/>
                  <w:vAlign w:val="center"/>
                </w:tcPr>
                <w:p w14:paraId="5587D2A8">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14:paraId="3EB926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2" w:type="pct"/>
                  <w:tcBorders>
                    <w:tl2br w:val="nil"/>
                    <w:tr2bl w:val="nil"/>
                  </w:tcBorders>
                  <w:noWrap w:val="0"/>
                  <w:vAlign w:val="center"/>
                </w:tcPr>
                <w:p w14:paraId="1F4BE743">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NO</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w:t>
                  </w:r>
                </w:p>
              </w:tc>
              <w:tc>
                <w:tcPr>
                  <w:tcW w:w="1664" w:type="pct"/>
                  <w:tcBorders>
                    <w:tl2br w:val="nil"/>
                    <w:tr2bl w:val="nil"/>
                  </w:tcBorders>
                  <w:noWrap w:val="0"/>
                  <w:vAlign w:val="center"/>
                </w:tcPr>
                <w:p w14:paraId="30D1D006">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年平均质量浓度</w:t>
                  </w:r>
                </w:p>
              </w:tc>
              <w:tc>
                <w:tcPr>
                  <w:tcW w:w="710" w:type="pct"/>
                  <w:tcBorders>
                    <w:tl2br w:val="nil"/>
                    <w:tr2bl w:val="nil"/>
                  </w:tcBorders>
                  <w:noWrap w:val="0"/>
                  <w:vAlign w:val="center"/>
                </w:tcPr>
                <w:p w14:paraId="0E193DB5">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18</w:t>
                  </w:r>
                </w:p>
              </w:tc>
              <w:tc>
                <w:tcPr>
                  <w:tcW w:w="897" w:type="pct"/>
                  <w:tcBorders>
                    <w:tl2br w:val="nil"/>
                    <w:tr2bl w:val="nil"/>
                  </w:tcBorders>
                  <w:noWrap w:val="0"/>
                  <w:vAlign w:val="center"/>
                </w:tcPr>
                <w:p w14:paraId="3708AEF6">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40</w:t>
                  </w:r>
                </w:p>
              </w:tc>
              <w:tc>
                <w:tcPr>
                  <w:tcW w:w="573" w:type="pct"/>
                  <w:tcBorders>
                    <w:tl2br w:val="nil"/>
                    <w:tr2bl w:val="nil"/>
                  </w:tcBorders>
                  <w:noWrap w:val="0"/>
                  <w:vAlign w:val="center"/>
                </w:tcPr>
                <w:p w14:paraId="61FE3E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45.00</w:t>
                  </w:r>
                </w:p>
              </w:tc>
              <w:tc>
                <w:tcPr>
                  <w:tcW w:w="632" w:type="pct"/>
                  <w:tcBorders>
                    <w:tl2br w:val="nil"/>
                    <w:tr2bl w:val="nil"/>
                  </w:tcBorders>
                  <w:noWrap w:val="0"/>
                  <w:vAlign w:val="center"/>
                </w:tcPr>
                <w:p w14:paraId="422835D4">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14:paraId="176869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2" w:type="pct"/>
                  <w:tcBorders>
                    <w:tl2br w:val="nil"/>
                    <w:tr2bl w:val="nil"/>
                  </w:tcBorders>
                  <w:noWrap w:val="0"/>
                  <w:vAlign w:val="center"/>
                </w:tcPr>
                <w:p w14:paraId="3FE31A5C">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PM</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10</w:t>
                  </w:r>
                </w:p>
              </w:tc>
              <w:tc>
                <w:tcPr>
                  <w:tcW w:w="1664" w:type="pct"/>
                  <w:tcBorders>
                    <w:tl2br w:val="nil"/>
                    <w:tr2bl w:val="nil"/>
                  </w:tcBorders>
                  <w:noWrap w:val="0"/>
                  <w:vAlign w:val="center"/>
                </w:tcPr>
                <w:p w14:paraId="5C5CFA28">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年平均质量浓度</w:t>
                  </w:r>
                </w:p>
              </w:tc>
              <w:tc>
                <w:tcPr>
                  <w:tcW w:w="710" w:type="pct"/>
                  <w:tcBorders>
                    <w:tl2br w:val="nil"/>
                    <w:tr2bl w:val="nil"/>
                  </w:tcBorders>
                  <w:noWrap w:val="0"/>
                  <w:vAlign w:val="center"/>
                </w:tcPr>
                <w:p w14:paraId="077FEF9C">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57</w:t>
                  </w:r>
                </w:p>
              </w:tc>
              <w:tc>
                <w:tcPr>
                  <w:tcW w:w="897" w:type="pct"/>
                  <w:tcBorders>
                    <w:tl2br w:val="nil"/>
                    <w:tr2bl w:val="nil"/>
                  </w:tcBorders>
                  <w:noWrap w:val="0"/>
                  <w:vAlign w:val="center"/>
                </w:tcPr>
                <w:p w14:paraId="2457DFD8">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70</w:t>
                  </w:r>
                </w:p>
              </w:tc>
              <w:tc>
                <w:tcPr>
                  <w:tcW w:w="573" w:type="pct"/>
                  <w:tcBorders>
                    <w:tl2br w:val="nil"/>
                    <w:tr2bl w:val="nil"/>
                  </w:tcBorders>
                  <w:noWrap w:val="0"/>
                  <w:vAlign w:val="center"/>
                </w:tcPr>
                <w:p w14:paraId="77C2648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95</w:t>
                  </w:r>
                </w:p>
              </w:tc>
              <w:tc>
                <w:tcPr>
                  <w:tcW w:w="632" w:type="pct"/>
                  <w:tcBorders>
                    <w:tl2br w:val="nil"/>
                    <w:tr2bl w:val="nil"/>
                  </w:tcBorders>
                  <w:noWrap w:val="0"/>
                  <w:vAlign w:val="center"/>
                </w:tcPr>
                <w:p w14:paraId="539E4D5E">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14:paraId="280F9A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2" w:type="pct"/>
                  <w:tcBorders>
                    <w:tl2br w:val="nil"/>
                    <w:tr2bl w:val="nil"/>
                  </w:tcBorders>
                  <w:noWrap w:val="0"/>
                  <w:vAlign w:val="center"/>
                </w:tcPr>
                <w:p w14:paraId="7CB723EB">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PM</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2.5</w:t>
                  </w:r>
                </w:p>
              </w:tc>
              <w:tc>
                <w:tcPr>
                  <w:tcW w:w="1664" w:type="pct"/>
                  <w:tcBorders>
                    <w:tl2br w:val="nil"/>
                    <w:tr2bl w:val="nil"/>
                  </w:tcBorders>
                  <w:noWrap w:val="0"/>
                  <w:vAlign w:val="center"/>
                </w:tcPr>
                <w:p w14:paraId="4F9972A3">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年平均质量浓度</w:t>
                  </w:r>
                </w:p>
              </w:tc>
              <w:tc>
                <w:tcPr>
                  <w:tcW w:w="710" w:type="pct"/>
                  <w:tcBorders>
                    <w:tl2br w:val="nil"/>
                    <w:tr2bl w:val="nil"/>
                  </w:tcBorders>
                  <w:noWrap w:val="0"/>
                  <w:vAlign w:val="center"/>
                </w:tcPr>
                <w:p w14:paraId="10918A7A">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16</w:t>
                  </w:r>
                </w:p>
              </w:tc>
              <w:tc>
                <w:tcPr>
                  <w:tcW w:w="897" w:type="pct"/>
                  <w:tcBorders>
                    <w:tl2br w:val="nil"/>
                    <w:tr2bl w:val="nil"/>
                  </w:tcBorders>
                  <w:noWrap w:val="0"/>
                  <w:vAlign w:val="center"/>
                </w:tcPr>
                <w:p w14:paraId="7FFEBB3D">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35</w:t>
                  </w:r>
                </w:p>
              </w:tc>
              <w:tc>
                <w:tcPr>
                  <w:tcW w:w="573" w:type="pct"/>
                  <w:tcBorders>
                    <w:tl2br w:val="nil"/>
                    <w:tr2bl w:val="nil"/>
                  </w:tcBorders>
                  <w:noWrap w:val="0"/>
                  <w:vAlign w:val="center"/>
                </w:tcPr>
                <w:p w14:paraId="240BCE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53.33</w:t>
                  </w:r>
                </w:p>
              </w:tc>
              <w:tc>
                <w:tcPr>
                  <w:tcW w:w="632" w:type="pct"/>
                  <w:tcBorders>
                    <w:tl2br w:val="nil"/>
                    <w:tr2bl w:val="nil"/>
                  </w:tcBorders>
                  <w:noWrap w:val="0"/>
                  <w:vAlign w:val="center"/>
                </w:tcPr>
                <w:p w14:paraId="47E6D265">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14:paraId="1DBBD4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2" w:type="pct"/>
                  <w:tcBorders>
                    <w:tl2br w:val="nil"/>
                    <w:tr2bl w:val="nil"/>
                  </w:tcBorders>
                  <w:noWrap w:val="0"/>
                  <w:vAlign w:val="center"/>
                </w:tcPr>
                <w:p w14:paraId="10830DA3">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CO</w:t>
                  </w:r>
                </w:p>
              </w:tc>
              <w:tc>
                <w:tcPr>
                  <w:tcW w:w="1664" w:type="pct"/>
                  <w:tcBorders>
                    <w:tl2br w:val="nil"/>
                    <w:tr2bl w:val="nil"/>
                  </w:tcBorders>
                  <w:noWrap w:val="0"/>
                  <w:vAlign w:val="center"/>
                </w:tcPr>
                <w:p w14:paraId="22899473">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24小时平均第95百分位数</w:t>
                  </w:r>
                </w:p>
              </w:tc>
              <w:tc>
                <w:tcPr>
                  <w:tcW w:w="710" w:type="pct"/>
                  <w:tcBorders>
                    <w:tl2br w:val="nil"/>
                    <w:tr2bl w:val="nil"/>
                  </w:tcBorders>
                  <w:noWrap w:val="0"/>
                  <w:vAlign w:val="center"/>
                </w:tcPr>
                <w:p w14:paraId="0958BB28">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1.1mg/m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tc>
              <w:tc>
                <w:tcPr>
                  <w:tcW w:w="897" w:type="pct"/>
                  <w:tcBorders>
                    <w:tl2br w:val="nil"/>
                    <w:tr2bl w:val="nil"/>
                  </w:tcBorders>
                  <w:noWrap w:val="0"/>
                  <w:vAlign w:val="center"/>
                </w:tcPr>
                <w:p w14:paraId="0E97DFCB">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4mg/m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tc>
              <w:tc>
                <w:tcPr>
                  <w:tcW w:w="573" w:type="pct"/>
                  <w:tcBorders>
                    <w:tl2br w:val="nil"/>
                    <w:tr2bl w:val="nil"/>
                  </w:tcBorders>
                  <w:noWrap w:val="0"/>
                  <w:vAlign w:val="center"/>
                </w:tcPr>
                <w:p w14:paraId="699786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27.50</w:t>
                  </w:r>
                </w:p>
              </w:tc>
              <w:tc>
                <w:tcPr>
                  <w:tcW w:w="632" w:type="pct"/>
                  <w:tcBorders>
                    <w:tl2br w:val="nil"/>
                    <w:tr2bl w:val="nil"/>
                  </w:tcBorders>
                  <w:noWrap w:val="0"/>
                  <w:vAlign w:val="center"/>
                </w:tcPr>
                <w:p w14:paraId="037DE4A8">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14:paraId="2CB3CA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22" w:type="pct"/>
                  <w:tcBorders>
                    <w:tl2br w:val="nil"/>
                    <w:tr2bl w:val="nil"/>
                  </w:tcBorders>
                  <w:noWrap w:val="0"/>
                  <w:vAlign w:val="center"/>
                </w:tcPr>
                <w:p w14:paraId="7EDDAF0B">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O</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3</w:t>
                  </w:r>
                </w:p>
              </w:tc>
              <w:tc>
                <w:tcPr>
                  <w:tcW w:w="1664" w:type="pct"/>
                  <w:tcBorders>
                    <w:tl2br w:val="nil"/>
                    <w:tr2bl w:val="nil"/>
                  </w:tcBorders>
                  <w:noWrap w:val="0"/>
                  <w:vAlign w:val="center"/>
                </w:tcPr>
                <w:p w14:paraId="650B3F26">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日最大8小时滑动平均值第90百分位数</w:t>
                  </w:r>
                </w:p>
              </w:tc>
              <w:tc>
                <w:tcPr>
                  <w:tcW w:w="710" w:type="pct"/>
                  <w:tcBorders>
                    <w:tl2br w:val="nil"/>
                    <w:tr2bl w:val="nil"/>
                  </w:tcBorders>
                  <w:noWrap w:val="0"/>
                  <w:vAlign w:val="center"/>
                </w:tcPr>
                <w:p w14:paraId="335D4451">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132</w:t>
                  </w:r>
                </w:p>
              </w:tc>
              <w:tc>
                <w:tcPr>
                  <w:tcW w:w="897" w:type="pct"/>
                  <w:tcBorders>
                    <w:tl2br w:val="nil"/>
                    <w:tr2bl w:val="nil"/>
                  </w:tcBorders>
                  <w:noWrap w:val="0"/>
                  <w:vAlign w:val="center"/>
                </w:tcPr>
                <w:p w14:paraId="735D114C">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160</w:t>
                  </w:r>
                </w:p>
              </w:tc>
              <w:tc>
                <w:tcPr>
                  <w:tcW w:w="573" w:type="pct"/>
                  <w:tcBorders>
                    <w:tl2br w:val="nil"/>
                    <w:tr2bl w:val="nil"/>
                  </w:tcBorders>
                  <w:noWrap w:val="0"/>
                  <w:vAlign w:val="center"/>
                </w:tcPr>
                <w:p w14:paraId="32129F9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82.50</w:t>
                  </w:r>
                </w:p>
              </w:tc>
              <w:tc>
                <w:tcPr>
                  <w:tcW w:w="632" w:type="pct"/>
                  <w:tcBorders>
                    <w:tl2br w:val="nil"/>
                    <w:tr2bl w:val="nil"/>
                  </w:tcBorders>
                  <w:noWrap w:val="0"/>
                  <w:vAlign w:val="center"/>
                </w:tcPr>
                <w:p w14:paraId="25271ED8">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bl>
          <w:p w14:paraId="52B4A636">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color w:val="000000" w:themeColor="text1"/>
                <w:kern w:val="0"/>
                <w:szCs w:val="21"/>
                <w:highlight w:val="none"/>
                <w14:textFill>
                  <w14:solidFill>
                    <w14:schemeClr w14:val="tx1"/>
                  </w14:solidFill>
                </w14:textFill>
              </w:rPr>
            </w:pPr>
          </w:p>
          <w:p w14:paraId="782A8248">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eastAsia" w:cs="Times New Roman"/>
                <w:color w:val="000000" w:themeColor="text1"/>
                <w:kern w:val="0"/>
                <w:szCs w:val="21"/>
                <w:highlight w:val="none"/>
                <w:lang w:val="en-US" w:eastAsia="zh-CN"/>
                <w14:textFill>
                  <w14:solidFill>
                    <w14:schemeClr w14:val="tx1"/>
                  </w14:solidFill>
                </w14:textFill>
              </w:rPr>
              <w:t>2</w:t>
            </w:r>
            <w:r>
              <w:rPr>
                <w:rFonts w:hint="eastAsia" w:cs="Times New Roman"/>
                <w:color w:val="000000" w:themeColor="text1"/>
                <w:kern w:val="0"/>
                <w:szCs w:val="21"/>
                <w:highlight w:val="none"/>
                <w:lang w:eastAsia="zh-CN"/>
                <w14:textFill>
                  <w14:solidFill>
                    <w14:schemeClr w14:val="tx1"/>
                  </w14:solidFill>
                </w14:textFill>
              </w:rPr>
              <w:t>）</w:t>
            </w:r>
            <w:r>
              <w:rPr>
                <w:rFonts w:hint="eastAsia" w:cs="Times New Roman"/>
                <w:color w:val="000000" w:themeColor="text1"/>
                <w:kern w:val="0"/>
                <w:szCs w:val="21"/>
                <w:highlight w:val="none"/>
                <w:lang w:val="en-US" w:eastAsia="zh-CN"/>
                <w14:textFill>
                  <w14:solidFill>
                    <w14:schemeClr w14:val="tx1"/>
                  </w14:solidFill>
                </w14:textFill>
              </w:rPr>
              <w:t>特征污染物</w:t>
            </w:r>
          </w:p>
          <w:p w14:paraId="6FF0CC1C">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根据国家环境影响评价网2021年10月20日发布的《建设项目环境影响报告表》内容、格式及编制技术指南常见问题解答中“三、关于污染影响技术指南”的“第7条”，第7条内容如下：“排放国家、地方环境空气质量标准中有标准限值要求的特征污染物”，其中环境空气质量标准指《环境空气质量标准》（GB3095）和地方的环境空气质量标准，不包括《环境影响评价技术导则 大气环境》（HJ2.2-2018）附录D、《工业企业设计卫生标准》（TJ36-97）、《前苏联居住区标准》（CH245-71）、《大气污染物综合排放标准详解》等导则或参考资料。排放的特征污染物需要在国家、地方环境空气质量标准中有限值要求才涉及现状监测，且优先引用现有监测数据。</w:t>
            </w:r>
          </w:p>
          <w:p w14:paraId="5E8088A6">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本项目特征污染物主要为</w:t>
            </w:r>
            <w:r>
              <w:rPr>
                <w:rFonts w:hint="eastAsia" w:cs="Times New Roman"/>
                <w:color w:val="000000" w:themeColor="text1"/>
                <w:kern w:val="0"/>
                <w:szCs w:val="21"/>
                <w:highlight w:val="none"/>
                <w:lang w:val="en-US" w:eastAsia="zh-CN"/>
                <w14:textFill>
                  <w14:solidFill>
                    <w14:schemeClr w14:val="tx1"/>
                  </w14:solidFill>
                </w14:textFill>
              </w:rPr>
              <w:t>硫化氢</w:t>
            </w:r>
            <w:r>
              <w:rPr>
                <w:rFonts w:hint="default" w:ascii="Times New Roman" w:hAnsi="Times New Roman" w:cs="Times New Roman"/>
                <w:color w:val="000000" w:themeColor="text1"/>
                <w:kern w:val="0"/>
                <w:szCs w:val="21"/>
                <w:highlight w:val="none"/>
                <w14:textFill>
                  <w14:solidFill>
                    <w14:schemeClr w14:val="tx1"/>
                  </w14:solidFill>
                </w14:textFill>
              </w:rPr>
              <w:t>、</w:t>
            </w:r>
            <w:r>
              <w:rPr>
                <w:rFonts w:hint="eastAsia" w:cs="Times New Roman"/>
                <w:color w:val="000000" w:themeColor="text1"/>
                <w:kern w:val="0"/>
                <w:szCs w:val="21"/>
                <w:highlight w:val="none"/>
                <w:lang w:val="en-US" w:eastAsia="zh-CN"/>
                <w14:textFill>
                  <w14:solidFill>
                    <w14:schemeClr w14:val="tx1"/>
                  </w14:solidFill>
                </w14:textFill>
              </w:rPr>
              <w:t>氨气</w:t>
            </w:r>
            <w:r>
              <w:rPr>
                <w:rFonts w:hint="default" w:ascii="Times New Roman" w:hAnsi="Times New Roman" w:cs="Times New Roman"/>
                <w:color w:val="000000" w:themeColor="text1"/>
                <w:kern w:val="0"/>
                <w:szCs w:val="21"/>
                <w:highlight w:val="none"/>
                <w14:textFill>
                  <w14:solidFill>
                    <w14:schemeClr w14:val="tx1"/>
                  </w14:solidFill>
                </w14:textFill>
              </w:rPr>
              <w:t>、臭气浓度</w:t>
            </w:r>
            <w:r>
              <w:rPr>
                <w:rFonts w:hint="eastAsia" w:cs="Times New Roman"/>
                <w:color w:val="000000" w:themeColor="text1"/>
                <w:kern w:val="0"/>
                <w:szCs w:val="21"/>
                <w:highlight w:val="none"/>
                <w:lang w:val="en-US" w:eastAsia="zh-CN"/>
                <w14:textFill>
                  <w14:solidFill>
                    <w14:schemeClr w14:val="tx1"/>
                  </w14:solidFill>
                </w14:textFill>
              </w:rPr>
              <w:t>及甲烷</w:t>
            </w:r>
            <w:r>
              <w:rPr>
                <w:rFonts w:hint="default" w:ascii="Times New Roman" w:hAnsi="Times New Roman" w:cs="Times New Roman"/>
                <w:color w:val="000000" w:themeColor="text1"/>
                <w:kern w:val="0"/>
                <w:szCs w:val="21"/>
                <w:highlight w:val="none"/>
                <w14:textFill>
                  <w14:solidFill>
                    <w14:schemeClr w14:val="tx1"/>
                  </w14:solidFill>
                </w14:textFill>
              </w:rPr>
              <w:t>，由以上第7条解答内容可知，本项目特征污染物无国家、地方环境空气质量标准，因此本项目特征污染物不需开展现状监测。</w:t>
            </w:r>
          </w:p>
          <w:p w14:paraId="0E6B07A4">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eastAsia" w:cs="Times New Roman"/>
                <w:color w:val="000000" w:themeColor="text1"/>
                <w:kern w:val="0"/>
                <w:szCs w:val="21"/>
                <w:highlight w:val="none"/>
                <w:lang w:val="en-US" w:eastAsia="zh-CN"/>
                <w14:textFill>
                  <w14:solidFill>
                    <w14:schemeClr w14:val="tx1"/>
                  </w14:solidFill>
                </w14:textFill>
              </w:rPr>
              <w:t>同时，根据</w:t>
            </w:r>
            <w:r>
              <w:rPr>
                <w:rFonts w:hint="default" w:ascii="Times New Roman" w:hAnsi="Times New Roman" w:cs="Times New Roman"/>
                <w:color w:val="000000" w:themeColor="text1"/>
                <w:kern w:val="0"/>
                <w:szCs w:val="21"/>
                <w:highlight w:val="none"/>
                <w14:textFill>
                  <w14:solidFill>
                    <w14:schemeClr w14:val="tx1"/>
                  </w14:solidFill>
                </w14:textFill>
              </w:rPr>
              <w:t>巴彦淖尔市城投检测有限公司于2025年12月5日出具</w:t>
            </w:r>
            <w:r>
              <w:rPr>
                <w:rFonts w:hint="eastAsia" w:cs="Times New Roman"/>
                <w:color w:val="000000" w:themeColor="text1"/>
                <w:kern w:val="0"/>
                <w:szCs w:val="21"/>
                <w:highlight w:val="none"/>
                <w:lang w:val="en-US" w:eastAsia="zh-CN"/>
                <w14:textFill>
                  <w14:solidFill>
                    <w14:schemeClr w14:val="tx1"/>
                  </w14:solidFill>
                </w14:textFill>
              </w:rPr>
              <w:t>的</w:t>
            </w:r>
            <w:r>
              <w:rPr>
                <w:rFonts w:hint="default" w:ascii="Times New Roman" w:hAnsi="Times New Roman" w:cs="Times New Roman"/>
                <w:color w:val="000000" w:themeColor="text1"/>
                <w:kern w:val="0"/>
                <w:szCs w:val="21"/>
                <w:highlight w:val="none"/>
                <w14:textFill>
                  <w14:solidFill>
                    <w14:schemeClr w14:val="tx1"/>
                  </w14:solidFill>
                </w14:textFill>
              </w:rPr>
              <w:t>现有无组织废气检测报告，</w:t>
            </w:r>
            <w:r>
              <w:rPr>
                <w:rFonts w:hint="eastAsia" w:cs="Times New Roman"/>
                <w:color w:val="000000" w:themeColor="text1"/>
                <w:kern w:val="0"/>
                <w:szCs w:val="21"/>
                <w:highlight w:val="none"/>
                <w:lang w:eastAsia="zh-CN"/>
                <w14:textFill>
                  <w14:solidFill>
                    <w14:schemeClr w14:val="tx1"/>
                  </w14:solidFill>
                </w14:textFill>
              </w:rPr>
              <w:t>污水处理厂</w:t>
            </w:r>
            <w:r>
              <w:rPr>
                <w:rFonts w:hint="default" w:ascii="Times New Roman" w:hAnsi="Times New Roman" w:cs="Times New Roman"/>
                <w:color w:val="000000" w:themeColor="text1"/>
                <w:kern w:val="0"/>
                <w:szCs w:val="21"/>
                <w:highlight w:val="none"/>
                <w14:textFill>
                  <w14:solidFill>
                    <w14:schemeClr w14:val="tx1"/>
                  </w14:solidFill>
                </w14:textFill>
              </w:rPr>
              <w:t>无组织废气满足《城镇污水处理厂污染物排放标准》（GB18918-2002）（含2006年、2025年修改单）中大气污染物排放标准表4二级标准。</w:t>
            </w:r>
          </w:p>
          <w:p w14:paraId="38D4A31B">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b/>
                <w:bCs/>
                <w:color w:val="000000" w:themeColor="text1"/>
                <w:kern w:val="0"/>
                <w:szCs w:val="21"/>
                <w:highlight w:val="none"/>
                <w:lang w:val="en-US" w:eastAsia="zh-CN"/>
                <w14:textFill>
                  <w14:solidFill>
                    <w14:schemeClr w14:val="tx1"/>
                  </w14:solidFill>
                </w14:textFill>
              </w:rPr>
            </w:pPr>
            <w:r>
              <w:rPr>
                <w:rFonts w:hint="eastAsia" w:cs="Times New Roman"/>
                <w:b/>
                <w:bCs/>
                <w:color w:val="000000" w:themeColor="text1"/>
                <w:kern w:val="0"/>
                <w:szCs w:val="21"/>
                <w:highlight w:val="none"/>
                <w:lang w:val="en-US" w:eastAsia="zh-CN"/>
                <w14:textFill>
                  <w14:solidFill>
                    <w14:schemeClr w14:val="tx1"/>
                  </w14:solidFill>
                </w14:textFill>
              </w:rPr>
              <w:t>2、地表水环境质量现状</w:t>
            </w:r>
          </w:p>
          <w:p w14:paraId="4B33EAD8">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项目周边区域主要水体为项目</w:t>
            </w:r>
            <w:r>
              <w:rPr>
                <w:rFonts w:hint="eastAsia" w:cs="Times New Roman"/>
                <w:color w:val="000000" w:themeColor="text1"/>
                <w:kern w:val="0"/>
                <w:szCs w:val="21"/>
                <w:highlight w:val="none"/>
                <w:lang w:val="en-US" w:eastAsia="zh-CN"/>
                <w14:textFill>
                  <w14:solidFill>
                    <w14:schemeClr w14:val="tx1"/>
                  </w14:solidFill>
                </w14:textFill>
              </w:rPr>
              <w:t>东</w:t>
            </w:r>
            <w:r>
              <w:rPr>
                <w:rFonts w:hint="default" w:ascii="Times New Roman" w:hAnsi="Times New Roman" w:cs="Times New Roman"/>
                <w:color w:val="000000" w:themeColor="text1"/>
                <w:kern w:val="0"/>
                <w:szCs w:val="21"/>
                <w:highlight w:val="none"/>
                <w14:textFill>
                  <w14:solidFill>
                    <w14:schemeClr w14:val="tx1"/>
                  </w14:solidFill>
                </w14:textFill>
              </w:rPr>
              <w:t>面约</w:t>
            </w:r>
            <w:r>
              <w:rPr>
                <w:rFonts w:hint="eastAsia" w:cs="Times New Roman"/>
                <w:color w:val="000000" w:themeColor="text1"/>
                <w:kern w:val="0"/>
                <w:szCs w:val="21"/>
                <w:highlight w:val="none"/>
                <w:lang w:val="en-US" w:eastAsia="zh-CN"/>
                <w14:textFill>
                  <w14:solidFill>
                    <w14:schemeClr w14:val="tx1"/>
                  </w14:solidFill>
                </w14:textFill>
              </w:rPr>
              <w:t>1.46km</w:t>
            </w:r>
            <w:r>
              <w:rPr>
                <w:rFonts w:hint="default" w:ascii="Times New Roman" w:hAnsi="Times New Roman" w:cs="Times New Roman"/>
                <w:color w:val="000000" w:themeColor="text1"/>
                <w:kern w:val="0"/>
                <w:szCs w:val="21"/>
                <w:highlight w:val="none"/>
                <w14:textFill>
                  <w14:solidFill>
                    <w14:schemeClr w14:val="tx1"/>
                  </w14:solidFill>
                </w14:textFill>
              </w:rPr>
              <w:t>的</w:t>
            </w:r>
            <w:r>
              <w:rPr>
                <w:rFonts w:hint="eastAsia" w:cs="Times New Roman"/>
                <w:color w:val="000000" w:themeColor="text1"/>
                <w:kern w:val="0"/>
                <w:szCs w:val="21"/>
                <w:highlight w:val="none"/>
                <w:lang w:val="en-US" w:eastAsia="zh-CN"/>
                <w14:textFill>
                  <w14:solidFill>
                    <w14:schemeClr w14:val="tx1"/>
                  </w14:solidFill>
                </w14:textFill>
              </w:rPr>
              <w:t>二排干</w:t>
            </w:r>
            <w:r>
              <w:rPr>
                <w:rFonts w:hint="default" w:ascii="Times New Roman" w:hAnsi="Times New Roman" w:cs="Times New Roman"/>
                <w:color w:val="000000" w:themeColor="text1"/>
                <w:kern w:val="0"/>
                <w:szCs w:val="21"/>
                <w:highlight w:val="none"/>
                <w14:textFill>
                  <w14:solidFill>
                    <w14:schemeClr w14:val="tx1"/>
                  </w14:solidFill>
                </w14:textFill>
              </w:rPr>
              <w:t>，该水体使用功能为</w:t>
            </w:r>
            <w:r>
              <w:rPr>
                <w:rFonts w:hint="eastAsia" w:cs="Times New Roman"/>
                <w:color w:val="000000" w:themeColor="text1"/>
                <w:kern w:val="0"/>
                <w:szCs w:val="21"/>
                <w:highlight w:val="none"/>
                <w:lang w:val="en-US" w:eastAsia="zh-CN"/>
                <w14:textFill>
                  <w14:solidFill>
                    <w14:schemeClr w14:val="tx1"/>
                  </w14:solidFill>
                </w14:textFill>
              </w:rPr>
              <w:t>农田退水</w:t>
            </w:r>
            <w:r>
              <w:rPr>
                <w:rFonts w:hint="default" w:ascii="Times New Roman" w:hAnsi="Times New Roman" w:cs="Times New Roman"/>
                <w:color w:val="000000" w:themeColor="text1"/>
                <w:kern w:val="0"/>
                <w:szCs w:val="21"/>
                <w:highlight w:val="none"/>
                <w14:textFill>
                  <w14:solidFill>
                    <w14:schemeClr w14:val="tx1"/>
                  </w14:solidFill>
                </w14:textFill>
              </w:rPr>
              <w:t>，且</w:t>
            </w:r>
            <w:r>
              <w:rPr>
                <w:rFonts w:hint="eastAsia" w:cs="Times New Roman"/>
                <w:color w:val="000000" w:themeColor="text1"/>
                <w:kern w:val="0"/>
                <w:szCs w:val="21"/>
                <w:highlight w:val="none"/>
                <w:lang w:val="en-US" w:eastAsia="zh-CN"/>
                <w14:textFill>
                  <w14:solidFill>
                    <w14:schemeClr w14:val="tx1"/>
                  </w14:solidFill>
                </w14:textFill>
              </w:rPr>
              <w:t>该区域</w:t>
            </w:r>
            <w:r>
              <w:rPr>
                <w:rFonts w:hint="default" w:ascii="Times New Roman" w:hAnsi="Times New Roman" w:cs="Times New Roman"/>
                <w:color w:val="000000" w:themeColor="text1"/>
                <w:kern w:val="0"/>
                <w:szCs w:val="21"/>
                <w:highlight w:val="none"/>
                <w14:textFill>
                  <w14:solidFill>
                    <w14:schemeClr w14:val="tx1"/>
                  </w14:solidFill>
                </w14:textFill>
              </w:rPr>
              <w:t>无大型工矿企业，也无生活污水排入，</w:t>
            </w:r>
            <w:r>
              <w:rPr>
                <w:rFonts w:hint="eastAsia" w:cs="Times New Roman"/>
                <w:color w:val="000000" w:themeColor="text1"/>
                <w:kern w:val="0"/>
                <w:szCs w:val="21"/>
                <w:highlight w:val="none"/>
                <w:lang w:val="en-US" w:eastAsia="zh-CN"/>
                <w14:textFill>
                  <w14:solidFill>
                    <w14:schemeClr w14:val="tx1"/>
                  </w14:solidFill>
                </w14:textFill>
              </w:rPr>
              <w:t>二排干</w:t>
            </w:r>
            <w:r>
              <w:rPr>
                <w:rFonts w:hint="default" w:ascii="Times New Roman" w:hAnsi="Times New Roman" w:cs="Times New Roman"/>
                <w:color w:val="000000" w:themeColor="text1"/>
                <w:kern w:val="0"/>
                <w:szCs w:val="21"/>
                <w:highlight w:val="none"/>
                <w14:textFill>
                  <w14:solidFill>
                    <w14:schemeClr w14:val="tx1"/>
                  </w14:solidFill>
                </w14:textFill>
              </w:rPr>
              <w:t>未划定地表水功能区，</w:t>
            </w:r>
            <w:r>
              <w:rPr>
                <w:rFonts w:hint="eastAsia" w:cs="Times New Roman"/>
                <w:color w:val="000000" w:themeColor="text1"/>
                <w:kern w:val="0"/>
                <w:szCs w:val="21"/>
                <w:highlight w:val="none"/>
                <w:lang w:val="en-US" w:eastAsia="zh-CN"/>
                <w14:textFill>
                  <w14:solidFill>
                    <w14:schemeClr w14:val="tx1"/>
                  </w14:solidFill>
                </w14:textFill>
              </w:rPr>
              <w:t>执行</w:t>
            </w:r>
            <w:r>
              <w:rPr>
                <w:rFonts w:hint="default" w:ascii="Times New Roman" w:hAnsi="Times New Roman" w:cs="Times New Roman"/>
                <w:color w:val="000000" w:themeColor="text1"/>
                <w:kern w:val="0"/>
                <w:szCs w:val="21"/>
                <w:highlight w:val="none"/>
                <w14:textFill>
                  <w14:solidFill>
                    <w14:schemeClr w14:val="tx1"/>
                  </w14:solidFill>
                </w14:textFill>
              </w:rPr>
              <w:t>《地表水环境质量标准》（GB3838-2002）V类</w:t>
            </w:r>
            <w:r>
              <w:rPr>
                <w:rFonts w:hint="eastAsia" w:cs="Times New Roman"/>
                <w:color w:val="000000" w:themeColor="text1"/>
                <w:kern w:val="0"/>
                <w:szCs w:val="21"/>
                <w:highlight w:val="none"/>
                <w:lang w:val="en-US" w:eastAsia="zh-CN"/>
                <w14:textFill>
                  <w14:solidFill>
                    <w14:schemeClr w14:val="tx1"/>
                  </w14:solidFill>
                </w14:textFill>
              </w:rPr>
              <w:t>标准</w:t>
            </w:r>
            <w:r>
              <w:rPr>
                <w:rFonts w:hint="default" w:ascii="Times New Roman" w:hAnsi="Times New Roman" w:cs="Times New Roman"/>
                <w:color w:val="000000" w:themeColor="text1"/>
                <w:kern w:val="0"/>
                <w:szCs w:val="21"/>
                <w:highlight w:val="none"/>
                <w14:textFill>
                  <w14:solidFill>
                    <w14:schemeClr w14:val="tx1"/>
                  </w14:solidFill>
                </w14:textFill>
              </w:rPr>
              <w:t>。</w:t>
            </w:r>
          </w:p>
          <w:p w14:paraId="1380F3F3">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根据《建设项目环境影响报告表编制技术指南》（污染影响类）中的相关要求“地表水环境：引用与建设项目距离近的有效数据，包括近3年的规划环境影响评价的监测数据，所在流域控制单元内国家、地方控制断面监测数据，生态环境主管部门发布的水环境质量数据或地表水达标情况的结论。”本项目引用</w:t>
            </w:r>
            <w:r>
              <w:rPr>
                <w:rFonts w:hint="eastAsia" w:cs="Times New Roman"/>
                <w:color w:val="000000" w:themeColor="text1"/>
                <w:kern w:val="0"/>
                <w:szCs w:val="21"/>
                <w:highlight w:val="none"/>
                <w:lang w:val="en-US" w:eastAsia="zh-CN"/>
                <w14:textFill>
                  <w14:solidFill>
                    <w14:schemeClr w14:val="tx1"/>
                  </w14:solidFill>
                </w14:textFill>
              </w:rPr>
              <w:t>巴彦淖尔市生态环境局</w:t>
            </w:r>
            <w:r>
              <w:rPr>
                <w:rFonts w:hint="default" w:ascii="Times New Roman" w:hAnsi="Times New Roman" w:cs="Times New Roman"/>
                <w:color w:val="000000" w:themeColor="text1"/>
                <w:kern w:val="0"/>
                <w:szCs w:val="21"/>
                <w:highlight w:val="none"/>
                <w14:textFill>
                  <w14:solidFill>
                    <w14:schemeClr w14:val="tx1"/>
                  </w14:solidFill>
                </w14:textFill>
              </w:rPr>
              <w:t>公布的地表水环境监测月报（2025-11），所引用数据监测时间为2025年</w:t>
            </w:r>
            <w:r>
              <w:rPr>
                <w:rFonts w:hint="eastAsia" w:cs="Times New Roman"/>
                <w:color w:val="000000" w:themeColor="text1"/>
                <w:kern w:val="0"/>
                <w:szCs w:val="21"/>
                <w:highlight w:val="none"/>
                <w:lang w:val="en-US" w:eastAsia="zh-CN"/>
                <w14:textFill>
                  <w14:solidFill>
                    <w14:schemeClr w14:val="tx1"/>
                  </w14:solidFill>
                </w14:textFill>
              </w:rPr>
              <w:t>11</w:t>
            </w:r>
            <w:r>
              <w:rPr>
                <w:rFonts w:hint="default" w:ascii="Times New Roman" w:hAnsi="Times New Roman" w:cs="Times New Roman"/>
                <w:color w:val="000000" w:themeColor="text1"/>
                <w:kern w:val="0"/>
                <w:szCs w:val="21"/>
                <w:highlight w:val="none"/>
                <w14:textFill>
                  <w14:solidFill>
                    <w14:schemeClr w14:val="tx1"/>
                  </w14:solidFill>
                </w14:textFill>
              </w:rPr>
              <w:t>月，监测数据3年内有效，因此，引用数据可行。</w:t>
            </w:r>
          </w:p>
          <w:p w14:paraId="123CDE85">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eastAsia" w:cs="Times New Roman"/>
                <w:color w:val="000000" w:themeColor="text1"/>
                <w:kern w:val="0"/>
                <w:szCs w:val="21"/>
                <w:highlight w:val="none"/>
                <w:lang w:val="en-US" w:eastAsia="zh-CN"/>
                <w14:textFill>
                  <w14:solidFill>
                    <w14:schemeClr w14:val="tx1"/>
                  </w14:solidFill>
                </w14:textFill>
              </w:rPr>
              <w:t>根据《地表水环境监测月报（2025-11）》</w:t>
            </w:r>
            <w:r>
              <w:rPr>
                <w:rFonts w:hint="eastAsia" w:cs="Times New Roman"/>
                <w:color w:val="000000" w:themeColor="text1"/>
                <w:kern w:val="0"/>
                <w:szCs w:val="21"/>
                <w:highlight w:val="none"/>
                <w:lang w:eastAsia="zh-CN"/>
                <w14:textFill>
                  <w14:solidFill>
                    <w14:schemeClr w14:val="tx1"/>
                  </w14:solidFill>
                </w14:textFill>
              </w:rPr>
              <w:t>，</w:t>
            </w:r>
            <w:r>
              <w:rPr>
                <w:rFonts w:hint="eastAsia" w:cs="Times New Roman"/>
                <w:color w:val="000000" w:themeColor="text1"/>
                <w:kern w:val="0"/>
                <w:szCs w:val="21"/>
                <w:highlight w:val="none"/>
                <w:lang w:val="en-US" w:eastAsia="zh-CN"/>
                <w14:textFill>
                  <w14:solidFill>
                    <w14:schemeClr w14:val="tx1"/>
                  </w14:solidFill>
                </w14:textFill>
              </w:rPr>
              <w:t>巴彦淖尔市共有32个地表水断面，其中4个国控考核（采测分离）断面，区控断面16个，乌梁素海专项监测断面12个。按照《2025年生态环境监测方案》的要求，2025年11月共监测25个断面。其中二排干入总排干口断面水质类别为Ⅳ类。详见地表水专项。</w:t>
            </w:r>
          </w:p>
          <w:p w14:paraId="2A106841">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cs="Times New Roman"/>
                <w:b/>
                <w:bCs/>
                <w:color w:val="000000" w:themeColor="text1"/>
                <w:kern w:val="0"/>
                <w:szCs w:val="21"/>
                <w:highlight w:val="none"/>
                <w14:textFill>
                  <w14:solidFill>
                    <w14:schemeClr w14:val="tx1"/>
                  </w14:solidFill>
                </w14:textFill>
              </w:rPr>
            </w:pPr>
            <w:r>
              <w:rPr>
                <w:rFonts w:hint="eastAsia" w:cs="Times New Roman"/>
                <w:b/>
                <w:bCs/>
                <w:color w:val="000000" w:themeColor="text1"/>
                <w:kern w:val="0"/>
                <w:szCs w:val="21"/>
                <w:highlight w:val="none"/>
                <w:lang w:val="en-US" w:eastAsia="zh-CN"/>
                <w14:textFill>
                  <w14:solidFill>
                    <w14:schemeClr w14:val="tx1"/>
                  </w14:solidFill>
                </w14:textFill>
              </w:rPr>
              <w:t>3、</w:t>
            </w:r>
            <w:r>
              <w:rPr>
                <w:rFonts w:hint="default" w:ascii="Times New Roman" w:hAnsi="Times New Roman" w:cs="Times New Roman"/>
                <w:b/>
                <w:bCs/>
                <w:color w:val="000000" w:themeColor="text1"/>
                <w:kern w:val="0"/>
                <w:szCs w:val="21"/>
                <w:highlight w:val="none"/>
                <w14:textFill>
                  <w14:solidFill>
                    <w14:schemeClr w14:val="tx1"/>
                  </w14:solidFill>
                </w14:textFill>
              </w:rPr>
              <w:t>地下水、土壤环境质量现状</w:t>
            </w:r>
          </w:p>
          <w:p w14:paraId="1D03AEBB">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根据《建设项目环境影响报告表编制技术指南（污染影响类）（试行）》：（三）区域环境质量现状、环境保护目标及评价标准的要求：“原则上不开展地下水、土壤环境质量现状调查。建设项目存在土壤、地下水环境污染途径的，应结合污染源、保护目标分布情况开展现状调查以留作背景值。”</w:t>
            </w:r>
          </w:p>
          <w:p w14:paraId="19AE56AE">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项目厂界外500m范围内不涉及地下水集中式饮用水水源和热水、矿泉水、温泉等特殊地下水资源。项目按相关要求采取相关防渗措施后可防止地下水、土壤污染，不存在土壤、地下水环境污染途径。</w:t>
            </w:r>
          </w:p>
          <w:p w14:paraId="115634A4">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cs="Times New Roman"/>
                <w:color w:val="000000" w:themeColor="text1"/>
                <w:kern w:val="0"/>
                <w:szCs w:val="21"/>
                <w:highlight w:val="none"/>
                <w:lang w:val="en-US" w:eastAsia="zh-CN"/>
                <w14:textFill>
                  <w14:solidFill>
                    <w14:schemeClr w14:val="tx1"/>
                  </w14:solidFill>
                </w14:textFill>
              </w:rPr>
            </w:pPr>
            <w:r>
              <w:rPr>
                <w:rFonts w:hint="eastAsia" w:cs="Times New Roman"/>
                <w:color w:val="000000" w:themeColor="text1"/>
                <w:kern w:val="0"/>
                <w:szCs w:val="21"/>
                <w:highlight w:val="none"/>
                <w:lang w:val="en-US" w:eastAsia="zh-CN"/>
                <w14:textFill>
                  <w14:solidFill>
                    <w14:schemeClr w14:val="tx1"/>
                  </w14:solidFill>
                </w14:textFill>
              </w:rPr>
              <w:t>本项目地下水环境质量背景值引用自《磴口陕耀氢能新能源有限公司风光制氢一体化项目（制氢部分）环境影响报告书》（批复文号：巴环审〔2026〕4号）部分监测点位，该数据由内蒙古宏智检测技术有限公司于2025年9月在项目周边区域开展监测获取，监测井与本项目最近距离为2.6km，且与本项目同属一个水文地质单元，地下水补给、径流、排泄条件一致，监测时间距本次环评不足1年，时效性满足要求，监测因子覆盖本项目地下水评价核心关注指标，可作为本项目地下水环境背景值使用。</w:t>
            </w:r>
          </w:p>
          <w:p w14:paraId="0D1A5285">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eastAsia" w:cs="Times New Roman"/>
                <w:color w:val="000000" w:themeColor="text1"/>
                <w:kern w:val="0"/>
                <w:szCs w:val="21"/>
                <w:highlight w:val="none"/>
                <w:lang w:eastAsia="zh-CN"/>
                <w14:textFill>
                  <w14:solidFill>
                    <w14:schemeClr w14:val="tx1"/>
                  </w14:solidFill>
                </w14:textFill>
              </w:rPr>
              <w:t>（</w:t>
            </w:r>
            <w:r>
              <w:rPr>
                <w:rFonts w:hint="eastAsia" w:cs="Times New Roman"/>
                <w:color w:val="000000" w:themeColor="text1"/>
                <w:kern w:val="0"/>
                <w:szCs w:val="21"/>
                <w:highlight w:val="none"/>
                <w:lang w:val="en-US" w:eastAsia="zh-CN"/>
                <w14:textFill>
                  <w14:solidFill>
                    <w14:schemeClr w14:val="tx1"/>
                  </w14:solidFill>
                </w14:textFill>
              </w:rPr>
              <w:t>1</w:t>
            </w:r>
            <w:r>
              <w:rPr>
                <w:rFonts w:hint="eastAsia" w:cs="Times New Roman"/>
                <w:color w:val="000000" w:themeColor="text1"/>
                <w:kern w:val="0"/>
                <w:szCs w:val="21"/>
                <w:highlight w:val="none"/>
                <w:lang w:eastAsia="zh-CN"/>
                <w14:textFill>
                  <w14:solidFill>
                    <w14:schemeClr w14:val="tx1"/>
                  </w14:solidFill>
                </w14:textFill>
              </w:rPr>
              <w:t>）</w:t>
            </w:r>
            <w:r>
              <w:rPr>
                <w:rFonts w:hint="eastAsia" w:cs="Times New Roman"/>
                <w:color w:val="000000" w:themeColor="text1"/>
                <w:kern w:val="0"/>
                <w:szCs w:val="21"/>
                <w:highlight w:val="none"/>
                <w:lang w:val="en-US" w:eastAsia="zh-CN"/>
                <w14:textFill>
                  <w14:solidFill>
                    <w14:schemeClr w14:val="tx1"/>
                  </w14:solidFill>
                </w14:textFill>
              </w:rPr>
              <w:t>监测布点</w:t>
            </w:r>
          </w:p>
          <w:p w14:paraId="04ECEE73">
            <w:pPr>
              <w:pStyle w:val="20"/>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表3-2  地下水现状监测点位（引用点位）</w:t>
            </w:r>
          </w:p>
          <w:tbl>
            <w:tblPr>
              <w:tblStyle w:val="12"/>
              <w:tblW w:w="4998" w:type="pct"/>
              <w:tblInd w:w="-17"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698"/>
              <w:gridCol w:w="2700"/>
              <w:gridCol w:w="2549"/>
            </w:tblGrid>
            <w:tr w14:paraId="673EA5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1697" w:type="pct"/>
                  <w:tcBorders>
                    <w:tl2br w:val="nil"/>
                    <w:tr2bl w:val="nil"/>
                  </w:tcBorders>
                  <w:shd w:val="clear" w:color="auto" w:fill="auto"/>
                  <w:noWrap/>
                  <w:vAlign w:val="center"/>
                </w:tcPr>
                <w:p w14:paraId="4FC8E59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监测点位</w:t>
                  </w:r>
                </w:p>
              </w:tc>
              <w:tc>
                <w:tcPr>
                  <w:tcW w:w="1698" w:type="pct"/>
                  <w:tcBorders>
                    <w:tl2br w:val="nil"/>
                    <w:tr2bl w:val="nil"/>
                  </w:tcBorders>
                  <w:shd w:val="clear" w:color="auto" w:fill="auto"/>
                  <w:noWrap/>
                  <w:vAlign w:val="center"/>
                </w:tcPr>
                <w:p w14:paraId="0442559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经度</w:t>
                  </w:r>
                </w:p>
              </w:tc>
              <w:tc>
                <w:tcPr>
                  <w:tcW w:w="1603" w:type="pct"/>
                  <w:tcBorders>
                    <w:tl2br w:val="nil"/>
                    <w:tr2bl w:val="nil"/>
                  </w:tcBorders>
                  <w:shd w:val="clear" w:color="auto" w:fill="auto"/>
                  <w:noWrap/>
                  <w:vAlign w:val="center"/>
                </w:tcPr>
                <w:p w14:paraId="4F80FE3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纬度</w:t>
                  </w:r>
                </w:p>
              </w:tc>
            </w:tr>
            <w:tr w14:paraId="180D02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1697" w:type="pct"/>
                  <w:tcBorders>
                    <w:tl2br w:val="nil"/>
                    <w:tr2bl w:val="nil"/>
                  </w:tcBorders>
                  <w:shd w:val="clear" w:color="auto" w:fill="auto"/>
                  <w:noWrap/>
                  <w:vAlign w:val="center"/>
                </w:tcPr>
                <w:p w14:paraId="54B40C2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6#搅拌站自建井</w:t>
                  </w:r>
                </w:p>
              </w:tc>
              <w:tc>
                <w:tcPr>
                  <w:tcW w:w="1698" w:type="pct"/>
                  <w:tcBorders>
                    <w:tl2br w:val="nil"/>
                    <w:tr2bl w:val="nil"/>
                  </w:tcBorders>
                  <w:shd w:val="clear" w:color="auto" w:fill="auto"/>
                  <w:noWrap/>
                  <w:vAlign w:val="center"/>
                </w:tcPr>
                <w:p w14:paraId="55EC336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106°58′32.06″</w:t>
                  </w:r>
                </w:p>
              </w:tc>
              <w:tc>
                <w:tcPr>
                  <w:tcW w:w="1603" w:type="pct"/>
                  <w:tcBorders>
                    <w:tl2br w:val="nil"/>
                    <w:tr2bl w:val="nil"/>
                  </w:tcBorders>
                  <w:shd w:val="clear" w:color="auto" w:fill="auto"/>
                  <w:noWrap/>
                  <w:vAlign w:val="center"/>
                </w:tcPr>
                <w:p w14:paraId="13AAF1E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40°23′50.64″</w:t>
                  </w:r>
                </w:p>
              </w:tc>
            </w:tr>
            <w:tr w14:paraId="1DDC17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1697" w:type="pct"/>
                  <w:tcBorders>
                    <w:tl2br w:val="nil"/>
                    <w:tr2bl w:val="nil"/>
                  </w:tcBorders>
                  <w:shd w:val="clear" w:color="auto" w:fill="auto"/>
                  <w:noWrap/>
                  <w:vAlign w:val="center"/>
                </w:tcPr>
                <w:p w14:paraId="36A7DE9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7#小沙湖度假村</w:t>
                  </w:r>
                </w:p>
              </w:tc>
              <w:tc>
                <w:tcPr>
                  <w:tcW w:w="1698" w:type="pct"/>
                  <w:tcBorders>
                    <w:tl2br w:val="nil"/>
                    <w:tr2bl w:val="nil"/>
                  </w:tcBorders>
                  <w:shd w:val="clear" w:color="auto" w:fill="auto"/>
                  <w:noWrap/>
                  <w:vAlign w:val="center"/>
                </w:tcPr>
                <w:p w14:paraId="4121173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106°59′4.56″</w:t>
                  </w:r>
                </w:p>
              </w:tc>
              <w:tc>
                <w:tcPr>
                  <w:tcW w:w="1603" w:type="pct"/>
                  <w:tcBorders>
                    <w:tl2br w:val="nil"/>
                    <w:tr2bl w:val="nil"/>
                  </w:tcBorders>
                  <w:shd w:val="clear" w:color="auto" w:fill="auto"/>
                  <w:noWrap/>
                  <w:vAlign w:val="center"/>
                </w:tcPr>
                <w:p w14:paraId="73E3C47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40°24′17.19”</w:t>
                  </w:r>
                </w:p>
              </w:tc>
            </w:tr>
          </w:tbl>
          <w:p w14:paraId="441FFA92">
            <w:pPr>
              <w:keepNext w:val="0"/>
              <w:keepLines w:val="0"/>
              <w:pageBreakBefore w:val="0"/>
              <w:widowControl w:val="0"/>
              <w:kinsoku/>
              <w:wordWrap/>
              <w:overflowPunct/>
              <w:topLinePunct w:val="0"/>
              <w:autoSpaceDE/>
              <w:autoSpaceDN/>
              <w:bidi w:val="0"/>
              <w:adjustRightInd w:val="0"/>
              <w:snapToGrid w:val="0"/>
              <w:jc w:val="left"/>
              <w:textAlignment w:val="auto"/>
              <w:rPr>
                <w:rFonts w:hint="default" w:cs="Times New Roman"/>
                <w:color w:val="000000" w:themeColor="text1"/>
                <w:kern w:val="0"/>
                <w:szCs w:val="21"/>
                <w:highlight w:val="none"/>
                <w:lang w:val="en-US" w:eastAsia="zh-CN"/>
                <w14:textFill>
                  <w14:solidFill>
                    <w14:schemeClr w14:val="tx1"/>
                  </w14:solidFill>
                </w14:textFill>
              </w:rPr>
            </w:pPr>
            <w:r>
              <w:rPr>
                <w:rFonts w:hint="default" w:cs="Times New Roman"/>
                <w:color w:val="000000" w:themeColor="text1"/>
                <w:kern w:val="0"/>
                <w:szCs w:val="21"/>
                <w:highlight w:val="none"/>
                <w:lang w:val="en-US" w:eastAsia="zh-CN"/>
                <w14:textFill>
                  <w14:solidFill>
                    <w14:schemeClr w14:val="tx1"/>
                  </w14:solidFill>
                </w14:textFill>
              </w:rPr>
              <w:drawing>
                <wp:inline distT="0" distB="0" distL="114300" distR="114300">
                  <wp:extent cx="5065395" cy="3585210"/>
                  <wp:effectExtent l="0" t="0" r="1905" b="15240"/>
                  <wp:docPr id="92" name="图片 92" descr="地下水现状监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地下水现状监测"/>
                          <pic:cNvPicPr>
                            <a:picLocks noChangeAspect="1"/>
                          </pic:cNvPicPr>
                        </pic:nvPicPr>
                        <pic:blipFill>
                          <a:blip r:embed="rId39"/>
                          <a:stretch>
                            <a:fillRect/>
                          </a:stretch>
                        </pic:blipFill>
                        <pic:spPr>
                          <a:xfrm>
                            <a:off x="0" y="0"/>
                            <a:ext cx="5065395" cy="3585210"/>
                          </a:xfrm>
                          <a:prstGeom prst="rect">
                            <a:avLst/>
                          </a:prstGeom>
                        </pic:spPr>
                      </pic:pic>
                    </a:graphicData>
                  </a:graphic>
                </wp:inline>
              </w:drawing>
            </w:r>
          </w:p>
          <w:p w14:paraId="78875B7D">
            <w:pPr>
              <w:pStyle w:val="19"/>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图3-1  地下水现状监测点位图</w:t>
            </w:r>
          </w:p>
          <w:p w14:paraId="7FB10F33">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（2）监测项目</w:t>
            </w:r>
          </w:p>
          <w:p w14:paraId="5E7A6422">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本次监测项目：色、嗅和味、浑浊度、肉眼可见物、pH、总硬度、溶解性总固体、硫酸盐、氯化物、铁、锰、铜、锌、铝、挥发性酚类、阴离子表面活性剂、耗氧量（COD</w:t>
            </w:r>
            <w:r>
              <w:rPr>
                <w:rFonts w:hint="default" w:ascii="Times New Roman" w:hAnsi="Times New Roman" w:cs="Times New Roman"/>
                <w:color w:val="000000" w:themeColor="text1"/>
                <w:kern w:val="0"/>
                <w:szCs w:val="21"/>
                <w:highlight w:val="none"/>
                <w:vertAlign w:val="subscript"/>
                <w14:textFill>
                  <w14:solidFill>
                    <w14:schemeClr w14:val="tx1"/>
                  </w14:solidFill>
                </w14:textFill>
              </w:rPr>
              <w:t>Mn</w:t>
            </w:r>
            <w:r>
              <w:rPr>
                <w:rFonts w:hint="default" w:ascii="Times New Roman" w:hAnsi="Times New Roman" w:cs="Times New Roman"/>
                <w:color w:val="000000" w:themeColor="text1"/>
                <w:kern w:val="0"/>
                <w:szCs w:val="21"/>
                <w:highlight w:val="none"/>
                <w14:textFill>
                  <w14:solidFill>
                    <w14:schemeClr w14:val="tx1"/>
                  </w14:solidFill>
                </w14:textFill>
              </w:rPr>
              <w:t>法、以O</w:t>
            </w:r>
            <w:r>
              <w:rPr>
                <w:rFonts w:hint="default" w:ascii="Times New Roman" w:hAnsi="Times New Roman" w:cs="Times New Roman"/>
                <w:color w:val="000000" w:themeColor="text1"/>
                <w:kern w:val="0"/>
                <w:szCs w:val="21"/>
                <w:highlight w:val="none"/>
                <w:vertAlign w:val="subscript"/>
                <w14:textFill>
                  <w14:solidFill>
                    <w14:schemeClr w14:val="tx1"/>
                  </w14:solidFill>
                </w14:textFill>
              </w:rPr>
              <w:t>2</w:t>
            </w:r>
            <w:r>
              <w:rPr>
                <w:rFonts w:hint="default" w:ascii="Times New Roman" w:hAnsi="Times New Roman" w:cs="Times New Roman"/>
                <w:color w:val="000000" w:themeColor="text1"/>
                <w:kern w:val="0"/>
                <w:szCs w:val="21"/>
                <w:highlight w:val="none"/>
                <w14:textFill>
                  <w14:solidFill>
                    <w14:schemeClr w14:val="tx1"/>
                  </w14:solidFill>
                </w14:textFill>
              </w:rPr>
              <w:t>计）、氨氮（以N计）、硫化物、总大肠菌群、菌落总数、亚硝酸盐、硝酸盐、氰化物、氟化物、碘化物、汞、砷、硒、镉、铬（六价）、铅、三氯甲烷、四氯化碳、苯、甲苯、K</w:t>
            </w:r>
            <w:r>
              <w:rPr>
                <w:rFonts w:hint="default" w:ascii="Times New Roman" w:hAnsi="Times New Roman" w:cs="Times New Roman"/>
                <w:color w:val="000000" w:themeColor="text1"/>
                <w:kern w:val="0"/>
                <w:szCs w:val="21"/>
                <w:highlight w:val="none"/>
                <w:vertAlign w:val="superscript"/>
                <w14:textFill>
                  <w14:solidFill>
                    <w14:schemeClr w14:val="tx1"/>
                  </w14:solidFill>
                </w14:textFill>
              </w:rPr>
              <w:t>+</w:t>
            </w:r>
            <w:r>
              <w:rPr>
                <w:rFonts w:hint="default" w:ascii="Times New Roman" w:hAnsi="Times New Roman" w:cs="Times New Roman"/>
                <w:color w:val="000000" w:themeColor="text1"/>
                <w:kern w:val="0"/>
                <w:szCs w:val="21"/>
                <w:highlight w:val="none"/>
                <w14:textFill>
                  <w14:solidFill>
                    <w14:schemeClr w14:val="tx1"/>
                  </w14:solidFill>
                </w14:textFill>
              </w:rPr>
              <w:t>、Na</w:t>
            </w:r>
            <w:r>
              <w:rPr>
                <w:rFonts w:hint="default" w:ascii="Times New Roman" w:hAnsi="Times New Roman" w:cs="Times New Roman"/>
                <w:color w:val="000000" w:themeColor="text1"/>
                <w:kern w:val="0"/>
                <w:szCs w:val="21"/>
                <w:highlight w:val="none"/>
                <w:vertAlign w:val="superscript"/>
                <w14:textFill>
                  <w14:solidFill>
                    <w14:schemeClr w14:val="tx1"/>
                  </w14:solidFill>
                </w14:textFill>
              </w:rPr>
              <w:t>+</w:t>
            </w:r>
            <w:r>
              <w:rPr>
                <w:rFonts w:hint="default" w:ascii="Times New Roman" w:hAnsi="Times New Roman" w:cs="Times New Roman"/>
                <w:color w:val="000000" w:themeColor="text1"/>
                <w:kern w:val="0"/>
                <w:szCs w:val="21"/>
                <w:highlight w:val="none"/>
                <w14:textFill>
                  <w14:solidFill>
                    <w14:schemeClr w14:val="tx1"/>
                  </w14:solidFill>
                </w14:textFill>
              </w:rPr>
              <w:t>、Ca</w:t>
            </w:r>
            <w:r>
              <w:rPr>
                <w:rFonts w:hint="default" w:ascii="Times New Roman" w:hAnsi="Times New Roman" w:cs="Times New Roman"/>
                <w:color w:val="000000" w:themeColor="text1"/>
                <w:kern w:val="0"/>
                <w:szCs w:val="21"/>
                <w:highlight w:val="none"/>
                <w:vertAlign w:val="superscript"/>
                <w14:textFill>
                  <w14:solidFill>
                    <w14:schemeClr w14:val="tx1"/>
                  </w14:solidFill>
                </w14:textFill>
              </w:rPr>
              <w:t>2+</w:t>
            </w:r>
            <w:r>
              <w:rPr>
                <w:rFonts w:hint="default" w:ascii="Times New Roman" w:hAnsi="Times New Roman" w:cs="Times New Roman"/>
                <w:color w:val="000000" w:themeColor="text1"/>
                <w:kern w:val="0"/>
                <w:szCs w:val="21"/>
                <w:highlight w:val="none"/>
                <w14:textFill>
                  <w14:solidFill>
                    <w14:schemeClr w14:val="tx1"/>
                  </w14:solidFill>
                </w14:textFill>
              </w:rPr>
              <w:t>、Mg</w:t>
            </w:r>
            <w:r>
              <w:rPr>
                <w:rFonts w:hint="default" w:ascii="Times New Roman" w:hAnsi="Times New Roman" w:cs="Times New Roman"/>
                <w:color w:val="000000" w:themeColor="text1"/>
                <w:kern w:val="0"/>
                <w:szCs w:val="21"/>
                <w:highlight w:val="none"/>
                <w:vertAlign w:val="superscript"/>
                <w14:textFill>
                  <w14:solidFill>
                    <w14:schemeClr w14:val="tx1"/>
                  </w14:solidFill>
                </w14:textFill>
              </w:rPr>
              <w:t>2+</w:t>
            </w:r>
            <w:r>
              <w:rPr>
                <w:rFonts w:hint="default" w:ascii="Times New Roman" w:hAnsi="Times New Roman" w:cs="Times New Roman"/>
                <w:color w:val="000000" w:themeColor="text1"/>
                <w:kern w:val="0"/>
                <w:szCs w:val="21"/>
                <w:highlight w:val="none"/>
                <w14:textFill>
                  <w14:solidFill>
                    <w14:schemeClr w14:val="tx1"/>
                  </w14:solidFill>
                </w14:textFill>
              </w:rPr>
              <w:t>、CO</w:t>
            </w:r>
            <w:r>
              <w:rPr>
                <w:rFonts w:hint="default" w:ascii="Times New Roman" w:hAnsi="Times New Roman" w:cs="Times New Roman"/>
                <w:color w:val="000000" w:themeColor="text1"/>
                <w:kern w:val="0"/>
                <w:szCs w:val="21"/>
                <w:highlight w:val="none"/>
                <w:vertAlign w:val="subscript"/>
                <w14:textFill>
                  <w14:solidFill>
                    <w14:schemeClr w14:val="tx1"/>
                  </w14:solidFill>
                </w14:textFill>
              </w:rPr>
              <w:t>3</w:t>
            </w:r>
            <w:r>
              <w:rPr>
                <w:rFonts w:hint="default" w:ascii="Times New Roman" w:hAnsi="Times New Roman" w:cs="Times New Roman"/>
                <w:color w:val="000000" w:themeColor="text1"/>
                <w:kern w:val="0"/>
                <w:szCs w:val="21"/>
                <w:highlight w:val="none"/>
                <w:vertAlign w:val="superscript"/>
                <w14:textFill>
                  <w14:solidFill>
                    <w14:schemeClr w14:val="tx1"/>
                  </w14:solidFill>
                </w14:textFill>
              </w:rPr>
              <w:t>2-</w:t>
            </w:r>
            <w:r>
              <w:rPr>
                <w:rFonts w:hint="default" w:ascii="Times New Roman" w:hAnsi="Times New Roman" w:cs="Times New Roman"/>
                <w:color w:val="000000" w:themeColor="text1"/>
                <w:kern w:val="0"/>
                <w:szCs w:val="21"/>
                <w:highlight w:val="none"/>
                <w14:textFill>
                  <w14:solidFill>
                    <w14:schemeClr w14:val="tx1"/>
                  </w14:solidFill>
                </w14:textFill>
              </w:rPr>
              <w:t>、HCO</w:t>
            </w:r>
            <w:r>
              <w:rPr>
                <w:rFonts w:hint="default" w:ascii="Times New Roman" w:hAnsi="Times New Roman" w:cs="Times New Roman"/>
                <w:color w:val="000000" w:themeColor="text1"/>
                <w:kern w:val="0"/>
                <w:szCs w:val="21"/>
                <w:highlight w:val="none"/>
                <w:vertAlign w:val="subscript"/>
                <w14:textFill>
                  <w14:solidFill>
                    <w14:schemeClr w14:val="tx1"/>
                  </w14:solidFill>
                </w14:textFill>
              </w:rPr>
              <w:t>3</w:t>
            </w:r>
            <w:r>
              <w:rPr>
                <w:rFonts w:hint="default" w:ascii="Times New Roman" w:hAnsi="Times New Roman" w:cs="Times New Roman"/>
                <w:color w:val="000000" w:themeColor="text1"/>
                <w:kern w:val="0"/>
                <w:szCs w:val="21"/>
                <w:highlight w:val="none"/>
                <w:vertAlign w:val="superscript"/>
                <w14:textFill>
                  <w14:solidFill>
                    <w14:schemeClr w14:val="tx1"/>
                  </w14:solidFill>
                </w14:textFill>
              </w:rPr>
              <w:t>-</w:t>
            </w:r>
            <w:r>
              <w:rPr>
                <w:rFonts w:hint="default" w:ascii="Times New Roman" w:hAnsi="Times New Roman" w:cs="Times New Roman"/>
                <w:color w:val="000000" w:themeColor="text1"/>
                <w:kern w:val="0"/>
                <w:szCs w:val="21"/>
                <w:highlight w:val="none"/>
                <w14:textFill>
                  <w14:solidFill>
                    <w14:schemeClr w14:val="tx1"/>
                  </w14:solidFill>
                </w14:textFill>
              </w:rPr>
              <w:t>，铂、钯、钒、石油类</w:t>
            </w:r>
            <w:r>
              <w:rPr>
                <w:rFonts w:hint="eastAsia" w:cs="Times New Roman"/>
                <w:color w:val="000000" w:themeColor="text1"/>
                <w:kern w:val="0"/>
                <w:szCs w:val="21"/>
                <w:highlight w:val="none"/>
                <w:lang w:eastAsia="zh-CN"/>
                <w14:textFill>
                  <w14:solidFill>
                    <w14:schemeClr w14:val="tx1"/>
                  </w14:solidFill>
                </w14:textFill>
              </w:rPr>
              <w:t>。</w:t>
            </w:r>
          </w:p>
          <w:p w14:paraId="76FD7C4A">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（3）监测分析方法</w:t>
            </w:r>
          </w:p>
          <w:p w14:paraId="2A82E263">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采样及分析方法按照《环境监测技术规范》及《水和废水监测分析方法》（第四版增补版）执行。地下水分析方法见表</w:t>
            </w:r>
            <w:r>
              <w:rPr>
                <w:rFonts w:hint="eastAsia" w:cs="Times New Roman"/>
                <w:color w:val="000000" w:themeColor="text1"/>
                <w:kern w:val="0"/>
                <w:szCs w:val="21"/>
                <w:highlight w:val="none"/>
                <w:lang w:val="en-US" w:eastAsia="zh-CN"/>
                <w14:textFill>
                  <w14:solidFill>
                    <w14:schemeClr w14:val="tx1"/>
                  </w14:solidFill>
                </w14:textFill>
              </w:rPr>
              <w:t>3-3</w:t>
            </w:r>
            <w:r>
              <w:rPr>
                <w:rFonts w:hint="default" w:ascii="Times New Roman" w:hAnsi="Times New Roman" w:cs="Times New Roman"/>
                <w:color w:val="000000" w:themeColor="text1"/>
                <w:kern w:val="0"/>
                <w:szCs w:val="21"/>
                <w:highlight w:val="none"/>
                <w14:textFill>
                  <w14:solidFill>
                    <w14:schemeClr w14:val="tx1"/>
                  </w14:solidFill>
                </w14:textFill>
              </w:rPr>
              <w:t>。</w:t>
            </w:r>
          </w:p>
          <w:p w14:paraId="2674B8CB">
            <w:pPr>
              <w:pStyle w:val="20"/>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 xml:space="preserve">3-3 </w:t>
            </w:r>
            <w:r>
              <w:rPr>
                <w:rFonts w:hint="default"/>
                <w:color w:val="000000" w:themeColor="text1"/>
                <w:highlight w:val="none"/>
                <w14:textFill>
                  <w14:solidFill>
                    <w14:schemeClr w14:val="tx1"/>
                  </w14:solidFill>
                </w14:textFill>
              </w:rPr>
              <w:t xml:space="preserve"> 地下水监测分析方法一览表</w:t>
            </w:r>
          </w:p>
          <w:tbl>
            <w:tblPr>
              <w:tblStyle w:val="12"/>
              <w:tblW w:w="4998" w:type="pct"/>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484"/>
              <w:gridCol w:w="846"/>
              <w:gridCol w:w="3757"/>
              <w:gridCol w:w="1383"/>
              <w:gridCol w:w="1477"/>
            </w:tblGrid>
            <w:tr w14:paraId="458A57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268857B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序号</w:t>
                  </w:r>
                </w:p>
              </w:tc>
              <w:tc>
                <w:tcPr>
                  <w:tcW w:w="557" w:type="pct"/>
                  <w:tcBorders>
                    <w:tl2br w:val="nil"/>
                    <w:tr2bl w:val="nil"/>
                  </w:tcBorders>
                  <w:shd w:val="clear" w:color="auto" w:fill="auto"/>
                  <w:vAlign w:val="center"/>
                </w:tcPr>
                <w:p w14:paraId="296D220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检测项目</w:t>
                  </w:r>
                </w:p>
              </w:tc>
              <w:tc>
                <w:tcPr>
                  <w:tcW w:w="2517" w:type="pct"/>
                  <w:tcBorders>
                    <w:tl2br w:val="nil"/>
                    <w:tr2bl w:val="nil"/>
                  </w:tcBorders>
                  <w:shd w:val="clear" w:color="auto" w:fill="auto"/>
                  <w:vAlign w:val="center"/>
                </w:tcPr>
                <w:p w14:paraId="56F8D7B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分析方法</w:t>
                  </w:r>
                </w:p>
              </w:tc>
              <w:tc>
                <w:tcPr>
                  <w:tcW w:w="930" w:type="pct"/>
                  <w:tcBorders>
                    <w:tl2br w:val="nil"/>
                    <w:tr2bl w:val="nil"/>
                  </w:tcBorders>
                  <w:shd w:val="clear" w:color="auto" w:fill="auto"/>
                  <w:vAlign w:val="center"/>
                </w:tcPr>
                <w:p w14:paraId="6F31A13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使用仪器</w:t>
                  </w:r>
                </w:p>
              </w:tc>
              <w:tc>
                <w:tcPr>
                  <w:tcW w:w="689" w:type="pct"/>
                  <w:tcBorders>
                    <w:tl2br w:val="nil"/>
                    <w:tr2bl w:val="nil"/>
                  </w:tcBorders>
                  <w:shd w:val="clear" w:color="auto" w:fill="auto"/>
                  <w:vAlign w:val="center"/>
                </w:tcPr>
                <w:p w14:paraId="361156E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检出限</w:t>
                  </w:r>
                </w:p>
              </w:tc>
            </w:tr>
            <w:tr w14:paraId="5FBF3A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top"/>
                </w:tcPr>
                <w:p w14:paraId="4E5BE01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 </w:t>
                  </w:r>
                </w:p>
              </w:tc>
              <w:tc>
                <w:tcPr>
                  <w:tcW w:w="557" w:type="pct"/>
                  <w:tcBorders>
                    <w:tl2br w:val="nil"/>
                    <w:tr2bl w:val="nil"/>
                  </w:tcBorders>
                  <w:shd w:val="clear" w:color="auto" w:fill="auto"/>
                  <w:vAlign w:val="center"/>
                </w:tcPr>
                <w:p w14:paraId="359188C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pH</w:t>
                  </w:r>
                </w:p>
              </w:tc>
              <w:tc>
                <w:tcPr>
                  <w:tcW w:w="2517" w:type="pct"/>
                  <w:tcBorders>
                    <w:tl2br w:val="nil"/>
                    <w:tr2bl w:val="nil"/>
                  </w:tcBorders>
                  <w:shd w:val="clear" w:color="auto" w:fill="auto"/>
                  <w:vAlign w:val="center"/>
                </w:tcPr>
                <w:p w14:paraId="4267C37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《水质pH值的测定电极法》HJ1147-2020</w:t>
                  </w:r>
                </w:p>
              </w:tc>
              <w:tc>
                <w:tcPr>
                  <w:tcW w:w="930" w:type="pct"/>
                  <w:tcBorders>
                    <w:tl2br w:val="nil"/>
                    <w:tr2bl w:val="nil"/>
                  </w:tcBorders>
                  <w:shd w:val="clear" w:color="auto" w:fill="auto"/>
                  <w:vAlign w:val="center"/>
                </w:tcPr>
                <w:p w14:paraId="2C5E89A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笔式酸度计</w:t>
                  </w:r>
                </w:p>
              </w:tc>
              <w:tc>
                <w:tcPr>
                  <w:tcW w:w="689" w:type="pct"/>
                  <w:tcBorders>
                    <w:tl2br w:val="nil"/>
                    <w:tr2bl w:val="nil"/>
                  </w:tcBorders>
                  <w:shd w:val="clear" w:color="auto" w:fill="auto"/>
                  <w:vAlign w:val="center"/>
                </w:tcPr>
                <w:p w14:paraId="46BC267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288C46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3805E36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2 </w:t>
                  </w:r>
                </w:p>
              </w:tc>
              <w:tc>
                <w:tcPr>
                  <w:tcW w:w="557" w:type="pct"/>
                  <w:tcBorders>
                    <w:tl2br w:val="nil"/>
                    <w:tr2bl w:val="nil"/>
                  </w:tcBorders>
                  <w:shd w:val="clear" w:color="auto" w:fill="auto"/>
                  <w:vAlign w:val="center"/>
                </w:tcPr>
                <w:p w14:paraId="208540E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色度</w:t>
                  </w:r>
                </w:p>
              </w:tc>
              <w:tc>
                <w:tcPr>
                  <w:tcW w:w="2517" w:type="pct"/>
                  <w:tcBorders>
                    <w:tl2br w:val="nil"/>
                    <w:tr2bl w:val="nil"/>
                  </w:tcBorders>
                  <w:shd w:val="clear" w:color="auto" w:fill="auto"/>
                  <w:vAlign w:val="center"/>
                </w:tcPr>
                <w:p w14:paraId="5C82412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《生活饮用水标准检验方法第4部分：感官性状和物理指标》GB/T5750.4-20234.1铂-钴标准比色法</w:t>
                  </w:r>
                </w:p>
              </w:tc>
              <w:tc>
                <w:tcPr>
                  <w:tcW w:w="930" w:type="pct"/>
                  <w:tcBorders>
                    <w:tl2br w:val="nil"/>
                    <w:tr2bl w:val="nil"/>
                  </w:tcBorders>
                  <w:shd w:val="clear" w:color="auto" w:fill="auto"/>
                  <w:vAlign w:val="center"/>
                </w:tcPr>
                <w:p w14:paraId="2EA9FEE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689" w:type="pct"/>
                  <w:tcBorders>
                    <w:tl2br w:val="nil"/>
                    <w:tr2bl w:val="nil"/>
                  </w:tcBorders>
                  <w:shd w:val="clear" w:color="auto" w:fill="auto"/>
                  <w:vAlign w:val="center"/>
                </w:tcPr>
                <w:p w14:paraId="0F4F736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59F0A8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7D04C5B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3 </w:t>
                  </w:r>
                </w:p>
              </w:tc>
              <w:tc>
                <w:tcPr>
                  <w:tcW w:w="557" w:type="pct"/>
                  <w:tcBorders>
                    <w:tl2br w:val="nil"/>
                    <w:tr2bl w:val="nil"/>
                  </w:tcBorders>
                  <w:shd w:val="clear" w:color="auto" w:fill="auto"/>
                  <w:vAlign w:val="center"/>
                </w:tcPr>
                <w:p w14:paraId="64E20F2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臭和味</w:t>
                  </w:r>
                </w:p>
              </w:tc>
              <w:tc>
                <w:tcPr>
                  <w:tcW w:w="2517" w:type="pct"/>
                  <w:tcBorders>
                    <w:tl2br w:val="nil"/>
                    <w:tr2bl w:val="nil"/>
                  </w:tcBorders>
                  <w:shd w:val="clear" w:color="auto" w:fill="auto"/>
                  <w:vAlign w:val="center"/>
                </w:tcPr>
                <w:p w14:paraId="4D96926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《生活饮用水标准检验方法第4部分：感官性状和物理指标》GB/T5750.4-20236.1嗅气和尝味法</w:t>
                  </w:r>
                </w:p>
              </w:tc>
              <w:tc>
                <w:tcPr>
                  <w:tcW w:w="930" w:type="pct"/>
                  <w:tcBorders>
                    <w:tl2br w:val="nil"/>
                    <w:tr2bl w:val="nil"/>
                  </w:tcBorders>
                  <w:shd w:val="clear" w:color="auto" w:fill="auto"/>
                  <w:vAlign w:val="center"/>
                </w:tcPr>
                <w:p w14:paraId="19B14B7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689" w:type="pct"/>
                  <w:tcBorders>
                    <w:tl2br w:val="nil"/>
                    <w:tr2bl w:val="nil"/>
                  </w:tcBorders>
                  <w:shd w:val="clear" w:color="auto" w:fill="auto"/>
                  <w:vAlign w:val="center"/>
                </w:tcPr>
                <w:p w14:paraId="23D2B76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5度</w:t>
                  </w:r>
                </w:p>
              </w:tc>
            </w:tr>
            <w:tr w14:paraId="20A1B08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50E461A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4 </w:t>
                  </w:r>
                </w:p>
              </w:tc>
              <w:tc>
                <w:tcPr>
                  <w:tcW w:w="557" w:type="pct"/>
                  <w:tcBorders>
                    <w:tl2br w:val="nil"/>
                    <w:tr2bl w:val="nil"/>
                  </w:tcBorders>
                  <w:shd w:val="clear" w:color="auto" w:fill="auto"/>
                  <w:vAlign w:val="center"/>
                </w:tcPr>
                <w:p w14:paraId="2DE6FD2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肉眼可见物</w:t>
                  </w:r>
                </w:p>
              </w:tc>
              <w:tc>
                <w:tcPr>
                  <w:tcW w:w="2517" w:type="pct"/>
                  <w:tcBorders>
                    <w:tl2br w:val="nil"/>
                    <w:tr2bl w:val="nil"/>
                  </w:tcBorders>
                  <w:shd w:val="clear" w:color="auto" w:fill="auto"/>
                  <w:vAlign w:val="center"/>
                </w:tcPr>
                <w:p w14:paraId="27FEC63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《生活饮用水标准检验方法第4部分：感官性状和物理指标》GB/T5750.4-20237.1直接观察法</w:t>
                  </w:r>
                </w:p>
              </w:tc>
              <w:tc>
                <w:tcPr>
                  <w:tcW w:w="930" w:type="pct"/>
                  <w:tcBorders>
                    <w:tl2br w:val="nil"/>
                    <w:tr2bl w:val="nil"/>
                  </w:tcBorders>
                  <w:shd w:val="clear" w:color="auto" w:fill="auto"/>
                  <w:vAlign w:val="center"/>
                </w:tcPr>
                <w:p w14:paraId="5B2937A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689" w:type="pct"/>
                  <w:tcBorders>
                    <w:tl2br w:val="nil"/>
                    <w:tr2bl w:val="nil"/>
                  </w:tcBorders>
                  <w:shd w:val="clear" w:color="auto" w:fill="auto"/>
                  <w:vAlign w:val="center"/>
                </w:tcPr>
                <w:p w14:paraId="4EFC780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2A78E1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47C8C59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5 </w:t>
                  </w:r>
                </w:p>
              </w:tc>
              <w:tc>
                <w:tcPr>
                  <w:tcW w:w="557" w:type="pct"/>
                  <w:tcBorders>
                    <w:tl2br w:val="nil"/>
                    <w:tr2bl w:val="nil"/>
                  </w:tcBorders>
                  <w:shd w:val="clear" w:color="auto" w:fill="auto"/>
                  <w:vAlign w:val="center"/>
                </w:tcPr>
                <w:p w14:paraId="23EE2E4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浑</w:t>
                  </w:r>
                  <w:r>
                    <w:rPr>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浊度</w:t>
                  </w:r>
                </w:p>
              </w:tc>
              <w:tc>
                <w:tcPr>
                  <w:tcW w:w="2517" w:type="pct"/>
                  <w:tcBorders>
                    <w:tl2br w:val="nil"/>
                    <w:tr2bl w:val="nil"/>
                  </w:tcBorders>
                  <w:shd w:val="clear" w:color="auto" w:fill="auto"/>
                  <w:vAlign w:val="center"/>
                </w:tcPr>
                <w:p w14:paraId="253C55A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《生活饮用水标准检验方法第4部分：感官性状和物理指标》GB/T5750.4-20235.2目视比浊法-福尔马肼标准</w:t>
                  </w:r>
                </w:p>
              </w:tc>
              <w:tc>
                <w:tcPr>
                  <w:tcW w:w="930" w:type="pct"/>
                  <w:tcBorders>
                    <w:tl2br w:val="nil"/>
                    <w:tr2bl w:val="nil"/>
                  </w:tcBorders>
                  <w:shd w:val="clear" w:color="auto" w:fill="auto"/>
                  <w:vAlign w:val="center"/>
                </w:tcPr>
                <w:p w14:paraId="1CBC9CF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689" w:type="pct"/>
                  <w:tcBorders>
                    <w:tl2br w:val="nil"/>
                    <w:tr2bl w:val="nil"/>
                  </w:tcBorders>
                  <w:shd w:val="clear" w:color="auto" w:fill="auto"/>
                  <w:vAlign w:val="center"/>
                </w:tcPr>
                <w:p w14:paraId="74C34ED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5C6B0B2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6FFC80A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6 </w:t>
                  </w:r>
                </w:p>
              </w:tc>
              <w:tc>
                <w:tcPr>
                  <w:tcW w:w="557" w:type="pct"/>
                  <w:tcBorders>
                    <w:tl2br w:val="nil"/>
                    <w:tr2bl w:val="nil"/>
                  </w:tcBorders>
                  <w:shd w:val="clear" w:color="auto" w:fill="auto"/>
                  <w:vAlign w:val="center"/>
                </w:tcPr>
                <w:p w14:paraId="4090A0A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钾</w:t>
                  </w:r>
                </w:p>
              </w:tc>
              <w:tc>
                <w:tcPr>
                  <w:tcW w:w="2517" w:type="pct"/>
                  <w:tcBorders>
                    <w:tl2br w:val="nil"/>
                    <w:tr2bl w:val="nil"/>
                  </w:tcBorders>
                  <w:shd w:val="clear" w:color="auto" w:fill="auto"/>
                  <w:vAlign w:val="center"/>
                </w:tcPr>
                <w:p w14:paraId="6B4A404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《水质钾和钠的测定火焰原子吸收分光光度法》GB11904-1989</w:t>
                  </w:r>
                </w:p>
              </w:tc>
              <w:tc>
                <w:tcPr>
                  <w:tcW w:w="930" w:type="pct"/>
                  <w:tcBorders>
                    <w:tl2br w:val="nil"/>
                    <w:tr2bl w:val="nil"/>
                  </w:tcBorders>
                  <w:shd w:val="clear" w:color="auto" w:fill="auto"/>
                  <w:vAlign w:val="center"/>
                </w:tcPr>
                <w:p w14:paraId="064FE73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原子吸收分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4A178EE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1NTU</w:t>
                  </w:r>
                </w:p>
              </w:tc>
            </w:tr>
            <w:tr w14:paraId="1C3370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38C7071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7 </w:t>
                  </w:r>
                </w:p>
              </w:tc>
              <w:tc>
                <w:tcPr>
                  <w:tcW w:w="557" w:type="pct"/>
                  <w:tcBorders>
                    <w:tl2br w:val="nil"/>
                    <w:tr2bl w:val="nil"/>
                  </w:tcBorders>
                  <w:shd w:val="clear" w:color="auto" w:fill="auto"/>
                  <w:vAlign w:val="center"/>
                </w:tcPr>
                <w:p w14:paraId="2F33366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钠</w:t>
                  </w:r>
                </w:p>
              </w:tc>
              <w:tc>
                <w:tcPr>
                  <w:tcW w:w="2517" w:type="pct"/>
                  <w:tcBorders>
                    <w:tl2br w:val="nil"/>
                    <w:tr2bl w:val="nil"/>
                  </w:tcBorders>
                  <w:shd w:val="clear" w:color="auto" w:fill="auto"/>
                  <w:vAlign w:val="center"/>
                </w:tcPr>
                <w:p w14:paraId="4818A92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《水质钾和钠的测定火焰原子吸收分光光度法》GB 11904-1989</w:t>
                  </w:r>
                </w:p>
              </w:tc>
              <w:tc>
                <w:tcPr>
                  <w:tcW w:w="930" w:type="pct"/>
                  <w:tcBorders>
                    <w:tl2br w:val="nil"/>
                    <w:tr2bl w:val="nil"/>
                  </w:tcBorders>
                  <w:shd w:val="clear" w:color="auto" w:fill="auto"/>
                  <w:vAlign w:val="center"/>
                </w:tcPr>
                <w:p w14:paraId="797292C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原子吸收分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087DBA0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0.05mg/L</w:t>
                  </w:r>
                </w:p>
              </w:tc>
            </w:tr>
            <w:tr w14:paraId="3187E6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551C0FF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8 </w:t>
                  </w:r>
                </w:p>
              </w:tc>
              <w:tc>
                <w:tcPr>
                  <w:tcW w:w="557" w:type="pct"/>
                  <w:tcBorders>
                    <w:tl2br w:val="nil"/>
                    <w:tr2bl w:val="nil"/>
                  </w:tcBorders>
                  <w:shd w:val="clear" w:color="auto" w:fill="auto"/>
                  <w:vAlign w:val="center"/>
                </w:tcPr>
                <w:p w14:paraId="20910AD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钙</w:t>
                  </w:r>
                </w:p>
              </w:tc>
              <w:tc>
                <w:tcPr>
                  <w:tcW w:w="2517" w:type="pct"/>
                  <w:tcBorders>
                    <w:tl2br w:val="nil"/>
                    <w:tr2bl w:val="nil"/>
                  </w:tcBorders>
                  <w:shd w:val="clear" w:color="auto" w:fill="auto"/>
                  <w:vAlign w:val="center"/>
                </w:tcPr>
                <w:p w14:paraId="1DB4611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《水质钙和镁的测定原子吸收分光光度法》GB11905-1989</w:t>
                  </w:r>
                </w:p>
              </w:tc>
              <w:tc>
                <w:tcPr>
                  <w:tcW w:w="930" w:type="pct"/>
                  <w:tcBorders>
                    <w:tl2br w:val="nil"/>
                    <w:tr2bl w:val="nil"/>
                  </w:tcBorders>
                  <w:shd w:val="clear" w:color="auto" w:fill="auto"/>
                  <w:vAlign w:val="center"/>
                </w:tcPr>
                <w:p w14:paraId="0A99AE0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原子吸收分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7D29D3D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0.01mg/L</w:t>
                  </w:r>
                </w:p>
              </w:tc>
            </w:tr>
            <w:tr w14:paraId="0CFE2D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321B66B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9 </w:t>
                  </w:r>
                </w:p>
              </w:tc>
              <w:tc>
                <w:tcPr>
                  <w:tcW w:w="557" w:type="pct"/>
                  <w:tcBorders>
                    <w:tl2br w:val="nil"/>
                    <w:tr2bl w:val="nil"/>
                  </w:tcBorders>
                  <w:shd w:val="clear" w:color="auto" w:fill="auto"/>
                  <w:vAlign w:val="center"/>
                </w:tcPr>
                <w:p w14:paraId="38603DD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镁</w:t>
                  </w:r>
                </w:p>
              </w:tc>
              <w:tc>
                <w:tcPr>
                  <w:tcW w:w="2517" w:type="pct"/>
                  <w:tcBorders>
                    <w:tl2br w:val="nil"/>
                    <w:tr2bl w:val="nil"/>
                  </w:tcBorders>
                  <w:shd w:val="clear" w:color="auto" w:fill="auto"/>
                  <w:vAlign w:val="center"/>
                </w:tcPr>
                <w:p w14:paraId="6FB559D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《水质钙和镁的测定原子吸收分光光度法》GB11905-1989</w:t>
                  </w:r>
                </w:p>
              </w:tc>
              <w:tc>
                <w:tcPr>
                  <w:tcW w:w="930" w:type="pct"/>
                  <w:tcBorders>
                    <w:tl2br w:val="nil"/>
                    <w:tr2bl w:val="nil"/>
                  </w:tcBorders>
                  <w:shd w:val="clear" w:color="auto" w:fill="auto"/>
                  <w:vAlign w:val="center"/>
                </w:tcPr>
                <w:p w14:paraId="467065E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原子吸收分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09DF014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0.02mg/L</w:t>
                  </w:r>
                </w:p>
              </w:tc>
            </w:tr>
            <w:tr w14:paraId="478BCD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670DF9C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10 </w:t>
                  </w:r>
                </w:p>
              </w:tc>
              <w:tc>
                <w:tcPr>
                  <w:tcW w:w="557" w:type="pct"/>
                  <w:tcBorders>
                    <w:tl2br w:val="nil"/>
                    <w:tr2bl w:val="nil"/>
                  </w:tcBorders>
                  <w:shd w:val="clear" w:color="auto" w:fill="auto"/>
                  <w:vAlign w:val="center"/>
                </w:tcPr>
                <w:p w14:paraId="2F45F8C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硫酸盐</w:t>
                  </w:r>
                </w:p>
              </w:tc>
              <w:tc>
                <w:tcPr>
                  <w:tcW w:w="2517" w:type="pct"/>
                  <w:tcBorders>
                    <w:tl2br w:val="nil"/>
                    <w:tr2bl w:val="nil"/>
                  </w:tcBorders>
                  <w:shd w:val="clear" w:color="auto" w:fill="auto"/>
                  <w:vAlign w:val="center"/>
                </w:tcPr>
                <w:p w14:paraId="4E3D0B4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《水质硫酸盐的测定铬酸钡分光光度法</w:t>
                  </w:r>
                  <w:r>
                    <w:rPr>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试行</w:t>
                  </w:r>
                  <w:r>
                    <w:rPr>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》HJ/T342-2007</w:t>
                  </w:r>
                </w:p>
              </w:tc>
              <w:tc>
                <w:tcPr>
                  <w:tcW w:w="930" w:type="pct"/>
                  <w:tcBorders>
                    <w:tl2br w:val="nil"/>
                    <w:tr2bl w:val="nil"/>
                  </w:tcBorders>
                  <w:shd w:val="clear" w:color="auto" w:fill="auto"/>
                  <w:vAlign w:val="center"/>
                </w:tcPr>
                <w:p w14:paraId="46285BB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紫外可见分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51109A6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0.002mg/L</w:t>
                  </w:r>
                </w:p>
              </w:tc>
            </w:tr>
            <w:tr w14:paraId="180A3E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0F7AB17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11 </w:t>
                  </w:r>
                </w:p>
              </w:tc>
              <w:tc>
                <w:tcPr>
                  <w:tcW w:w="557" w:type="pct"/>
                  <w:tcBorders>
                    <w:tl2br w:val="nil"/>
                    <w:tr2bl w:val="nil"/>
                  </w:tcBorders>
                  <w:shd w:val="clear" w:color="auto" w:fill="auto"/>
                  <w:vAlign w:val="center"/>
                </w:tcPr>
                <w:p w14:paraId="6B0A27E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氯化物</w:t>
                  </w:r>
                </w:p>
              </w:tc>
              <w:tc>
                <w:tcPr>
                  <w:tcW w:w="2517" w:type="pct"/>
                  <w:tcBorders>
                    <w:tl2br w:val="nil"/>
                    <w:tr2bl w:val="nil"/>
                  </w:tcBorders>
                  <w:shd w:val="clear" w:color="auto" w:fill="auto"/>
                  <w:vAlign w:val="top"/>
                </w:tcPr>
                <w:p w14:paraId="0456C23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《水质氯化物的测定硝酸银滴定法》GB11896-1989</w:t>
                  </w:r>
                </w:p>
              </w:tc>
              <w:tc>
                <w:tcPr>
                  <w:tcW w:w="930" w:type="pct"/>
                  <w:tcBorders>
                    <w:tl2br w:val="nil"/>
                    <w:tr2bl w:val="nil"/>
                  </w:tcBorders>
                  <w:shd w:val="clear" w:color="auto" w:fill="auto"/>
                  <w:vAlign w:val="center"/>
                </w:tcPr>
                <w:p w14:paraId="2CD2A83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酸式滴定管</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50mL</w:t>
                  </w:r>
                </w:p>
              </w:tc>
              <w:tc>
                <w:tcPr>
                  <w:tcW w:w="689" w:type="pct"/>
                  <w:tcBorders>
                    <w:tl2br w:val="nil"/>
                    <w:tr2bl w:val="nil"/>
                  </w:tcBorders>
                  <w:shd w:val="clear" w:color="auto" w:fill="auto"/>
                  <w:vAlign w:val="center"/>
                </w:tcPr>
                <w:p w14:paraId="0750823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7F9B211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7FCF42F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12 </w:t>
                  </w:r>
                </w:p>
              </w:tc>
              <w:tc>
                <w:tcPr>
                  <w:tcW w:w="557" w:type="pct"/>
                  <w:tcBorders>
                    <w:tl2br w:val="nil"/>
                    <w:tr2bl w:val="nil"/>
                  </w:tcBorders>
                  <w:shd w:val="clear" w:color="auto" w:fill="auto"/>
                  <w:vAlign w:val="center"/>
                </w:tcPr>
                <w:p w14:paraId="1786F63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亚硝酸盐氮</w:t>
                  </w:r>
                </w:p>
              </w:tc>
              <w:tc>
                <w:tcPr>
                  <w:tcW w:w="2517" w:type="pct"/>
                  <w:tcBorders>
                    <w:tl2br w:val="nil"/>
                    <w:tr2bl w:val="nil"/>
                  </w:tcBorders>
                  <w:shd w:val="clear" w:color="auto" w:fill="auto"/>
                  <w:vAlign w:val="top"/>
                </w:tcPr>
                <w:p w14:paraId="1B3DF26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《水质亚硝酸盐氮的测定分光光度法》GB7493-1987</w:t>
                  </w:r>
                </w:p>
              </w:tc>
              <w:tc>
                <w:tcPr>
                  <w:tcW w:w="930" w:type="pct"/>
                  <w:tcBorders>
                    <w:tl2br w:val="nil"/>
                    <w:tr2bl w:val="nil"/>
                  </w:tcBorders>
                  <w:shd w:val="clear" w:color="auto" w:fill="auto"/>
                  <w:vAlign w:val="center"/>
                </w:tcPr>
                <w:p w14:paraId="0124506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紫外可见分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091306A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4F7851C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1C3D6BC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13 </w:t>
                  </w:r>
                </w:p>
              </w:tc>
              <w:tc>
                <w:tcPr>
                  <w:tcW w:w="557" w:type="pct"/>
                  <w:tcBorders>
                    <w:tl2br w:val="nil"/>
                    <w:tr2bl w:val="nil"/>
                  </w:tcBorders>
                  <w:shd w:val="clear" w:color="auto" w:fill="auto"/>
                  <w:vAlign w:val="center"/>
                </w:tcPr>
                <w:p w14:paraId="4A2BFA0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硝酸盐氮</w:t>
                  </w:r>
                </w:p>
              </w:tc>
              <w:tc>
                <w:tcPr>
                  <w:tcW w:w="2517" w:type="pct"/>
                  <w:tcBorders>
                    <w:tl2br w:val="nil"/>
                    <w:tr2bl w:val="nil"/>
                  </w:tcBorders>
                  <w:shd w:val="clear" w:color="auto" w:fill="auto"/>
                  <w:vAlign w:val="center"/>
                </w:tcPr>
                <w:p w14:paraId="38847CA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《水质硝酸盐氮的测定酚二磺酸分光光度法》GB7480-1987</w:t>
                  </w:r>
                </w:p>
              </w:tc>
              <w:tc>
                <w:tcPr>
                  <w:tcW w:w="930" w:type="pct"/>
                  <w:tcBorders>
                    <w:tl2br w:val="nil"/>
                    <w:tr2bl w:val="nil"/>
                  </w:tcBorders>
                  <w:shd w:val="clear" w:color="auto" w:fill="auto"/>
                  <w:vAlign w:val="center"/>
                </w:tcPr>
                <w:p w14:paraId="5C90686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紫外可见分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70843BC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0.003mg/L</w:t>
                  </w:r>
                </w:p>
              </w:tc>
            </w:tr>
            <w:tr w14:paraId="7857AD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200A52F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14 </w:t>
                  </w:r>
                </w:p>
              </w:tc>
              <w:tc>
                <w:tcPr>
                  <w:tcW w:w="557" w:type="pct"/>
                  <w:tcBorders>
                    <w:tl2br w:val="nil"/>
                    <w:tr2bl w:val="nil"/>
                  </w:tcBorders>
                  <w:shd w:val="clear" w:color="auto" w:fill="auto"/>
                  <w:vAlign w:val="center"/>
                </w:tcPr>
                <w:p w14:paraId="281A5B0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氟化物</w:t>
                  </w:r>
                </w:p>
              </w:tc>
              <w:tc>
                <w:tcPr>
                  <w:tcW w:w="2517" w:type="pct"/>
                  <w:tcBorders>
                    <w:tl2br w:val="nil"/>
                    <w:tr2bl w:val="nil"/>
                  </w:tcBorders>
                  <w:shd w:val="clear" w:color="auto" w:fill="auto"/>
                  <w:vAlign w:val="top"/>
                </w:tcPr>
                <w:p w14:paraId="60C6A10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《水质氟化物的测定离子选择电极法》GB7484-1987</w:t>
                  </w:r>
                </w:p>
              </w:tc>
              <w:tc>
                <w:tcPr>
                  <w:tcW w:w="930" w:type="pct"/>
                  <w:tcBorders>
                    <w:tl2br w:val="nil"/>
                    <w:tr2bl w:val="nil"/>
                  </w:tcBorders>
                  <w:shd w:val="clear" w:color="auto" w:fill="auto"/>
                  <w:vAlign w:val="center"/>
                </w:tcPr>
                <w:p w14:paraId="41B20A9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微机型氟离子计</w:t>
                  </w:r>
                </w:p>
              </w:tc>
              <w:tc>
                <w:tcPr>
                  <w:tcW w:w="689" w:type="pct"/>
                  <w:tcBorders>
                    <w:tl2br w:val="nil"/>
                    <w:tr2bl w:val="nil"/>
                  </w:tcBorders>
                  <w:shd w:val="clear" w:color="auto" w:fill="auto"/>
                  <w:vAlign w:val="center"/>
                </w:tcPr>
                <w:p w14:paraId="0C69F9D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0.02mg/L</w:t>
                  </w:r>
                </w:p>
              </w:tc>
            </w:tr>
            <w:tr w14:paraId="11404C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2963723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15 </w:t>
                  </w:r>
                </w:p>
              </w:tc>
              <w:tc>
                <w:tcPr>
                  <w:tcW w:w="557" w:type="pct"/>
                  <w:tcBorders>
                    <w:tl2br w:val="nil"/>
                    <w:tr2bl w:val="nil"/>
                  </w:tcBorders>
                  <w:shd w:val="clear" w:color="auto" w:fill="auto"/>
                  <w:vAlign w:val="center"/>
                </w:tcPr>
                <w:p w14:paraId="536F5E2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氰化物</w:t>
                  </w:r>
                </w:p>
              </w:tc>
              <w:tc>
                <w:tcPr>
                  <w:tcW w:w="2517" w:type="pct"/>
                  <w:tcBorders>
                    <w:tl2br w:val="nil"/>
                    <w:tr2bl w:val="nil"/>
                  </w:tcBorders>
                  <w:shd w:val="clear" w:color="auto" w:fill="auto"/>
                  <w:vAlign w:val="center"/>
                </w:tcPr>
                <w:p w14:paraId="51A0C10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《生活饮用水标准检验方法第5部分：无机非金属指标》GB/T5750.5-20237.1异烟酸-吡唑啉酮分光光度法</w:t>
                  </w:r>
                </w:p>
              </w:tc>
              <w:tc>
                <w:tcPr>
                  <w:tcW w:w="930" w:type="pct"/>
                  <w:tcBorders>
                    <w:tl2br w:val="nil"/>
                    <w:tr2bl w:val="nil"/>
                  </w:tcBorders>
                  <w:shd w:val="clear" w:color="auto" w:fill="auto"/>
                  <w:vAlign w:val="center"/>
                </w:tcPr>
                <w:p w14:paraId="3FF4685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紫外可见分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0D77DD6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0.05mg/L</w:t>
                  </w:r>
                </w:p>
              </w:tc>
            </w:tr>
            <w:tr w14:paraId="0BEDF1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2F25314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16 </w:t>
                  </w:r>
                </w:p>
              </w:tc>
              <w:tc>
                <w:tcPr>
                  <w:tcW w:w="557" w:type="pct"/>
                  <w:tcBorders>
                    <w:tl2br w:val="nil"/>
                    <w:tr2bl w:val="nil"/>
                  </w:tcBorders>
                  <w:shd w:val="clear" w:color="auto" w:fill="auto"/>
                  <w:vAlign w:val="center"/>
                </w:tcPr>
                <w:p w14:paraId="1CA08BB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碘化物</w:t>
                  </w:r>
                </w:p>
              </w:tc>
              <w:tc>
                <w:tcPr>
                  <w:tcW w:w="2517" w:type="pct"/>
                  <w:tcBorders>
                    <w:tl2br w:val="nil"/>
                    <w:tr2bl w:val="nil"/>
                  </w:tcBorders>
                  <w:shd w:val="clear" w:color="auto" w:fill="auto"/>
                  <w:vAlign w:val="center"/>
                </w:tcPr>
                <w:p w14:paraId="0418FCA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《地下水质分析方法第56部分：碘化物的测定淀粉分光光度法》DZ/T 0064.56-2021</w:t>
                  </w:r>
                </w:p>
              </w:tc>
              <w:tc>
                <w:tcPr>
                  <w:tcW w:w="930" w:type="pct"/>
                  <w:tcBorders>
                    <w:tl2br w:val="nil"/>
                    <w:tr2bl w:val="nil"/>
                  </w:tcBorders>
                  <w:shd w:val="clear" w:color="auto" w:fill="auto"/>
                  <w:vAlign w:val="center"/>
                </w:tcPr>
                <w:p w14:paraId="1522F93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紫外可见分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1AA6930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0.002mg/L</w:t>
                  </w:r>
                </w:p>
              </w:tc>
            </w:tr>
            <w:tr w14:paraId="164EEA8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41B640F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17 </w:t>
                  </w:r>
                </w:p>
              </w:tc>
              <w:tc>
                <w:tcPr>
                  <w:tcW w:w="557" w:type="pct"/>
                  <w:tcBorders>
                    <w:tl2br w:val="nil"/>
                    <w:tr2bl w:val="nil"/>
                  </w:tcBorders>
                  <w:shd w:val="clear" w:color="auto" w:fill="auto"/>
                  <w:vAlign w:val="center"/>
                </w:tcPr>
                <w:p w14:paraId="401065A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总硬度</w:t>
                  </w:r>
                </w:p>
              </w:tc>
              <w:tc>
                <w:tcPr>
                  <w:tcW w:w="2517" w:type="pct"/>
                  <w:tcBorders>
                    <w:tl2br w:val="nil"/>
                    <w:tr2bl w:val="nil"/>
                  </w:tcBorders>
                  <w:shd w:val="clear" w:color="auto" w:fill="auto"/>
                  <w:vAlign w:val="center"/>
                </w:tcPr>
                <w:p w14:paraId="25C2F2A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《生活饮用水标准检验方法第4部分：感官性状和物理指标》GB/T5750.4-202310.1乙二胺四乙酸二钠滴定法</w:t>
                  </w:r>
                </w:p>
              </w:tc>
              <w:tc>
                <w:tcPr>
                  <w:tcW w:w="930" w:type="pct"/>
                  <w:tcBorders>
                    <w:tl2br w:val="nil"/>
                    <w:tr2bl w:val="nil"/>
                  </w:tcBorders>
                  <w:shd w:val="clear" w:color="auto" w:fill="auto"/>
                  <w:vAlign w:val="center"/>
                </w:tcPr>
                <w:p w14:paraId="23D48A6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酸式滴定管</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50mL</w:t>
                  </w:r>
                </w:p>
              </w:tc>
              <w:tc>
                <w:tcPr>
                  <w:tcW w:w="689" w:type="pct"/>
                  <w:tcBorders>
                    <w:tl2br w:val="nil"/>
                    <w:tr2bl w:val="nil"/>
                  </w:tcBorders>
                  <w:shd w:val="clear" w:color="auto" w:fill="auto"/>
                  <w:vAlign w:val="center"/>
                </w:tcPr>
                <w:p w14:paraId="3D92678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0.025mg/L</w:t>
                  </w:r>
                </w:p>
              </w:tc>
            </w:tr>
            <w:tr w14:paraId="23122B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6CBE73F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18 </w:t>
                  </w:r>
                </w:p>
              </w:tc>
              <w:tc>
                <w:tcPr>
                  <w:tcW w:w="557" w:type="pct"/>
                  <w:tcBorders>
                    <w:tl2br w:val="nil"/>
                    <w:tr2bl w:val="nil"/>
                  </w:tcBorders>
                  <w:shd w:val="clear" w:color="auto" w:fill="auto"/>
                  <w:vAlign w:val="center"/>
                </w:tcPr>
                <w:p w14:paraId="64B554F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溶解性总固体</w:t>
                  </w:r>
                </w:p>
              </w:tc>
              <w:tc>
                <w:tcPr>
                  <w:tcW w:w="2517" w:type="pct"/>
                  <w:tcBorders>
                    <w:tl2br w:val="nil"/>
                    <w:tr2bl w:val="nil"/>
                  </w:tcBorders>
                  <w:shd w:val="clear" w:color="auto" w:fill="auto"/>
                  <w:vAlign w:val="center"/>
                </w:tcPr>
                <w:p w14:paraId="3E045EF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《生活饮用水标准检验方法第4部分：感官性状和物理指标》GB/T5750.4-202311.1称量法</w:t>
                  </w:r>
                </w:p>
              </w:tc>
              <w:tc>
                <w:tcPr>
                  <w:tcW w:w="930" w:type="pct"/>
                  <w:tcBorders>
                    <w:tl2br w:val="nil"/>
                    <w:tr2bl w:val="nil"/>
                  </w:tcBorders>
                  <w:shd w:val="clear" w:color="auto" w:fill="auto"/>
                  <w:vAlign w:val="center"/>
                </w:tcPr>
                <w:p w14:paraId="119829C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电子天平</w:t>
                  </w:r>
                </w:p>
              </w:tc>
              <w:tc>
                <w:tcPr>
                  <w:tcW w:w="689" w:type="pct"/>
                  <w:tcBorders>
                    <w:tl2br w:val="nil"/>
                    <w:tr2bl w:val="nil"/>
                  </w:tcBorders>
                  <w:shd w:val="clear" w:color="auto" w:fill="auto"/>
                  <w:vAlign w:val="center"/>
                </w:tcPr>
                <w:p w14:paraId="7EC741C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1.0mg/L</w:t>
                  </w:r>
                </w:p>
              </w:tc>
            </w:tr>
            <w:tr w14:paraId="5BF3D5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5CA59CC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19 </w:t>
                  </w:r>
                </w:p>
              </w:tc>
              <w:tc>
                <w:tcPr>
                  <w:tcW w:w="557" w:type="pct"/>
                  <w:tcBorders>
                    <w:tl2br w:val="nil"/>
                    <w:tr2bl w:val="nil"/>
                  </w:tcBorders>
                  <w:shd w:val="clear" w:color="auto" w:fill="auto"/>
                  <w:vAlign w:val="center"/>
                </w:tcPr>
                <w:p w14:paraId="60004C3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硫化物</w:t>
                  </w:r>
                </w:p>
              </w:tc>
              <w:tc>
                <w:tcPr>
                  <w:tcW w:w="2517" w:type="pct"/>
                  <w:tcBorders>
                    <w:tl2br w:val="nil"/>
                    <w:tr2bl w:val="nil"/>
                  </w:tcBorders>
                  <w:shd w:val="clear" w:color="auto" w:fill="auto"/>
                  <w:vAlign w:val="center"/>
                </w:tcPr>
                <w:p w14:paraId="5F0614F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《水质硫化物的测定亚甲基蓝分光光度法》HJ1226-2021</w:t>
                  </w:r>
                </w:p>
              </w:tc>
              <w:tc>
                <w:tcPr>
                  <w:tcW w:w="930" w:type="pct"/>
                  <w:tcBorders>
                    <w:tl2br w:val="nil"/>
                    <w:tr2bl w:val="nil"/>
                  </w:tcBorders>
                  <w:shd w:val="clear" w:color="auto" w:fill="auto"/>
                  <w:vAlign w:val="center"/>
                </w:tcPr>
                <w:p w14:paraId="031AA26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紫外可见分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6CE8131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3C0BF5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34E59EA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20 </w:t>
                  </w:r>
                </w:p>
              </w:tc>
              <w:tc>
                <w:tcPr>
                  <w:tcW w:w="557" w:type="pct"/>
                  <w:tcBorders>
                    <w:tl2br w:val="nil"/>
                    <w:tr2bl w:val="nil"/>
                  </w:tcBorders>
                  <w:shd w:val="clear" w:color="auto" w:fill="auto"/>
                  <w:vAlign w:val="center"/>
                </w:tcPr>
                <w:p w14:paraId="113EC53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铁</w:t>
                  </w:r>
                </w:p>
              </w:tc>
              <w:tc>
                <w:tcPr>
                  <w:tcW w:w="2517" w:type="pct"/>
                  <w:tcBorders>
                    <w:tl2br w:val="nil"/>
                    <w:tr2bl w:val="nil"/>
                  </w:tcBorders>
                  <w:shd w:val="clear" w:color="auto" w:fill="auto"/>
                  <w:vAlign w:val="center"/>
                </w:tcPr>
                <w:p w14:paraId="1CA598D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《水质铁、锰的测定火焰原子吸收分光光度法》GB11911-1989</w:t>
                  </w:r>
                </w:p>
              </w:tc>
              <w:tc>
                <w:tcPr>
                  <w:tcW w:w="930" w:type="pct"/>
                  <w:tcBorders>
                    <w:tl2br w:val="nil"/>
                    <w:tr2bl w:val="nil"/>
                  </w:tcBorders>
                  <w:shd w:val="clear" w:color="auto" w:fill="auto"/>
                  <w:vAlign w:val="center"/>
                </w:tcPr>
                <w:p w14:paraId="1B2F2F9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原子吸收分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61B8F4A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0.003mg/L</w:t>
                  </w:r>
                </w:p>
              </w:tc>
            </w:tr>
            <w:tr w14:paraId="4D46AC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1C0B297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21 </w:t>
                  </w:r>
                </w:p>
              </w:tc>
              <w:tc>
                <w:tcPr>
                  <w:tcW w:w="557" w:type="pct"/>
                  <w:tcBorders>
                    <w:tl2br w:val="nil"/>
                    <w:tr2bl w:val="nil"/>
                  </w:tcBorders>
                  <w:shd w:val="clear" w:color="auto" w:fill="auto"/>
                  <w:vAlign w:val="center"/>
                </w:tcPr>
                <w:p w14:paraId="5E55262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锰</w:t>
                  </w:r>
                </w:p>
              </w:tc>
              <w:tc>
                <w:tcPr>
                  <w:tcW w:w="2517" w:type="pct"/>
                  <w:tcBorders>
                    <w:tl2br w:val="nil"/>
                    <w:tr2bl w:val="nil"/>
                  </w:tcBorders>
                  <w:shd w:val="clear" w:color="auto" w:fill="auto"/>
                  <w:vAlign w:val="center"/>
                </w:tcPr>
                <w:p w14:paraId="272E3D2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《水质铁、锰的测定火焰原子吸收分光光度法》GB11911-1989</w:t>
                  </w:r>
                </w:p>
              </w:tc>
              <w:tc>
                <w:tcPr>
                  <w:tcW w:w="930" w:type="pct"/>
                  <w:tcBorders>
                    <w:tl2br w:val="nil"/>
                    <w:tr2bl w:val="nil"/>
                  </w:tcBorders>
                  <w:shd w:val="clear" w:color="auto" w:fill="auto"/>
                  <w:vAlign w:val="center"/>
                </w:tcPr>
                <w:p w14:paraId="047BA30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原子吸收分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74ED1E2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0.03mg/L</w:t>
                  </w:r>
                </w:p>
              </w:tc>
            </w:tr>
            <w:tr w14:paraId="6E2A092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3F9129A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22 </w:t>
                  </w:r>
                </w:p>
              </w:tc>
              <w:tc>
                <w:tcPr>
                  <w:tcW w:w="557" w:type="pct"/>
                  <w:tcBorders>
                    <w:tl2br w:val="nil"/>
                    <w:tr2bl w:val="nil"/>
                  </w:tcBorders>
                  <w:shd w:val="clear" w:color="auto" w:fill="auto"/>
                  <w:vAlign w:val="center"/>
                </w:tcPr>
                <w:p w14:paraId="2E5F95D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铜</w:t>
                  </w:r>
                </w:p>
              </w:tc>
              <w:tc>
                <w:tcPr>
                  <w:tcW w:w="2517" w:type="pct"/>
                  <w:tcBorders>
                    <w:tl2br w:val="nil"/>
                    <w:tr2bl w:val="nil"/>
                  </w:tcBorders>
                  <w:shd w:val="clear" w:color="auto" w:fill="auto"/>
                  <w:vAlign w:val="center"/>
                </w:tcPr>
                <w:p w14:paraId="3D20BFB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《生活饮用水标准检验方法第6部分：金属和类金属指标》GB/T 5750.6-20237.2火焰原子吸收分光光度法</w:t>
                  </w:r>
                </w:p>
              </w:tc>
              <w:tc>
                <w:tcPr>
                  <w:tcW w:w="930" w:type="pct"/>
                  <w:tcBorders>
                    <w:tl2br w:val="nil"/>
                    <w:tr2bl w:val="nil"/>
                  </w:tcBorders>
                  <w:shd w:val="clear" w:color="auto" w:fill="auto"/>
                  <w:vAlign w:val="center"/>
                </w:tcPr>
                <w:p w14:paraId="2BBE584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原子吸收分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4D3C476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0.01mg/L</w:t>
                  </w:r>
                </w:p>
              </w:tc>
            </w:tr>
            <w:tr w14:paraId="634A21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337597F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23 </w:t>
                  </w:r>
                </w:p>
              </w:tc>
              <w:tc>
                <w:tcPr>
                  <w:tcW w:w="557" w:type="pct"/>
                  <w:tcBorders>
                    <w:tl2br w:val="nil"/>
                    <w:tr2bl w:val="nil"/>
                  </w:tcBorders>
                  <w:shd w:val="clear" w:color="auto" w:fill="auto"/>
                  <w:vAlign w:val="center"/>
                </w:tcPr>
                <w:p w14:paraId="1B6B1EA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锌</w:t>
                  </w:r>
                </w:p>
              </w:tc>
              <w:tc>
                <w:tcPr>
                  <w:tcW w:w="2517" w:type="pct"/>
                  <w:tcBorders>
                    <w:tl2br w:val="nil"/>
                    <w:tr2bl w:val="nil"/>
                  </w:tcBorders>
                  <w:shd w:val="clear" w:color="auto" w:fill="auto"/>
                  <w:vAlign w:val="center"/>
                </w:tcPr>
                <w:p w14:paraId="5353221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《生活饮用水标准检验方法第6部分：金属和类金属指标》GB/T 5750.6-20238.1火焰原子吸收分光光度法</w:t>
                  </w:r>
                </w:p>
              </w:tc>
              <w:tc>
                <w:tcPr>
                  <w:tcW w:w="930" w:type="pct"/>
                  <w:tcBorders>
                    <w:tl2br w:val="nil"/>
                    <w:tr2bl w:val="nil"/>
                  </w:tcBorders>
                  <w:shd w:val="clear" w:color="auto" w:fill="auto"/>
                  <w:vAlign w:val="center"/>
                </w:tcPr>
                <w:p w14:paraId="6845286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原子吸收分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3614713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0.2mg/L</w:t>
                  </w:r>
                </w:p>
              </w:tc>
            </w:tr>
            <w:tr w14:paraId="5E7566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5A5DA44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24 </w:t>
                  </w:r>
                </w:p>
              </w:tc>
              <w:tc>
                <w:tcPr>
                  <w:tcW w:w="557" w:type="pct"/>
                  <w:tcBorders>
                    <w:tl2br w:val="nil"/>
                    <w:tr2bl w:val="nil"/>
                  </w:tcBorders>
                  <w:shd w:val="clear" w:color="auto" w:fill="auto"/>
                  <w:vAlign w:val="center"/>
                </w:tcPr>
                <w:p w14:paraId="3FA2DEA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铝</w:t>
                  </w:r>
                </w:p>
              </w:tc>
              <w:tc>
                <w:tcPr>
                  <w:tcW w:w="2517" w:type="pct"/>
                  <w:tcBorders>
                    <w:tl2br w:val="nil"/>
                    <w:tr2bl w:val="nil"/>
                  </w:tcBorders>
                  <w:shd w:val="clear" w:color="auto" w:fill="auto"/>
                  <w:vAlign w:val="center"/>
                </w:tcPr>
                <w:p w14:paraId="61A090E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《生活饮用水标准检验方法第6部分：金属和类金属指标》GB/T5750.6-20234.3无火焰原子吸收分光光度法</w:t>
                  </w:r>
                </w:p>
              </w:tc>
              <w:tc>
                <w:tcPr>
                  <w:tcW w:w="930" w:type="pct"/>
                  <w:tcBorders>
                    <w:tl2br w:val="nil"/>
                    <w:tr2bl w:val="nil"/>
                  </w:tcBorders>
                  <w:shd w:val="clear" w:color="auto" w:fill="auto"/>
                  <w:vAlign w:val="center"/>
                </w:tcPr>
                <w:p w14:paraId="3D38FD2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原子吸收分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0E83828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0.05mg/L</w:t>
                  </w:r>
                </w:p>
              </w:tc>
            </w:tr>
            <w:tr w14:paraId="52A668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7B13841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25 </w:t>
                  </w:r>
                </w:p>
              </w:tc>
              <w:tc>
                <w:tcPr>
                  <w:tcW w:w="557" w:type="pct"/>
                  <w:tcBorders>
                    <w:tl2br w:val="nil"/>
                    <w:tr2bl w:val="nil"/>
                  </w:tcBorders>
                  <w:shd w:val="clear" w:color="auto" w:fill="auto"/>
                  <w:vAlign w:val="center"/>
                </w:tcPr>
                <w:p w14:paraId="40F5316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阴离子表面活性剂</w:t>
                  </w:r>
                </w:p>
              </w:tc>
              <w:tc>
                <w:tcPr>
                  <w:tcW w:w="2517" w:type="pct"/>
                  <w:tcBorders>
                    <w:tl2br w:val="nil"/>
                    <w:tr2bl w:val="nil"/>
                  </w:tcBorders>
                  <w:shd w:val="clear" w:color="auto" w:fill="auto"/>
                  <w:vAlign w:val="center"/>
                </w:tcPr>
                <w:p w14:paraId="509086A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《水质阴离子表面活性剂的测定亚甲蓝分光光度法》GB7494-87</w:t>
                  </w:r>
                </w:p>
              </w:tc>
              <w:tc>
                <w:tcPr>
                  <w:tcW w:w="930" w:type="pct"/>
                  <w:tcBorders>
                    <w:tl2br w:val="nil"/>
                    <w:tr2bl w:val="nil"/>
                  </w:tcBorders>
                  <w:shd w:val="clear" w:color="auto" w:fill="auto"/>
                  <w:vAlign w:val="center"/>
                </w:tcPr>
                <w:p w14:paraId="0592F5A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紫外可见分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1E1B460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10μg/L</w:t>
                  </w:r>
                </w:p>
              </w:tc>
            </w:tr>
            <w:tr w14:paraId="5909E4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4C41822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26 </w:t>
                  </w:r>
                </w:p>
              </w:tc>
              <w:tc>
                <w:tcPr>
                  <w:tcW w:w="557" w:type="pct"/>
                  <w:tcBorders>
                    <w:tl2br w:val="nil"/>
                    <w:tr2bl w:val="nil"/>
                  </w:tcBorders>
                  <w:shd w:val="clear" w:color="auto" w:fill="auto"/>
                  <w:vAlign w:val="center"/>
                </w:tcPr>
                <w:p w14:paraId="31673FC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总大肠菌群</w:t>
                  </w:r>
                </w:p>
              </w:tc>
              <w:tc>
                <w:tcPr>
                  <w:tcW w:w="2517" w:type="pct"/>
                  <w:tcBorders>
                    <w:tl2br w:val="nil"/>
                    <w:tr2bl w:val="nil"/>
                  </w:tcBorders>
                  <w:shd w:val="clear" w:color="auto" w:fill="auto"/>
                  <w:vAlign w:val="center"/>
                </w:tcPr>
                <w:p w14:paraId="0954811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《生活饮用水标准检验方法第12部分：微生物指标》GB/T5750.12-2023</w:t>
                  </w:r>
                  <w:r>
                    <w:rPr>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 xml:space="preserve">5.1多管发酵法 </w:t>
                  </w:r>
                  <w:r>
                    <w:rPr>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930" w:type="pct"/>
                  <w:tcBorders>
                    <w:tl2br w:val="nil"/>
                    <w:tr2bl w:val="nil"/>
                  </w:tcBorders>
                  <w:shd w:val="clear" w:color="auto" w:fill="auto"/>
                  <w:vAlign w:val="center"/>
                </w:tcPr>
                <w:p w14:paraId="4AADE1B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电热恒温培养箱</w:t>
                  </w:r>
                </w:p>
              </w:tc>
              <w:tc>
                <w:tcPr>
                  <w:tcW w:w="689" w:type="pct"/>
                  <w:tcBorders>
                    <w:tl2br w:val="nil"/>
                    <w:tr2bl w:val="nil"/>
                  </w:tcBorders>
                  <w:shd w:val="clear" w:color="auto" w:fill="auto"/>
                  <w:vAlign w:val="center"/>
                </w:tcPr>
                <w:p w14:paraId="3BDD53B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0.05mg/L</w:t>
                  </w:r>
                </w:p>
              </w:tc>
            </w:tr>
            <w:tr w14:paraId="5C1B34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6EB0893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27 </w:t>
                  </w:r>
                </w:p>
              </w:tc>
              <w:tc>
                <w:tcPr>
                  <w:tcW w:w="557" w:type="pct"/>
                  <w:tcBorders>
                    <w:tl2br w:val="nil"/>
                    <w:tr2bl w:val="nil"/>
                  </w:tcBorders>
                  <w:shd w:val="clear" w:color="auto" w:fill="auto"/>
                  <w:vAlign w:val="center"/>
                </w:tcPr>
                <w:p w14:paraId="36D0C6D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菌落总数</w:t>
                  </w:r>
                </w:p>
              </w:tc>
              <w:tc>
                <w:tcPr>
                  <w:tcW w:w="2517" w:type="pct"/>
                  <w:tcBorders>
                    <w:tl2br w:val="nil"/>
                    <w:tr2bl w:val="nil"/>
                  </w:tcBorders>
                  <w:shd w:val="clear" w:color="auto" w:fill="auto"/>
                  <w:vAlign w:val="center"/>
                </w:tcPr>
                <w:p w14:paraId="77738C8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《生活饮用水标准检验方法第12部分：微生物指标》GB/T5750.12-2023</w:t>
                  </w:r>
                  <w:r>
                    <w:rPr>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4.1平皿计数法</w:t>
                  </w:r>
                  <w:r>
                    <w:rPr>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930" w:type="pct"/>
                  <w:tcBorders>
                    <w:tl2br w:val="nil"/>
                    <w:tr2bl w:val="nil"/>
                  </w:tcBorders>
                  <w:shd w:val="clear" w:color="auto" w:fill="auto"/>
                  <w:vAlign w:val="center"/>
                </w:tcPr>
                <w:p w14:paraId="3ED2C21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电热恒温培养箱</w:t>
                  </w:r>
                </w:p>
              </w:tc>
              <w:tc>
                <w:tcPr>
                  <w:tcW w:w="689" w:type="pct"/>
                  <w:tcBorders>
                    <w:tl2br w:val="nil"/>
                    <w:tr2bl w:val="nil"/>
                  </w:tcBorders>
                  <w:shd w:val="clear" w:color="auto" w:fill="auto"/>
                  <w:vAlign w:val="center"/>
                </w:tcPr>
                <w:p w14:paraId="10181EC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053864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6F7F72C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28 </w:t>
                  </w:r>
                </w:p>
              </w:tc>
              <w:tc>
                <w:tcPr>
                  <w:tcW w:w="557" w:type="pct"/>
                  <w:tcBorders>
                    <w:tl2br w:val="nil"/>
                    <w:tr2bl w:val="nil"/>
                  </w:tcBorders>
                  <w:shd w:val="clear" w:color="auto" w:fill="auto"/>
                  <w:vAlign w:val="center"/>
                </w:tcPr>
                <w:p w14:paraId="686D4E7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汞</w:t>
                  </w:r>
                </w:p>
              </w:tc>
              <w:tc>
                <w:tcPr>
                  <w:tcW w:w="2517" w:type="pct"/>
                  <w:tcBorders>
                    <w:tl2br w:val="nil"/>
                    <w:tr2bl w:val="nil"/>
                  </w:tcBorders>
                  <w:shd w:val="clear" w:color="auto" w:fill="auto"/>
                  <w:vAlign w:val="center"/>
                </w:tcPr>
                <w:p w14:paraId="7A2FEE2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《水质汞、砷、硒、铋和锑的测定原子荧光法》HJ694-2014</w:t>
                  </w:r>
                </w:p>
              </w:tc>
              <w:tc>
                <w:tcPr>
                  <w:tcW w:w="930" w:type="pct"/>
                  <w:tcBorders>
                    <w:tl2br w:val="nil"/>
                    <w:tr2bl w:val="nil"/>
                  </w:tcBorders>
                  <w:shd w:val="clear" w:color="auto" w:fill="auto"/>
                  <w:vAlign w:val="center"/>
                </w:tcPr>
                <w:p w14:paraId="5D29822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双道氢化物</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-原子荧光</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光度计</w:t>
                  </w:r>
                </w:p>
              </w:tc>
              <w:tc>
                <w:tcPr>
                  <w:tcW w:w="689" w:type="pct"/>
                  <w:tcBorders>
                    <w:tl2br w:val="nil"/>
                    <w:tr2bl w:val="nil"/>
                  </w:tcBorders>
                  <w:shd w:val="clear" w:color="auto" w:fill="auto"/>
                  <w:vAlign w:val="center"/>
                </w:tcPr>
                <w:p w14:paraId="63A2784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36CFCB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098EAD8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29 </w:t>
                  </w:r>
                </w:p>
              </w:tc>
              <w:tc>
                <w:tcPr>
                  <w:tcW w:w="557" w:type="pct"/>
                  <w:tcBorders>
                    <w:tl2br w:val="nil"/>
                    <w:tr2bl w:val="nil"/>
                  </w:tcBorders>
                  <w:shd w:val="clear" w:color="auto" w:fill="auto"/>
                  <w:vAlign w:val="center"/>
                </w:tcPr>
                <w:p w14:paraId="10757DB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砷</w:t>
                  </w:r>
                </w:p>
              </w:tc>
              <w:tc>
                <w:tcPr>
                  <w:tcW w:w="2517" w:type="pct"/>
                  <w:tcBorders>
                    <w:tl2br w:val="nil"/>
                    <w:tr2bl w:val="nil"/>
                  </w:tcBorders>
                  <w:shd w:val="clear" w:color="auto" w:fill="auto"/>
                  <w:vAlign w:val="center"/>
                </w:tcPr>
                <w:p w14:paraId="2135E1D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《水质汞、砷、硒、铋和锑的测定原子荧光法》HJ694-2014</w:t>
                  </w:r>
                </w:p>
              </w:tc>
              <w:tc>
                <w:tcPr>
                  <w:tcW w:w="930" w:type="pct"/>
                  <w:tcBorders>
                    <w:tl2br w:val="nil"/>
                    <w:tr2bl w:val="nil"/>
                  </w:tcBorders>
                  <w:shd w:val="clear" w:color="auto" w:fill="auto"/>
                  <w:vAlign w:val="center"/>
                </w:tcPr>
                <w:p w14:paraId="4A99680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双道氢化物</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-原子荧光</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光度计</w:t>
                  </w:r>
                </w:p>
              </w:tc>
              <w:tc>
                <w:tcPr>
                  <w:tcW w:w="689" w:type="pct"/>
                  <w:tcBorders>
                    <w:tl2br w:val="nil"/>
                    <w:tr2bl w:val="nil"/>
                  </w:tcBorders>
                  <w:shd w:val="clear" w:color="auto" w:fill="auto"/>
                  <w:vAlign w:val="center"/>
                </w:tcPr>
                <w:p w14:paraId="70A1A13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0.04μg/L</w:t>
                  </w:r>
                </w:p>
              </w:tc>
            </w:tr>
            <w:tr w14:paraId="6A6AE2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3AC1C5E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30 </w:t>
                  </w:r>
                </w:p>
              </w:tc>
              <w:tc>
                <w:tcPr>
                  <w:tcW w:w="557" w:type="pct"/>
                  <w:tcBorders>
                    <w:tl2br w:val="nil"/>
                    <w:tr2bl w:val="nil"/>
                  </w:tcBorders>
                  <w:shd w:val="clear" w:color="auto" w:fill="auto"/>
                  <w:vAlign w:val="center"/>
                </w:tcPr>
                <w:p w14:paraId="5C9FB9B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硒</w:t>
                  </w:r>
                </w:p>
              </w:tc>
              <w:tc>
                <w:tcPr>
                  <w:tcW w:w="2517" w:type="pct"/>
                  <w:tcBorders>
                    <w:tl2br w:val="nil"/>
                    <w:tr2bl w:val="nil"/>
                  </w:tcBorders>
                  <w:shd w:val="clear" w:color="auto" w:fill="auto"/>
                  <w:vAlign w:val="center"/>
                </w:tcPr>
                <w:p w14:paraId="5EA2FD8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《水质汞、砷、硒、铋和锑的测定原子荧光法》HJ694-2014</w:t>
                  </w:r>
                </w:p>
              </w:tc>
              <w:tc>
                <w:tcPr>
                  <w:tcW w:w="930" w:type="pct"/>
                  <w:tcBorders>
                    <w:tl2br w:val="nil"/>
                    <w:tr2bl w:val="nil"/>
                  </w:tcBorders>
                  <w:shd w:val="clear" w:color="auto" w:fill="auto"/>
                  <w:vAlign w:val="center"/>
                </w:tcPr>
                <w:p w14:paraId="1EC050E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双道氢化物</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-原子荧光</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光度计</w:t>
                  </w:r>
                </w:p>
              </w:tc>
              <w:tc>
                <w:tcPr>
                  <w:tcW w:w="689" w:type="pct"/>
                  <w:tcBorders>
                    <w:tl2br w:val="nil"/>
                    <w:tr2bl w:val="nil"/>
                  </w:tcBorders>
                  <w:shd w:val="clear" w:color="auto" w:fill="auto"/>
                  <w:vAlign w:val="center"/>
                </w:tcPr>
                <w:p w14:paraId="7D739EE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0.3μg/L</w:t>
                  </w:r>
                </w:p>
              </w:tc>
            </w:tr>
            <w:tr w14:paraId="68A357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674865C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31 </w:t>
                  </w:r>
                </w:p>
              </w:tc>
              <w:tc>
                <w:tcPr>
                  <w:tcW w:w="557" w:type="pct"/>
                  <w:tcBorders>
                    <w:tl2br w:val="nil"/>
                    <w:tr2bl w:val="nil"/>
                  </w:tcBorders>
                  <w:shd w:val="clear" w:color="auto" w:fill="auto"/>
                  <w:vAlign w:val="center"/>
                </w:tcPr>
                <w:p w14:paraId="014A493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铅</w:t>
                  </w:r>
                </w:p>
              </w:tc>
              <w:tc>
                <w:tcPr>
                  <w:tcW w:w="2517" w:type="pct"/>
                  <w:tcBorders>
                    <w:tl2br w:val="nil"/>
                    <w:tr2bl w:val="nil"/>
                  </w:tcBorders>
                  <w:shd w:val="clear" w:color="auto" w:fill="auto"/>
                  <w:vAlign w:val="center"/>
                </w:tcPr>
                <w:p w14:paraId="2ED10BD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《生活饮用水标准检验方法第6部分：金属和类金属指标》GB/T5750.6-202314.1无火焰原子吸收分光光度法</w:t>
                  </w:r>
                </w:p>
              </w:tc>
              <w:tc>
                <w:tcPr>
                  <w:tcW w:w="930" w:type="pct"/>
                  <w:tcBorders>
                    <w:tl2br w:val="nil"/>
                    <w:tr2bl w:val="nil"/>
                  </w:tcBorders>
                  <w:shd w:val="clear" w:color="auto" w:fill="auto"/>
                  <w:vAlign w:val="center"/>
                </w:tcPr>
                <w:p w14:paraId="76ADE6A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原子吸收分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78A9B68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0.4μg/L</w:t>
                  </w:r>
                </w:p>
              </w:tc>
            </w:tr>
            <w:tr w14:paraId="23EF23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3B290DE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32 </w:t>
                  </w:r>
                </w:p>
              </w:tc>
              <w:tc>
                <w:tcPr>
                  <w:tcW w:w="557" w:type="pct"/>
                  <w:tcBorders>
                    <w:tl2br w:val="nil"/>
                    <w:tr2bl w:val="nil"/>
                  </w:tcBorders>
                  <w:shd w:val="clear" w:color="auto" w:fill="auto"/>
                  <w:vAlign w:val="center"/>
                </w:tcPr>
                <w:p w14:paraId="3011611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镉</w:t>
                  </w:r>
                </w:p>
              </w:tc>
              <w:tc>
                <w:tcPr>
                  <w:tcW w:w="2517" w:type="pct"/>
                  <w:tcBorders>
                    <w:tl2br w:val="nil"/>
                    <w:tr2bl w:val="nil"/>
                  </w:tcBorders>
                  <w:shd w:val="clear" w:color="auto" w:fill="auto"/>
                  <w:vAlign w:val="center"/>
                </w:tcPr>
                <w:p w14:paraId="1861EA3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《生活饮用水标准检验方法第6部分：金属和类金属指标》GB/T5750.6-202312.1无火焰原子吸收分光光度法</w:t>
                  </w:r>
                </w:p>
              </w:tc>
              <w:tc>
                <w:tcPr>
                  <w:tcW w:w="930" w:type="pct"/>
                  <w:tcBorders>
                    <w:tl2br w:val="nil"/>
                    <w:tr2bl w:val="nil"/>
                  </w:tcBorders>
                  <w:shd w:val="clear" w:color="auto" w:fill="auto"/>
                  <w:vAlign w:val="top"/>
                </w:tcPr>
                <w:p w14:paraId="1F36A95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原子吸收分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51AEC6F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2.5μg/L</w:t>
                  </w:r>
                </w:p>
              </w:tc>
            </w:tr>
            <w:tr w14:paraId="1C2750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136E27C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33 </w:t>
                  </w:r>
                </w:p>
              </w:tc>
              <w:tc>
                <w:tcPr>
                  <w:tcW w:w="557" w:type="pct"/>
                  <w:tcBorders>
                    <w:tl2br w:val="nil"/>
                    <w:tr2bl w:val="nil"/>
                  </w:tcBorders>
                  <w:shd w:val="clear" w:color="auto" w:fill="auto"/>
                  <w:vAlign w:val="center"/>
                </w:tcPr>
                <w:p w14:paraId="67A2152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六价铬</w:t>
                  </w:r>
                </w:p>
              </w:tc>
              <w:tc>
                <w:tcPr>
                  <w:tcW w:w="2517" w:type="pct"/>
                  <w:tcBorders>
                    <w:tl2br w:val="nil"/>
                    <w:tr2bl w:val="nil"/>
                  </w:tcBorders>
                  <w:shd w:val="clear" w:color="auto" w:fill="auto"/>
                  <w:vAlign w:val="center"/>
                </w:tcPr>
                <w:p w14:paraId="35A5E13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《生活饮用水标准检验方法第6部分：金属和类金属指标》GB/T5750.6-202313.1二苯碳酰二肼分光光度法</w:t>
                  </w:r>
                </w:p>
              </w:tc>
              <w:tc>
                <w:tcPr>
                  <w:tcW w:w="930" w:type="pct"/>
                  <w:tcBorders>
                    <w:tl2br w:val="nil"/>
                    <w:tr2bl w:val="nil"/>
                  </w:tcBorders>
                  <w:shd w:val="clear" w:color="auto" w:fill="auto"/>
                  <w:vAlign w:val="center"/>
                </w:tcPr>
                <w:p w14:paraId="2A70E70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紫外可见分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5C0C2E7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0.5μg/L</w:t>
                  </w:r>
                </w:p>
              </w:tc>
            </w:tr>
            <w:tr w14:paraId="016971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3214996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34 </w:t>
                  </w:r>
                </w:p>
              </w:tc>
              <w:tc>
                <w:tcPr>
                  <w:tcW w:w="557" w:type="pct"/>
                  <w:tcBorders>
                    <w:tl2br w:val="nil"/>
                    <w:tr2bl w:val="nil"/>
                  </w:tcBorders>
                  <w:shd w:val="clear" w:color="auto" w:fill="auto"/>
                  <w:vAlign w:val="center"/>
                </w:tcPr>
                <w:p w14:paraId="01F8392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挥发酚</w:t>
                  </w:r>
                </w:p>
              </w:tc>
              <w:tc>
                <w:tcPr>
                  <w:tcW w:w="2517" w:type="pct"/>
                  <w:tcBorders>
                    <w:tl2br w:val="nil"/>
                    <w:tr2bl w:val="nil"/>
                  </w:tcBorders>
                  <w:shd w:val="clear" w:color="auto" w:fill="auto"/>
                  <w:vAlign w:val="center"/>
                </w:tcPr>
                <w:p w14:paraId="3C698B4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《水质挥发酚的测定4-氨基安替比林分光度法》HJ503-2009方法1萃取分光光度法</w:t>
                  </w:r>
                </w:p>
              </w:tc>
              <w:tc>
                <w:tcPr>
                  <w:tcW w:w="930" w:type="pct"/>
                  <w:tcBorders>
                    <w:tl2br w:val="nil"/>
                    <w:tr2bl w:val="nil"/>
                  </w:tcBorders>
                  <w:shd w:val="clear" w:color="auto" w:fill="auto"/>
                  <w:vAlign w:val="center"/>
                </w:tcPr>
                <w:p w14:paraId="570F2BB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紫外可见分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0411CDE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0.004mg/L</w:t>
                  </w:r>
                </w:p>
              </w:tc>
            </w:tr>
            <w:tr w14:paraId="5F60BE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115BB79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35 </w:t>
                  </w:r>
                </w:p>
              </w:tc>
              <w:tc>
                <w:tcPr>
                  <w:tcW w:w="557" w:type="pct"/>
                  <w:tcBorders>
                    <w:tl2br w:val="nil"/>
                    <w:tr2bl w:val="nil"/>
                  </w:tcBorders>
                  <w:shd w:val="clear" w:color="auto" w:fill="auto"/>
                  <w:vAlign w:val="center"/>
                </w:tcPr>
                <w:p w14:paraId="4406986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高锰酸盐指数</w:t>
                  </w:r>
                  <w:r>
                    <w:rPr>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 xml:space="preserve">以O₂计 </w:t>
                  </w:r>
                  <w:r>
                    <w:rPr>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2517" w:type="pct"/>
                  <w:tcBorders>
                    <w:tl2br w:val="nil"/>
                    <w:tr2bl w:val="nil"/>
                  </w:tcBorders>
                  <w:shd w:val="clear" w:color="auto" w:fill="auto"/>
                  <w:vAlign w:val="center"/>
                </w:tcPr>
                <w:p w14:paraId="3159CEB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《生活饮用水标准检验方法第7部分：有机物综合指标》GB/T 5750.7-20234.1酸性高锰酸钾滴定法</w:t>
                  </w:r>
                </w:p>
              </w:tc>
              <w:tc>
                <w:tcPr>
                  <w:tcW w:w="930" w:type="pct"/>
                  <w:tcBorders>
                    <w:tl2br w:val="nil"/>
                    <w:tr2bl w:val="nil"/>
                  </w:tcBorders>
                  <w:shd w:val="clear" w:color="auto" w:fill="auto"/>
                  <w:vAlign w:val="center"/>
                </w:tcPr>
                <w:p w14:paraId="33669F4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酸式滴定管</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50mL</w:t>
                  </w:r>
                </w:p>
              </w:tc>
              <w:tc>
                <w:tcPr>
                  <w:tcW w:w="689" w:type="pct"/>
                  <w:tcBorders>
                    <w:tl2br w:val="nil"/>
                    <w:tr2bl w:val="nil"/>
                  </w:tcBorders>
                  <w:shd w:val="clear" w:color="auto" w:fill="auto"/>
                  <w:vAlign w:val="center"/>
                </w:tcPr>
                <w:p w14:paraId="1201F6D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0.0003mg/L</w:t>
                  </w:r>
                </w:p>
              </w:tc>
            </w:tr>
            <w:tr w14:paraId="18E637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07BAE62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36 </w:t>
                  </w:r>
                </w:p>
              </w:tc>
              <w:tc>
                <w:tcPr>
                  <w:tcW w:w="557" w:type="pct"/>
                  <w:tcBorders>
                    <w:tl2br w:val="nil"/>
                    <w:tr2bl w:val="nil"/>
                  </w:tcBorders>
                  <w:shd w:val="clear" w:color="auto" w:fill="auto"/>
                  <w:vAlign w:val="center"/>
                </w:tcPr>
                <w:p w14:paraId="4BAF0B8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氨氮</w:t>
                  </w:r>
                </w:p>
              </w:tc>
              <w:tc>
                <w:tcPr>
                  <w:tcW w:w="2517" w:type="pct"/>
                  <w:tcBorders>
                    <w:tl2br w:val="nil"/>
                    <w:tr2bl w:val="nil"/>
                  </w:tcBorders>
                  <w:shd w:val="clear" w:color="auto" w:fill="auto"/>
                  <w:vAlign w:val="top"/>
                </w:tcPr>
                <w:p w14:paraId="005154D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《水质氨氮的测定纳氏试剂分光光度法》HJ535-2009</w:t>
                  </w:r>
                </w:p>
              </w:tc>
              <w:tc>
                <w:tcPr>
                  <w:tcW w:w="930" w:type="pct"/>
                  <w:tcBorders>
                    <w:tl2br w:val="nil"/>
                    <w:tr2bl w:val="nil"/>
                  </w:tcBorders>
                  <w:shd w:val="clear" w:color="auto" w:fill="auto"/>
                  <w:vAlign w:val="center"/>
                </w:tcPr>
                <w:p w14:paraId="2BACAEA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紫外可见分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227B087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0.05mg/L</w:t>
                  </w:r>
                </w:p>
              </w:tc>
            </w:tr>
            <w:tr w14:paraId="286914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5C317CA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37 </w:t>
                  </w:r>
                </w:p>
              </w:tc>
              <w:tc>
                <w:tcPr>
                  <w:tcW w:w="557" w:type="pct"/>
                  <w:tcBorders>
                    <w:tl2br w:val="nil"/>
                    <w:tr2bl w:val="nil"/>
                  </w:tcBorders>
                  <w:shd w:val="clear" w:color="auto" w:fill="auto"/>
                  <w:vAlign w:val="center"/>
                </w:tcPr>
                <w:p w14:paraId="17038FD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碳酸根</w:t>
                  </w:r>
                </w:p>
              </w:tc>
              <w:tc>
                <w:tcPr>
                  <w:tcW w:w="2517" w:type="pct"/>
                  <w:tcBorders>
                    <w:tl2br w:val="nil"/>
                    <w:tr2bl w:val="nil"/>
                  </w:tcBorders>
                  <w:shd w:val="clear" w:color="auto" w:fill="auto"/>
                  <w:vAlign w:val="center"/>
                </w:tcPr>
                <w:p w14:paraId="355CD0C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《地下水质分析方法第49部分：碳酸根、重碳酸根和氢氧根离子的测定滴定法》DZ/T0064.49-2021</w:t>
                  </w:r>
                </w:p>
              </w:tc>
              <w:tc>
                <w:tcPr>
                  <w:tcW w:w="930" w:type="pct"/>
                  <w:tcBorders>
                    <w:tl2br w:val="nil"/>
                    <w:tr2bl w:val="nil"/>
                  </w:tcBorders>
                  <w:shd w:val="clear" w:color="auto" w:fill="auto"/>
                  <w:vAlign w:val="center"/>
                </w:tcPr>
                <w:p w14:paraId="6935FFC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酸式滴定管</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25mL</w:t>
                  </w:r>
                </w:p>
              </w:tc>
              <w:tc>
                <w:tcPr>
                  <w:tcW w:w="689" w:type="pct"/>
                  <w:tcBorders>
                    <w:tl2br w:val="nil"/>
                    <w:tr2bl w:val="nil"/>
                  </w:tcBorders>
                  <w:shd w:val="clear" w:color="auto" w:fill="auto"/>
                  <w:vAlign w:val="center"/>
                </w:tcPr>
                <w:p w14:paraId="673E26C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0.025mg/L</w:t>
                  </w:r>
                </w:p>
              </w:tc>
            </w:tr>
            <w:tr w14:paraId="1E69FD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571A34C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38 </w:t>
                  </w:r>
                </w:p>
              </w:tc>
              <w:tc>
                <w:tcPr>
                  <w:tcW w:w="557" w:type="pct"/>
                  <w:tcBorders>
                    <w:tl2br w:val="nil"/>
                    <w:tr2bl w:val="nil"/>
                  </w:tcBorders>
                  <w:shd w:val="clear" w:color="auto" w:fill="auto"/>
                  <w:vAlign w:val="center"/>
                </w:tcPr>
                <w:p w14:paraId="7F15ADF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重碳酸根</w:t>
                  </w:r>
                </w:p>
              </w:tc>
              <w:tc>
                <w:tcPr>
                  <w:tcW w:w="2517" w:type="pct"/>
                  <w:tcBorders>
                    <w:tl2br w:val="nil"/>
                    <w:tr2bl w:val="nil"/>
                  </w:tcBorders>
                  <w:shd w:val="clear" w:color="auto" w:fill="auto"/>
                  <w:vAlign w:val="center"/>
                </w:tcPr>
                <w:p w14:paraId="0FFBD38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《地下水质分析方法第49部分：碳酸根、重碳酸根和氢氧根离子的测定滴定法》DZ/T0064.49-2021</w:t>
                  </w:r>
                </w:p>
              </w:tc>
              <w:tc>
                <w:tcPr>
                  <w:tcW w:w="930" w:type="pct"/>
                  <w:tcBorders>
                    <w:tl2br w:val="nil"/>
                    <w:tr2bl w:val="nil"/>
                  </w:tcBorders>
                  <w:shd w:val="clear" w:color="auto" w:fill="auto"/>
                  <w:vAlign w:val="center"/>
                </w:tcPr>
                <w:p w14:paraId="0FEF623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酸式滴定管</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25mL</w:t>
                  </w:r>
                </w:p>
              </w:tc>
              <w:tc>
                <w:tcPr>
                  <w:tcW w:w="689" w:type="pct"/>
                  <w:tcBorders>
                    <w:tl2br w:val="nil"/>
                    <w:tr2bl w:val="nil"/>
                  </w:tcBorders>
                  <w:shd w:val="clear" w:color="auto" w:fill="auto"/>
                  <w:vAlign w:val="center"/>
                </w:tcPr>
                <w:p w14:paraId="11328F6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5mg/L</w:t>
                  </w:r>
                </w:p>
              </w:tc>
            </w:tr>
            <w:tr w14:paraId="291F40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31B1A46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39 </w:t>
                  </w:r>
                </w:p>
              </w:tc>
              <w:tc>
                <w:tcPr>
                  <w:tcW w:w="557" w:type="pct"/>
                  <w:tcBorders>
                    <w:tl2br w:val="nil"/>
                    <w:tr2bl w:val="nil"/>
                  </w:tcBorders>
                  <w:shd w:val="clear" w:color="auto" w:fill="auto"/>
                  <w:vAlign w:val="center"/>
                </w:tcPr>
                <w:p w14:paraId="5EA97D5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石油类</w:t>
                  </w:r>
                </w:p>
              </w:tc>
              <w:tc>
                <w:tcPr>
                  <w:tcW w:w="2517" w:type="pct"/>
                  <w:tcBorders>
                    <w:tl2br w:val="nil"/>
                    <w:tr2bl w:val="nil"/>
                  </w:tcBorders>
                  <w:shd w:val="clear" w:color="auto" w:fill="auto"/>
                  <w:vAlign w:val="center"/>
                </w:tcPr>
                <w:p w14:paraId="3972BAC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《水质石油类和动植物油类的测定红外分光光度法》HJ637-2018</w:t>
                  </w:r>
                </w:p>
              </w:tc>
              <w:tc>
                <w:tcPr>
                  <w:tcW w:w="930" w:type="pct"/>
                  <w:tcBorders>
                    <w:tl2br w:val="nil"/>
                    <w:tr2bl w:val="nil"/>
                  </w:tcBorders>
                  <w:shd w:val="clear" w:color="auto" w:fill="auto"/>
                  <w:vAlign w:val="center"/>
                </w:tcPr>
                <w:p w14:paraId="1642FEA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紫外可见分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光光度计</w:t>
                  </w:r>
                </w:p>
              </w:tc>
              <w:tc>
                <w:tcPr>
                  <w:tcW w:w="689" w:type="pct"/>
                  <w:tcBorders>
                    <w:tl2br w:val="nil"/>
                    <w:tr2bl w:val="nil"/>
                  </w:tcBorders>
                  <w:shd w:val="clear" w:color="auto" w:fill="auto"/>
                  <w:vAlign w:val="center"/>
                </w:tcPr>
                <w:p w14:paraId="6D3D7A2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5mg/L</w:t>
                  </w:r>
                </w:p>
              </w:tc>
            </w:tr>
            <w:tr w14:paraId="374099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55A5CCB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40 </w:t>
                  </w:r>
                </w:p>
              </w:tc>
              <w:tc>
                <w:tcPr>
                  <w:tcW w:w="557" w:type="pct"/>
                  <w:tcBorders>
                    <w:tl2br w:val="nil"/>
                    <w:tr2bl w:val="nil"/>
                  </w:tcBorders>
                  <w:shd w:val="clear" w:color="auto" w:fill="auto"/>
                  <w:vAlign w:val="center"/>
                </w:tcPr>
                <w:p w14:paraId="717653F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三氯甲烷</w:t>
                  </w:r>
                </w:p>
              </w:tc>
              <w:tc>
                <w:tcPr>
                  <w:tcW w:w="2517" w:type="pct"/>
                  <w:tcBorders>
                    <w:tl2br w:val="nil"/>
                    <w:tr2bl w:val="nil"/>
                  </w:tcBorders>
                  <w:shd w:val="clear" w:color="auto" w:fill="auto"/>
                  <w:vAlign w:val="center"/>
                </w:tcPr>
                <w:p w14:paraId="69ACA90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《水质挥发性卤代烃的测定顶空气相色谱法》HJ 620-2011</w:t>
                  </w:r>
                </w:p>
              </w:tc>
              <w:tc>
                <w:tcPr>
                  <w:tcW w:w="930" w:type="pct"/>
                  <w:tcBorders>
                    <w:tl2br w:val="nil"/>
                    <w:tr2bl w:val="nil"/>
                  </w:tcBorders>
                  <w:shd w:val="clear" w:color="auto" w:fill="auto"/>
                  <w:vAlign w:val="center"/>
                </w:tcPr>
                <w:p w14:paraId="6430743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气相色谱仪</w:t>
                  </w:r>
                </w:p>
              </w:tc>
              <w:tc>
                <w:tcPr>
                  <w:tcW w:w="689" w:type="pct"/>
                  <w:tcBorders>
                    <w:tl2br w:val="nil"/>
                    <w:tr2bl w:val="nil"/>
                  </w:tcBorders>
                  <w:shd w:val="clear" w:color="auto" w:fill="auto"/>
                  <w:vAlign w:val="center"/>
                </w:tcPr>
                <w:p w14:paraId="1BEF67C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0.01mg/L</w:t>
                  </w:r>
                </w:p>
              </w:tc>
            </w:tr>
            <w:tr w14:paraId="18B91F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7DDC894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41 </w:t>
                  </w:r>
                </w:p>
              </w:tc>
              <w:tc>
                <w:tcPr>
                  <w:tcW w:w="557" w:type="pct"/>
                  <w:tcBorders>
                    <w:tl2br w:val="nil"/>
                    <w:tr2bl w:val="nil"/>
                  </w:tcBorders>
                  <w:shd w:val="clear" w:color="auto" w:fill="auto"/>
                  <w:vAlign w:val="center"/>
                </w:tcPr>
                <w:p w14:paraId="34C81EE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四氯化碳</w:t>
                  </w:r>
                </w:p>
              </w:tc>
              <w:tc>
                <w:tcPr>
                  <w:tcW w:w="2517" w:type="pct"/>
                  <w:tcBorders>
                    <w:tl2br w:val="nil"/>
                    <w:tr2bl w:val="nil"/>
                  </w:tcBorders>
                  <w:shd w:val="clear" w:color="auto" w:fill="auto"/>
                  <w:vAlign w:val="center"/>
                </w:tcPr>
                <w:p w14:paraId="10C2363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《水质挥发性卤代烃的测定顶空气相色谱法》HJ620-2011</w:t>
                  </w:r>
                </w:p>
              </w:tc>
              <w:tc>
                <w:tcPr>
                  <w:tcW w:w="930" w:type="pct"/>
                  <w:tcBorders>
                    <w:tl2br w:val="nil"/>
                    <w:tr2bl w:val="nil"/>
                  </w:tcBorders>
                  <w:shd w:val="clear" w:color="auto" w:fill="auto"/>
                  <w:vAlign w:val="center"/>
                </w:tcPr>
                <w:p w14:paraId="2D4BCD6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气相色谱仪</w:t>
                  </w:r>
                </w:p>
              </w:tc>
              <w:tc>
                <w:tcPr>
                  <w:tcW w:w="689" w:type="pct"/>
                  <w:tcBorders>
                    <w:tl2br w:val="nil"/>
                    <w:tr2bl w:val="nil"/>
                  </w:tcBorders>
                  <w:shd w:val="clear" w:color="auto" w:fill="auto"/>
                  <w:vAlign w:val="center"/>
                </w:tcPr>
                <w:p w14:paraId="41876D2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0.02μg/L</w:t>
                  </w:r>
                </w:p>
              </w:tc>
            </w:tr>
            <w:tr w14:paraId="5E4FD8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44EAD17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42 </w:t>
                  </w:r>
                </w:p>
              </w:tc>
              <w:tc>
                <w:tcPr>
                  <w:tcW w:w="557" w:type="pct"/>
                  <w:tcBorders>
                    <w:tl2br w:val="nil"/>
                    <w:tr2bl w:val="nil"/>
                  </w:tcBorders>
                  <w:shd w:val="clear" w:color="auto" w:fill="auto"/>
                  <w:vAlign w:val="center"/>
                </w:tcPr>
                <w:p w14:paraId="7A9242F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苯</w:t>
                  </w:r>
                </w:p>
              </w:tc>
              <w:tc>
                <w:tcPr>
                  <w:tcW w:w="2517" w:type="pct"/>
                  <w:tcBorders>
                    <w:tl2br w:val="nil"/>
                    <w:tr2bl w:val="nil"/>
                  </w:tcBorders>
                  <w:shd w:val="clear" w:color="auto" w:fill="auto"/>
                  <w:vAlign w:val="center"/>
                </w:tcPr>
                <w:p w14:paraId="7DCC66A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《水质苯系物的测定顶空/气相色谱法》HJ1067-2019</w:t>
                  </w:r>
                </w:p>
              </w:tc>
              <w:tc>
                <w:tcPr>
                  <w:tcW w:w="930" w:type="pct"/>
                  <w:tcBorders>
                    <w:tl2br w:val="nil"/>
                    <w:tr2bl w:val="nil"/>
                  </w:tcBorders>
                  <w:shd w:val="clear" w:color="auto" w:fill="auto"/>
                  <w:vAlign w:val="center"/>
                </w:tcPr>
                <w:p w14:paraId="1D1B136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气相色谱仪</w:t>
                  </w:r>
                </w:p>
              </w:tc>
              <w:tc>
                <w:tcPr>
                  <w:tcW w:w="689" w:type="pct"/>
                  <w:tcBorders>
                    <w:tl2br w:val="nil"/>
                    <w:tr2bl w:val="nil"/>
                  </w:tcBorders>
                  <w:shd w:val="clear" w:color="auto" w:fill="auto"/>
                  <w:vAlign w:val="center"/>
                </w:tcPr>
                <w:p w14:paraId="59C90F1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0.03μg/L</w:t>
                  </w:r>
                </w:p>
              </w:tc>
            </w:tr>
            <w:tr w14:paraId="72862F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4BB273C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43 </w:t>
                  </w:r>
                </w:p>
              </w:tc>
              <w:tc>
                <w:tcPr>
                  <w:tcW w:w="557" w:type="pct"/>
                  <w:tcBorders>
                    <w:tl2br w:val="nil"/>
                    <w:tr2bl w:val="nil"/>
                  </w:tcBorders>
                  <w:shd w:val="clear" w:color="auto" w:fill="auto"/>
                  <w:vAlign w:val="center"/>
                </w:tcPr>
                <w:p w14:paraId="6118D65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甲苯</w:t>
                  </w:r>
                </w:p>
              </w:tc>
              <w:tc>
                <w:tcPr>
                  <w:tcW w:w="2517" w:type="pct"/>
                  <w:tcBorders>
                    <w:tl2br w:val="nil"/>
                    <w:tr2bl w:val="nil"/>
                  </w:tcBorders>
                  <w:shd w:val="clear" w:color="auto" w:fill="auto"/>
                  <w:vAlign w:val="center"/>
                </w:tcPr>
                <w:p w14:paraId="1693A85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《水质苯系物的测定顶空/气相色谱法》HJ1067-2019</w:t>
                  </w:r>
                </w:p>
              </w:tc>
              <w:tc>
                <w:tcPr>
                  <w:tcW w:w="930" w:type="pct"/>
                  <w:tcBorders>
                    <w:tl2br w:val="nil"/>
                    <w:tr2bl w:val="nil"/>
                  </w:tcBorders>
                  <w:shd w:val="clear" w:color="auto" w:fill="auto"/>
                  <w:vAlign w:val="center"/>
                </w:tcPr>
                <w:p w14:paraId="0A5B62C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气相色谱仪</w:t>
                  </w:r>
                </w:p>
              </w:tc>
              <w:tc>
                <w:tcPr>
                  <w:tcW w:w="689" w:type="pct"/>
                  <w:tcBorders>
                    <w:tl2br w:val="nil"/>
                    <w:tr2bl w:val="nil"/>
                  </w:tcBorders>
                  <w:shd w:val="clear" w:color="auto" w:fill="auto"/>
                  <w:vAlign w:val="center"/>
                </w:tcPr>
                <w:p w14:paraId="707AED9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2μg/L</w:t>
                  </w:r>
                </w:p>
              </w:tc>
            </w:tr>
            <w:tr w14:paraId="0242EF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4692EE7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44 </w:t>
                  </w:r>
                </w:p>
              </w:tc>
              <w:tc>
                <w:tcPr>
                  <w:tcW w:w="557" w:type="pct"/>
                  <w:tcBorders>
                    <w:tl2br w:val="nil"/>
                    <w:tr2bl w:val="nil"/>
                  </w:tcBorders>
                  <w:shd w:val="clear" w:color="auto" w:fill="auto"/>
                  <w:vAlign w:val="center"/>
                </w:tcPr>
                <w:p w14:paraId="13C7874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*铂</w:t>
                  </w:r>
                </w:p>
              </w:tc>
              <w:tc>
                <w:tcPr>
                  <w:tcW w:w="2517" w:type="pct"/>
                  <w:tcBorders>
                    <w:tl2br w:val="nil"/>
                    <w:tr2bl w:val="nil"/>
                  </w:tcBorders>
                  <w:shd w:val="clear" w:color="auto" w:fill="auto"/>
                  <w:vAlign w:val="center"/>
                </w:tcPr>
                <w:p w14:paraId="4F3FCDE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《水质65种元素的测定电感耦合等离子体质谱法》HJ700-2014</w:t>
                  </w:r>
                </w:p>
              </w:tc>
              <w:tc>
                <w:tcPr>
                  <w:tcW w:w="930" w:type="pct"/>
                  <w:tcBorders>
                    <w:tl2br w:val="nil"/>
                    <w:tr2bl w:val="nil"/>
                  </w:tcBorders>
                  <w:shd w:val="clear" w:color="auto" w:fill="auto"/>
                  <w:vAlign w:val="center"/>
                </w:tcPr>
                <w:p w14:paraId="024507D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电感耦合等</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离子体质谱</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仪</w:t>
                  </w:r>
                </w:p>
              </w:tc>
              <w:tc>
                <w:tcPr>
                  <w:tcW w:w="689" w:type="pct"/>
                  <w:tcBorders>
                    <w:tl2br w:val="nil"/>
                    <w:tr2bl w:val="nil"/>
                  </w:tcBorders>
                  <w:shd w:val="clear" w:color="auto" w:fill="auto"/>
                  <w:vAlign w:val="center"/>
                </w:tcPr>
                <w:p w14:paraId="4B1F703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2μg/L</w:t>
                  </w:r>
                </w:p>
              </w:tc>
            </w:tr>
            <w:tr w14:paraId="4827B8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5165DDD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45 </w:t>
                  </w:r>
                </w:p>
              </w:tc>
              <w:tc>
                <w:tcPr>
                  <w:tcW w:w="557" w:type="pct"/>
                  <w:tcBorders>
                    <w:tl2br w:val="nil"/>
                    <w:tr2bl w:val="nil"/>
                  </w:tcBorders>
                  <w:shd w:val="clear" w:color="auto" w:fill="auto"/>
                  <w:vAlign w:val="center"/>
                </w:tcPr>
                <w:p w14:paraId="66921A1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*钯</w:t>
                  </w:r>
                </w:p>
              </w:tc>
              <w:tc>
                <w:tcPr>
                  <w:tcW w:w="2517" w:type="pct"/>
                  <w:tcBorders>
                    <w:tl2br w:val="nil"/>
                    <w:tr2bl w:val="nil"/>
                  </w:tcBorders>
                  <w:shd w:val="clear" w:color="auto" w:fill="auto"/>
                  <w:vAlign w:val="center"/>
                </w:tcPr>
                <w:p w14:paraId="26C76A0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《水质65种元素的测定电感耦合等离子体质谱法》HJ700-2014HJ700-2014</w:t>
                  </w:r>
                </w:p>
              </w:tc>
              <w:tc>
                <w:tcPr>
                  <w:tcW w:w="930" w:type="pct"/>
                  <w:tcBorders>
                    <w:tl2br w:val="nil"/>
                    <w:tr2bl w:val="nil"/>
                  </w:tcBorders>
                  <w:shd w:val="clear" w:color="auto" w:fill="auto"/>
                  <w:vAlign w:val="center"/>
                </w:tcPr>
                <w:p w14:paraId="585DBB0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电感耦合等</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离子体质谱</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仪</w:t>
                  </w:r>
                </w:p>
              </w:tc>
              <w:tc>
                <w:tcPr>
                  <w:tcW w:w="689" w:type="pct"/>
                  <w:tcBorders>
                    <w:tl2br w:val="nil"/>
                    <w:tr2bl w:val="nil"/>
                  </w:tcBorders>
                  <w:shd w:val="clear" w:color="auto" w:fill="auto"/>
                  <w:vAlign w:val="center"/>
                </w:tcPr>
                <w:p w14:paraId="11889F0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0.03μg/L</w:t>
                  </w:r>
                </w:p>
              </w:tc>
            </w:tr>
            <w:tr w14:paraId="09B08C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05" w:type="pct"/>
                  <w:tcBorders>
                    <w:tl2br w:val="nil"/>
                    <w:tr2bl w:val="nil"/>
                  </w:tcBorders>
                  <w:shd w:val="clear" w:color="auto" w:fill="auto"/>
                  <w:vAlign w:val="center"/>
                </w:tcPr>
                <w:p w14:paraId="279E785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46 </w:t>
                  </w:r>
                </w:p>
              </w:tc>
              <w:tc>
                <w:tcPr>
                  <w:tcW w:w="557" w:type="pct"/>
                  <w:tcBorders>
                    <w:tl2br w:val="nil"/>
                    <w:tr2bl w:val="nil"/>
                  </w:tcBorders>
                  <w:shd w:val="clear" w:color="auto" w:fill="auto"/>
                  <w:vAlign w:val="center"/>
                </w:tcPr>
                <w:p w14:paraId="2EC7D70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*钒</w:t>
                  </w:r>
                </w:p>
              </w:tc>
              <w:tc>
                <w:tcPr>
                  <w:tcW w:w="2517" w:type="pct"/>
                  <w:tcBorders>
                    <w:tl2br w:val="nil"/>
                    <w:tr2bl w:val="nil"/>
                  </w:tcBorders>
                  <w:shd w:val="clear" w:color="auto" w:fill="auto"/>
                  <w:vAlign w:val="center"/>
                </w:tcPr>
                <w:p w14:paraId="4A1551C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《水质32种元素的测定电感耦合等离子体发射光谱法》HJ776-2015</w:t>
                  </w:r>
                </w:p>
              </w:tc>
              <w:tc>
                <w:tcPr>
                  <w:tcW w:w="930" w:type="pct"/>
                  <w:tcBorders>
                    <w:tl2br w:val="nil"/>
                    <w:tr2bl w:val="nil"/>
                  </w:tcBorders>
                  <w:shd w:val="clear" w:color="auto" w:fill="auto"/>
                  <w:vAlign w:val="center"/>
                </w:tcPr>
                <w:p w14:paraId="7C2B817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电感耦合等</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离子体质谱</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仪</w:t>
                  </w:r>
                </w:p>
              </w:tc>
              <w:tc>
                <w:tcPr>
                  <w:tcW w:w="689" w:type="pct"/>
                  <w:tcBorders>
                    <w:tl2br w:val="nil"/>
                    <w:tr2bl w:val="nil"/>
                  </w:tcBorders>
                  <w:shd w:val="clear" w:color="auto" w:fill="auto"/>
                  <w:vAlign w:val="center"/>
                </w:tcPr>
                <w:p w14:paraId="159A7D1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0.02μg/L</w:t>
                  </w:r>
                </w:p>
              </w:tc>
            </w:tr>
          </w:tbl>
          <w:p w14:paraId="6770E742">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cs="Times New Roman"/>
                <w:color w:val="000000" w:themeColor="text1"/>
                <w:kern w:val="0"/>
                <w:szCs w:val="21"/>
                <w:highlight w:val="none"/>
                <w14:textFill>
                  <w14:solidFill>
                    <w14:schemeClr w14:val="tx1"/>
                  </w14:solidFill>
                </w14:textFill>
              </w:rPr>
            </w:pPr>
          </w:p>
          <w:p w14:paraId="44F0FC92">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eastAsia" w:cs="Times New Roman"/>
                <w:color w:val="000000" w:themeColor="text1"/>
                <w:kern w:val="0"/>
                <w:szCs w:val="21"/>
                <w:highlight w:val="none"/>
                <w:lang w:eastAsia="zh-CN"/>
                <w14:textFill>
                  <w14:solidFill>
                    <w14:schemeClr w14:val="tx1"/>
                  </w14:solidFill>
                </w14:textFill>
              </w:rPr>
              <w:t>（</w:t>
            </w:r>
            <w:r>
              <w:rPr>
                <w:rFonts w:hint="eastAsia" w:cs="Times New Roman"/>
                <w:color w:val="000000" w:themeColor="text1"/>
                <w:kern w:val="0"/>
                <w:szCs w:val="21"/>
                <w:highlight w:val="none"/>
                <w:lang w:val="en-US" w:eastAsia="zh-CN"/>
                <w14:textFill>
                  <w14:solidFill>
                    <w14:schemeClr w14:val="tx1"/>
                  </w14:solidFill>
                </w14:textFill>
              </w:rPr>
              <w:t>4</w:t>
            </w:r>
            <w:r>
              <w:rPr>
                <w:rFonts w:hint="eastAsia" w:cs="Times New Roman"/>
                <w:color w:val="000000" w:themeColor="text1"/>
                <w:kern w:val="0"/>
                <w:szCs w:val="21"/>
                <w:highlight w:val="none"/>
                <w:lang w:eastAsia="zh-CN"/>
                <w14:textFill>
                  <w14:solidFill>
                    <w14:schemeClr w14:val="tx1"/>
                  </w14:solidFill>
                </w14:textFill>
              </w:rPr>
              <w:t>）</w:t>
            </w:r>
            <w:r>
              <w:rPr>
                <w:rFonts w:hint="eastAsia" w:cs="Times New Roman"/>
                <w:color w:val="000000" w:themeColor="text1"/>
                <w:kern w:val="0"/>
                <w:szCs w:val="21"/>
                <w:highlight w:val="none"/>
                <w:lang w:val="en-US" w:eastAsia="zh-CN"/>
                <w14:textFill>
                  <w14:solidFill>
                    <w14:schemeClr w14:val="tx1"/>
                  </w14:solidFill>
                </w14:textFill>
              </w:rPr>
              <w:t>现状评价</w:t>
            </w:r>
          </w:p>
          <w:p w14:paraId="531BA059">
            <w:pPr>
              <w:adjustRightInd w:val="0"/>
              <w:snapToGrid w:val="0"/>
              <w:spacing w:line="360" w:lineRule="auto"/>
              <w:ind w:firstLine="48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1）评价方法</w:t>
            </w:r>
          </w:p>
          <w:p w14:paraId="3329A0F2">
            <w:pPr>
              <w:adjustRightInd w:val="0"/>
              <w:snapToGrid w:val="0"/>
              <w:spacing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本次评价采用单项评价标准指数法进行评价，当P</w:t>
            </w:r>
            <w:r>
              <w:rPr>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＞1时说明该项水质指标已经超标。标准指数法的计算公式为：</w:t>
            </w:r>
          </w:p>
          <w:p w14:paraId="5F10423F">
            <w:pPr>
              <w:adjustRightInd w:val="0"/>
              <w:snapToGrid w:val="0"/>
              <w:spacing w:line="360" w:lineRule="auto"/>
              <w:ind w:firstLine="48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w:t>
            </w:r>
            <w:r>
              <w:rPr>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=C</w:t>
            </w:r>
            <w:r>
              <w:rPr>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/C</w:t>
            </w:r>
            <w:r>
              <w:rPr>
                <w:color w:val="000000" w:themeColor="text1"/>
                <w:highlight w:val="none"/>
                <w:vertAlign w:val="subscript"/>
                <w14:textFill>
                  <w14:solidFill>
                    <w14:schemeClr w14:val="tx1"/>
                  </w14:solidFill>
                </w14:textFill>
              </w:rPr>
              <w:t>si</w:t>
            </w:r>
          </w:p>
          <w:p w14:paraId="0DCA5F07">
            <w:pPr>
              <w:adjustRightInd w:val="0"/>
              <w:snapToGrid w:val="0"/>
              <w:spacing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式中：P</w:t>
            </w:r>
            <w:r>
              <w:rPr>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——第i个水质因子的标准指数，无量纲；</w:t>
            </w:r>
          </w:p>
          <w:p w14:paraId="27AC57DA">
            <w:pPr>
              <w:adjustRightInd w:val="0"/>
              <w:snapToGrid w:val="0"/>
              <w:spacing w:line="360" w:lineRule="auto"/>
              <w:ind w:firstLine="1200" w:firstLineChars="5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w:t>
            </w:r>
            <w:r>
              <w:rPr>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——第i个水质因子的监测浓度值，mg/L；</w:t>
            </w:r>
          </w:p>
          <w:p w14:paraId="19B3048A">
            <w:pPr>
              <w:adjustRightInd w:val="0"/>
              <w:snapToGrid w:val="0"/>
              <w:spacing w:line="360" w:lineRule="auto"/>
              <w:ind w:firstLine="1200" w:firstLineChars="5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w:t>
            </w:r>
            <w:r>
              <w:rPr>
                <w:color w:val="000000" w:themeColor="text1"/>
                <w:highlight w:val="none"/>
                <w:vertAlign w:val="subscript"/>
                <w14:textFill>
                  <w14:solidFill>
                    <w14:schemeClr w14:val="tx1"/>
                  </w14:solidFill>
                </w14:textFill>
              </w:rPr>
              <w:t>si</w:t>
            </w:r>
            <w:r>
              <w:rPr>
                <w:color w:val="000000" w:themeColor="text1"/>
                <w:highlight w:val="none"/>
                <w14:textFill>
                  <w14:solidFill>
                    <w14:schemeClr w14:val="tx1"/>
                  </w14:solidFill>
                </w14:textFill>
              </w:rPr>
              <w:t>——第i个水质因子的标准浓度值，mg/L。</w:t>
            </w:r>
          </w:p>
          <w:p w14:paraId="03C1DA68">
            <w:pPr>
              <w:adjustRightInd w:val="0"/>
              <w:snapToGrid w:val="0"/>
              <w:spacing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pH的评价标准指数为：</w:t>
            </w:r>
          </w:p>
          <w:p w14:paraId="3EE48B11">
            <w:pPr>
              <w:adjustRightInd w:val="0"/>
              <w:snapToGrid w:val="0"/>
              <w:spacing w:line="360" w:lineRule="auto"/>
              <w:ind w:firstLine="480"/>
              <w:jc w:val="center"/>
              <w:rPr>
                <w:color w:val="000000" w:themeColor="text1"/>
                <w:highlight w:val="none"/>
                <w14:textFill>
                  <w14:solidFill>
                    <w14:schemeClr w14:val="tx1"/>
                  </w14:solidFill>
                </w14:textFill>
              </w:rPr>
            </w:pPr>
            <w:r>
              <w:rPr>
                <w:i/>
                <w:iCs/>
                <w:color w:val="000000" w:themeColor="text1"/>
                <w:highlight w:val="none"/>
                <w14:textFill>
                  <w14:solidFill>
                    <w14:schemeClr w14:val="tx1"/>
                  </w14:solidFill>
                </w14:textFill>
              </w:rPr>
              <w:t>P</w:t>
            </w:r>
            <w:r>
              <w:rPr>
                <w:i/>
                <w:iCs/>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=（7.0－</w:t>
            </w:r>
            <w:r>
              <w:rPr>
                <w:i/>
                <w:iCs/>
                <w:color w:val="000000" w:themeColor="text1"/>
                <w:highlight w:val="none"/>
                <w14:textFill>
                  <w14:solidFill>
                    <w14:schemeClr w14:val="tx1"/>
                  </w14:solidFill>
                </w14:textFill>
              </w:rPr>
              <w:t>C</w:t>
            </w:r>
            <w:r>
              <w:rPr>
                <w:i/>
                <w:iCs/>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）/（7.0－</w:t>
            </w:r>
            <w:r>
              <w:rPr>
                <w:i/>
                <w:iCs/>
                <w:color w:val="000000" w:themeColor="text1"/>
                <w:highlight w:val="none"/>
                <w14:textFill>
                  <w14:solidFill>
                    <w14:schemeClr w14:val="tx1"/>
                  </w14:solidFill>
                </w14:textFill>
              </w:rPr>
              <w:t>C</w:t>
            </w:r>
            <w:r>
              <w:rPr>
                <w:i/>
                <w:iCs/>
                <w:color w:val="000000" w:themeColor="text1"/>
                <w:highlight w:val="none"/>
                <w:vertAlign w:val="subscript"/>
                <w14:textFill>
                  <w14:solidFill>
                    <w14:schemeClr w14:val="tx1"/>
                  </w14:solidFill>
                </w14:textFill>
              </w:rPr>
              <w:t>sd</w:t>
            </w:r>
            <w:r>
              <w:rPr>
                <w:color w:val="000000" w:themeColor="text1"/>
                <w:highlight w:val="none"/>
                <w14:textFill>
                  <w14:solidFill>
                    <w14:schemeClr w14:val="tx1"/>
                  </w14:solidFill>
                </w14:textFill>
              </w:rPr>
              <w:t xml:space="preserve">）       </w:t>
            </w:r>
            <w:r>
              <w:rPr>
                <w:i/>
                <w:iCs/>
                <w:color w:val="000000" w:themeColor="text1"/>
                <w:highlight w:val="none"/>
                <w14:textFill>
                  <w14:solidFill>
                    <w14:schemeClr w14:val="tx1"/>
                  </w14:solidFill>
                </w14:textFill>
              </w:rPr>
              <w:t>C</w:t>
            </w:r>
            <w:r>
              <w:rPr>
                <w:i/>
                <w:iCs/>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≤7.0</w:t>
            </w:r>
          </w:p>
          <w:p w14:paraId="60B7E95C">
            <w:pPr>
              <w:adjustRightInd w:val="0"/>
              <w:snapToGrid w:val="0"/>
              <w:spacing w:line="360" w:lineRule="auto"/>
              <w:ind w:firstLine="480"/>
              <w:jc w:val="center"/>
              <w:rPr>
                <w:color w:val="000000" w:themeColor="text1"/>
                <w:highlight w:val="none"/>
                <w14:textFill>
                  <w14:solidFill>
                    <w14:schemeClr w14:val="tx1"/>
                  </w14:solidFill>
                </w14:textFill>
              </w:rPr>
            </w:pPr>
            <w:r>
              <w:rPr>
                <w:i/>
                <w:iCs/>
                <w:color w:val="000000" w:themeColor="text1"/>
                <w:highlight w:val="none"/>
                <w14:textFill>
                  <w14:solidFill>
                    <w14:schemeClr w14:val="tx1"/>
                  </w14:solidFill>
                </w14:textFill>
              </w:rPr>
              <w:t>P</w:t>
            </w:r>
            <w:r>
              <w:rPr>
                <w:i/>
                <w:iCs/>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w:t>
            </w:r>
            <w:r>
              <w:rPr>
                <w:i/>
                <w:iCs/>
                <w:color w:val="000000" w:themeColor="text1"/>
                <w:highlight w:val="none"/>
                <w14:textFill>
                  <w14:solidFill>
                    <w14:schemeClr w14:val="tx1"/>
                  </w14:solidFill>
                </w14:textFill>
              </w:rPr>
              <w:t>C</w:t>
            </w:r>
            <w:r>
              <w:rPr>
                <w:i/>
                <w:iCs/>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－7.0）/（</w:t>
            </w:r>
            <w:r>
              <w:rPr>
                <w:i/>
                <w:iCs/>
                <w:color w:val="000000" w:themeColor="text1"/>
                <w:highlight w:val="none"/>
                <w14:textFill>
                  <w14:solidFill>
                    <w14:schemeClr w14:val="tx1"/>
                  </w14:solidFill>
                </w14:textFill>
              </w:rPr>
              <w:t>C</w:t>
            </w:r>
            <w:r>
              <w:rPr>
                <w:i/>
                <w:iCs/>
                <w:color w:val="000000" w:themeColor="text1"/>
                <w:highlight w:val="none"/>
                <w:vertAlign w:val="subscript"/>
                <w14:textFill>
                  <w14:solidFill>
                    <w14:schemeClr w14:val="tx1"/>
                  </w14:solidFill>
                </w14:textFill>
              </w:rPr>
              <w:t>su</w:t>
            </w:r>
            <w:r>
              <w:rPr>
                <w:color w:val="000000" w:themeColor="text1"/>
                <w:highlight w:val="none"/>
                <w14:textFill>
                  <w14:solidFill>
                    <w14:schemeClr w14:val="tx1"/>
                  </w14:solidFill>
                </w14:textFill>
              </w:rPr>
              <w:t xml:space="preserve">－7.0）       </w:t>
            </w:r>
            <w:r>
              <w:rPr>
                <w:i/>
                <w:iCs/>
                <w:color w:val="000000" w:themeColor="text1"/>
                <w:highlight w:val="none"/>
                <w14:textFill>
                  <w14:solidFill>
                    <w14:schemeClr w14:val="tx1"/>
                  </w14:solidFill>
                </w14:textFill>
              </w:rPr>
              <w:t>C</w:t>
            </w:r>
            <w:r>
              <w:rPr>
                <w:i/>
                <w:iCs/>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&gt;7.0</w:t>
            </w:r>
          </w:p>
          <w:p w14:paraId="0A8054A1">
            <w:pPr>
              <w:adjustRightInd w:val="0"/>
              <w:snapToGrid w:val="0"/>
              <w:spacing w:line="360" w:lineRule="auto"/>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式中：</w:t>
            </w:r>
            <w:r>
              <w:rPr>
                <w:i/>
                <w:iCs/>
                <w:color w:val="000000" w:themeColor="text1"/>
                <w:highlight w:val="none"/>
                <w14:textFill>
                  <w14:solidFill>
                    <w14:schemeClr w14:val="tx1"/>
                  </w14:solidFill>
                </w14:textFill>
              </w:rPr>
              <w:t>C</w:t>
            </w:r>
            <w:r>
              <w:rPr>
                <w:i/>
                <w:iCs/>
                <w:color w:val="000000" w:themeColor="text1"/>
                <w:highlight w:val="none"/>
                <w:vertAlign w:val="subscript"/>
                <w14:textFill>
                  <w14:solidFill>
                    <w14:schemeClr w14:val="tx1"/>
                  </w14:solidFill>
                </w14:textFill>
              </w:rPr>
              <w:t>i</w:t>
            </w:r>
            <w:r>
              <w:rPr>
                <w:color w:val="000000" w:themeColor="text1"/>
                <w:highlight w:val="none"/>
                <w14:textFill>
                  <w14:solidFill>
                    <w14:schemeClr w14:val="tx1"/>
                  </w14:solidFill>
                </w14:textFill>
              </w:rPr>
              <w:t>——水样实测pH值；</w:t>
            </w:r>
          </w:p>
          <w:p w14:paraId="783B4EAB">
            <w:pPr>
              <w:adjustRightInd w:val="0"/>
              <w:snapToGrid w:val="0"/>
              <w:spacing w:line="360" w:lineRule="auto"/>
              <w:ind w:firstLine="1200" w:firstLineChars="500"/>
              <w:rPr>
                <w:color w:val="000000" w:themeColor="text1"/>
                <w:highlight w:val="none"/>
                <w14:textFill>
                  <w14:solidFill>
                    <w14:schemeClr w14:val="tx1"/>
                  </w14:solidFill>
                </w14:textFill>
              </w:rPr>
            </w:pPr>
            <w:r>
              <w:rPr>
                <w:i/>
                <w:iCs/>
                <w:color w:val="000000" w:themeColor="text1"/>
                <w:highlight w:val="none"/>
                <w14:textFill>
                  <w14:solidFill>
                    <w14:schemeClr w14:val="tx1"/>
                  </w14:solidFill>
                </w14:textFill>
              </w:rPr>
              <w:t>C</w:t>
            </w:r>
            <w:r>
              <w:rPr>
                <w:i/>
                <w:iCs/>
                <w:color w:val="000000" w:themeColor="text1"/>
                <w:highlight w:val="none"/>
                <w:vertAlign w:val="subscript"/>
                <w14:textFill>
                  <w14:solidFill>
                    <w14:schemeClr w14:val="tx1"/>
                  </w14:solidFill>
                </w14:textFill>
              </w:rPr>
              <w:t>sd</w:t>
            </w:r>
            <w:r>
              <w:rPr>
                <w:color w:val="000000" w:themeColor="text1"/>
                <w:highlight w:val="none"/>
                <w14:textFill>
                  <w14:solidFill>
                    <w14:schemeClr w14:val="tx1"/>
                  </w14:solidFill>
                </w14:textFill>
              </w:rPr>
              <w:t>——评价标准规定的下限值；</w:t>
            </w:r>
          </w:p>
          <w:p w14:paraId="16460071">
            <w:pPr>
              <w:adjustRightInd w:val="0"/>
              <w:snapToGrid w:val="0"/>
              <w:spacing w:line="360" w:lineRule="auto"/>
              <w:ind w:firstLine="1200" w:firstLineChars="500"/>
              <w:rPr>
                <w:color w:val="000000" w:themeColor="text1"/>
                <w:highlight w:val="none"/>
                <w14:textFill>
                  <w14:solidFill>
                    <w14:schemeClr w14:val="tx1"/>
                  </w14:solidFill>
                </w14:textFill>
              </w:rPr>
            </w:pPr>
            <w:r>
              <w:rPr>
                <w:i/>
                <w:iCs/>
                <w:color w:val="000000" w:themeColor="text1"/>
                <w:highlight w:val="none"/>
                <w14:textFill>
                  <w14:solidFill>
                    <w14:schemeClr w14:val="tx1"/>
                  </w14:solidFill>
                </w14:textFill>
              </w:rPr>
              <w:t>C</w:t>
            </w:r>
            <w:r>
              <w:rPr>
                <w:i/>
                <w:iCs/>
                <w:color w:val="000000" w:themeColor="text1"/>
                <w:highlight w:val="none"/>
                <w:vertAlign w:val="subscript"/>
                <w14:textFill>
                  <w14:solidFill>
                    <w14:schemeClr w14:val="tx1"/>
                  </w14:solidFill>
                </w14:textFill>
              </w:rPr>
              <w:t>su</w:t>
            </w:r>
            <w:r>
              <w:rPr>
                <w:color w:val="000000" w:themeColor="text1"/>
                <w:highlight w:val="none"/>
                <w14:textFill>
                  <w14:solidFill>
                    <w14:schemeClr w14:val="tx1"/>
                  </w14:solidFill>
                </w14:textFill>
              </w:rPr>
              <w:t>——评价标准规定的上限值。</w:t>
            </w:r>
          </w:p>
          <w:p w14:paraId="03981F10">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cs="Times New Roman"/>
                <w:color w:val="000000" w:themeColor="text1"/>
                <w:kern w:val="0"/>
                <w:szCs w:val="21"/>
                <w:highlight w:val="none"/>
                <w:lang w:val="en-US" w:eastAsia="zh-CN"/>
                <w14:textFill>
                  <w14:solidFill>
                    <w14:schemeClr w14:val="tx1"/>
                  </w14:solidFill>
                </w14:textFill>
              </w:rPr>
            </w:pPr>
            <w:r>
              <w:rPr>
                <w:rFonts w:hint="eastAsia" w:cs="Times New Roman"/>
                <w:color w:val="000000" w:themeColor="text1"/>
                <w:kern w:val="0"/>
                <w:szCs w:val="21"/>
                <w:highlight w:val="none"/>
                <w:lang w:val="en-US" w:eastAsia="zh-CN"/>
                <w14:textFill>
                  <w14:solidFill>
                    <w14:schemeClr w14:val="tx1"/>
                  </w14:solidFill>
                </w14:textFill>
              </w:rPr>
              <w:t>2）评价标准</w:t>
            </w:r>
          </w:p>
          <w:p w14:paraId="098E1383">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cs="Times New Roman"/>
                <w:color w:val="000000" w:themeColor="text1"/>
                <w:kern w:val="0"/>
                <w:szCs w:val="21"/>
                <w:highlight w:val="none"/>
                <w:lang w:val="en-US" w:eastAsia="zh-CN"/>
                <w14:textFill>
                  <w14:solidFill>
                    <w14:schemeClr w14:val="tx1"/>
                  </w14:solidFill>
                </w14:textFill>
              </w:rPr>
            </w:pPr>
            <w:r>
              <w:rPr>
                <w:rFonts w:hint="default" w:cs="Times New Roman"/>
                <w:color w:val="000000" w:themeColor="text1"/>
                <w:kern w:val="0"/>
                <w:szCs w:val="21"/>
                <w:highlight w:val="none"/>
                <w:lang w:val="en-US" w:eastAsia="zh-CN"/>
                <w14:textFill>
                  <w14:solidFill>
                    <w14:schemeClr w14:val="tx1"/>
                  </w14:solidFill>
                </w14:textFill>
              </w:rPr>
              <w:t>地下水环境质量现状评价标准因子执行《地下水质量标准》（GB/T14848-2017）中的Ⅲ类标准。</w:t>
            </w:r>
          </w:p>
          <w:p w14:paraId="155CAB73">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3）评价结果</w:t>
            </w:r>
          </w:p>
          <w:p w14:paraId="3D083815">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根据评价方法及评价标准，对现状监测结果进行评价，并对评价结果进行分析。监测及评价结果见下表</w:t>
            </w:r>
            <w:r>
              <w:rPr>
                <w:rFonts w:hint="eastAsia" w:cs="Times New Roman"/>
                <w:color w:val="000000" w:themeColor="text1"/>
                <w:kern w:val="0"/>
                <w:szCs w:val="21"/>
                <w:highlight w:val="none"/>
                <w:lang w:val="en-US" w:eastAsia="zh-CN"/>
                <w14:textFill>
                  <w14:solidFill>
                    <w14:schemeClr w14:val="tx1"/>
                  </w14:solidFill>
                </w14:textFill>
              </w:rPr>
              <w:t>3-3和3-4</w:t>
            </w:r>
            <w:r>
              <w:rPr>
                <w:rFonts w:hint="default" w:ascii="Times New Roman" w:hAnsi="Times New Roman" w:cs="Times New Roman"/>
                <w:color w:val="000000" w:themeColor="text1"/>
                <w:kern w:val="0"/>
                <w:szCs w:val="21"/>
                <w:highlight w:val="none"/>
                <w14:textFill>
                  <w14:solidFill>
                    <w14:schemeClr w14:val="tx1"/>
                  </w14:solidFill>
                </w14:textFill>
              </w:rPr>
              <w:t>。</w:t>
            </w:r>
          </w:p>
          <w:p w14:paraId="0BA2CB24">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由监测结果可知</w:t>
            </w:r>
            <w:r>
              <w:rPr>
                <w:rFonts w:hint="eastAsia"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cs="Times New Roman"/>
                <w:color w:val="000000" w:themeColor="text1"/>
                <w:kern w:val="0"/>
                <w:szCs w:val="21"/>
                <w:highlight w:val="none"/>
                <w14:textFill>
                  <w14:solidFill>
                    <w14:schemeClr w14:val="tx1"/>
                  </w14:solidFill>
                </w14:textFill>
              </w:rPr>
              <w:t>7#小沙湖度假村监测点总硬度、TDS、Cl</w:t>
            </w:r>
            <w:r>
              <w:rPr>
                <w:rFonts w:hint="default" w:ascii="Times New Roman" w:hAnsi="Times New Roman" w:cs="Times New Roman"/>
                <w:color w:val="000000" w:themeColor="text1"/>
                <w:kern w:val="0"/>
                <w:szCs w:val="21"/>
                <w:highlight w:val="none"/>
                <w:vertAlign w:val="superscript"/>
                <w14:textFill>
                  <w14:solidFill>
                    <w14:schemeClr w14:val="tx1"/>
                  </w14:solidFill>
                </w14:textFill>
              </w:rPr>
              <w:t>-</w:t>
            </w:r>
            <w:r>
              <w:rPr>
                <w:rFonts w:hint="default" w:ascii="Times New Roman" w:hAnsi="Times New Roman" w:cs="Times New Roman"/>
                <w:color w:val="000000" w:themeColor="text1"/>
                <w:kern w:val="0"/>
                <w:szCs w:val="21"/>
                <w:highlight w:val="none"/>
                <w14:textFill>
                  <w14:solidFill>
                    <w14:schemeClr w14:val="tx1"/>
                  </w14:solidFill>
                </w14:textFill>
              </w:rPr>
              <w:t>、SO</w:t>
            </w:r>
            <w:r>
              <w:rPr>
                <w:rFonts w:hint="default" w:ascii="Times New Roman" w:hAnsi="Times New Roman" w:cs="Times New Roman"/>
                <w:color w:val="000000" w:themeColor="text1"/>
                <w:kern w:val="0"/>
                <w:szCs w:val="21"/>
                <w:highlight w:val="none"/>
                <w:vertAlign w:val="subscript"/>
                <w14:textFill>
                  <w14:solidFill>
                    <w14:schemeClr w14:val="tx1"/>
                  </w14:solidFill>
                </w14:textFill>
              </w:rPr>
              <w:t>4</w:t>
            </w:r>
            <w:r>
              <w:rPr>
                <w:rFonts w:hint="default" w:ascii="Times New Roman" w:hAnsi="Times New Roman" w:cs="Times New Roman"/>
                <w:color w:val="000000" w:themeColor="text1"/>
                <w:kern w:val="0"/>
                <w:szCs w:val="21"/>
                <w:highlight w:val="none"/>
                <w:vertAlign w:val="superscript"/>
                <w14:textFill>
                  <w14:solidFill>
                    <w14:schemeClr w14:val="tx1"/>
                  </w14:solidFill>
                </w14:textFill>
              </w:rPr>
              <w:t>2-</w:t>
            </w:r>
            <w:r>
              <w:rPr>
                <w:rFonts w:hint="default" w:ascii="Times New Roman" w:hAnsi="Times New Roman" w:cs="Times New Roman"/>
                <w:color w:val="000000" w:themeColor="text1"/>
                <w:kern w:val="0"/>
                <w:szCs w:val="21"/>
                <w:highlight w:val="none"/>
                <w14:textFill>
                  <w14:solidFill>
                    <w14:schemeClr w14:val="tx1"/>
                  </w14:solidFill>
                </w14:textFill>
              </w:rPr>
              <w:t>、Na</w:t>
            </w:r>
            <w:r>
              <w:rPr>
                <w:rFonts w:hint="default" w:ascii="Times New Roman" w:hAnsi="Times New Roman" w:cs="Times New Roman"/>
                <w:color w:val="000000" w:themeColor="text1"/>
                <w:kern w:val="0"/>
                <w:szCs w:val="21"/>
                <w:highlight w:val="none"/>
                <w:vertAlign w:val="superscript"/>
                <w14:textFill>
                  <w14:solidFill>
                    <w14:schemeClr w14:val="tx1"/>
                  </w14:solidFill>
                </w14:textFill>
              </w:rPr>
              <w:t>+</w:t>
            </w:r>
            <w:r>
              <w:rPr>
                <w:rFonts w:hint="default" w:ascii="Times New Roman" w:hAnsi="Times New Roman" w:cs="Times New Roman"/>
                <w:color w:val="000000" w:themeColor="text1"/>
                <w:kern w:val="0"/>
                <w:szCs w:val="21"/>
                <w:highlight w:val="none"/>
                <w14:textFill>
                  <w14:solidFill>
                    <w14:schemeClr w14:val="tx1"/>
                  </w14:solidFill>
                </w14:textFill>
              </w:rPr>
              <w:t>存在超标情况，其余各监测指标均满足《地下水质量标准》（GB/T14848-2017）</w:t>
            </w:r>
            <w:r>
              <w:rPr>
                <w:rFonts w:hint="eastAsia" w:cs="Times New Roman"/>
                <w:color w:val="000000" w:themeColor="text1"/>
                <w:kern w:val="0"/>
                <w:szCs w:val="21"/>
                <w:highlight w:val="none"/>
                <w:lang w:eastAsia="zh-CN"/>
                <w14:textFill>
                  <w14:solidFill>
                    <w14:schemeClr w14:val="tx1"/>
                  </w14:solidFill>
                </w14:textFill>
              </w:rPr>
              <w:t>Ⅲ类</w:t>
            </w:r>
            <w:r>
              <w:rPr>
                <w:rFonts w:hint="default" w:ascii="Times New Roman" w:hAnsi="Times New Roman" w:cs="Times New Roman"/>
                <w:color w:val="000000" w:themeColor="text1"/>
                <w:kern w:val="0"/>
                <w:szCs w:val="21"/>
                <w:highlight w:val="none"/>
                <w14:textFill>
                  <w14:solidFill>
                    <w14:schemeClr w14:val="tx1"/>
                  </w14:solidFill>
                </w14:textFill>
              </w:rPr>
              <w:t>标准限值要求。</w:t>
            </w:r>
          </w:p>
          <w:p w14:paraId="59FB4469">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结合场区踏勘情况分析，7#小沙湖度假村水质超标原因为由于人工开采、灌溉等其他原因，导致监测点深层地下水与浅层地下水混合，造成总硬度、TDS、Cl</w:t>
            </w:r>
            <w:r>
              <w:rPr>
                <w:rFonts w:hint="default" w:ascii="Times New Roman" w:hAnsi="Times New Roman" w:cs="Times New Roman"/>
                <w:color w:val="000000" w:themeColor="text1"/>
                <w:kern w:val="0"/>
                <w:szCs w:val="21"/>
                <w:highlight w:val="none"/>
                <w:vertAlign w:val="superscript"/>
                <w14:textFill>
                  <w14:solidFill>
                    <w14:schemeClr w14:val="tx1"/>
                  </w14:solidFill>
                </w14:textFill>
              </w:rPr>
              <w:t>-</w:t>
            </w:r>
            <w:r>
              <w:rPr>
                <w:rFonts w:hint="default" w:ascii="Times New Roman" w:hAnsi="Times New Roman" w:cs="Times New Roman"/>
                <w:color w:val="000000" w:themeColor="text1"/>
                <w:kern w:val="0"/>
                <w:szCs w:val="21"/>
                <w:highlight w:val="none"/>
                <w14:textFill>
                  <w14:solidFill>
                    <w14:schemeClr w14:val="tx1"/>
                  </w14:solidFill>
                </w14:textFill>
              </w:rPr>
              <w:t>、SO</w:t>
            </w:r>
            <w:r>
              <w:rPr>
                <w:rFonts w:hint="default" w:ascii="Times New Roman" w:hAnsi="Times New Roman" w:cs="Times New Roman"/>
                <w:color w:val="000000" w:themeColor="text1"/>
                <w:kern w:val="0"/>
                <w:szCs w:val="21"/>
                <w:highlight w:val="none"/>
                <w:vertAlign w:val="subscript"/>
                <w14:textFill>
                  <w14:solidFill>
                    <w14:schemeClr w14:val="tx1"/>
                  </w14:solidFill>
                </w14:textFill>
              </w:rPr>
              <w:t>4</w:t>
            </w:r>
            <w:r>
              <w:rPr>
                <w:rFonts w:hint="default" w:ascii="Times New Roman" w:hAnsi="Times New Roman" w:cs="Times New Roman"/>
                <w:color w:val="000000" w:themeColor="text1"/>
                <w:kern w:val="0"/>
                <w:szCs w:val="21"/>
                <w:highlight w:val="none"/>
                <w:vertAlign w:val="superscript"/>
                <w14:textFill>
                  <w14:solidFill>
                    <w14:schemeClr w14:val="tx1"/>
                  </w14:solidFill>
                </w14:textFill>
              </w:rPr>
              <w:t>2-</w:t>
            </w:r>
            <w:r>
              <w:rPr>
                <w:rFonts w:hint="default" w:ascii="Times New Roman" w:hAnsi="Times New Roman" w:cs="Times New Roman"/>
                <w:color w:val="000000" w:themeColor="text1"/>
                <w:kern w:val="0"/>
                <w:szCs w:val="21"/>
                <w:highlight w:val="none"/>
                <w14:textFill>
                  <w14:solidFill>
                    <w14:schemeClr w14:val="tx1"/>
                  </w14:solidFill>
                </w14:textFill>
              </w:rPr>
              <w:t>、Na</w:t>
            </w:r>
            <w:r>
              <w:rPr>
                <w:rFonts w:hint="default" w:ascii="Times New Roman" w:hAnsi="Times New Roman" w:cs="Times New Roman"/>
                <w:color w:val="000000" w:themeColor="text1"/>
                <w:kern w:val="0"/>
                <w:szCs w:val="21"/>
                <w:highlight w:val="none"/>
                <w:vertAlign w:val="superscript"/>
                <w14:textFill>
                  <w14:solidFill>
                    <w14:schemeClr w14:val="tx1"/>
                  </w14:solidFill>
                </w14:textFill>
              </w:rPr>
              <w:t>+</w:t>
            </w:r>
            <w:r>
              <w:rPr>
                <w:rFonts w:hint="default" w:ascii="Times New Roman" w:hAnsi="Times New Roman" w:cs="Times New Roman"/>
                <w:color w:val="000000" w:themeColor="text1"/>
                <w:kern w:val="0"/>
                <w:szCs w:val="21"/>
                <w:highlight w:val="none"/>
                <w14:textFill>
                  <w14:solidFill>
                    <w14:schemeClr w14:val="tx1"/>
                  </w14:solidFill>
                </w14:textFill>
              </w:rPr>
              <w:t>等因子超标。</w:t>
            </w:r>
          </w:p>
          <w:p w14:paraId="77EE25AF">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b/>
                <w:bCs/>
                <w:color w:val="000000" w:themeColor="text1"/>
                <w:kern w:val="0"/>
                <w:szCs w:val="21"/>
                <w:highlight w:val="none"/>
                <w:lang w:val="en-US" w:eastAsia="zh-CN"/>
                <w14:textFill>
                  <w14:solidFill>
                    <w14:schemeClr w14:val="tx1"/>
                  </w14:solidFill>
                </w14:textFill>
              </w:rPr>
            </w:pPr>
            <w:r>
              <w:rPr>
                <w:rFonts w:hint="eastAsia" w:cs="Times New Roman"/>
                <w:b/>
                <w:bCs/>
                <w:color w:val="000000" w:themeColor="text1"/>
                <w:kern w:val="0"/>
                <w:szCs w:val="21"/>
                <w:highlight w:val="none"/>
                <w:lang w:val="en-US" w:eastAsia="zh-CN"/>
                <w14:textFill>
                  <w14:solidFill>
                    <w14:schemeClr w14:val="tx1"/>
                  </w14:solidFill>
                </w14:textFill>
              </w:rPr>
              <w:t>4、声环境质量现状</w:t>
            </w:r>
          </w:p>
          <w:p w14:paraId="641AA546">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评价区位于</w:t>
            </w:r>
            <w:r>
              <w:rPr>
                <w:rFonts w:hint="eastAsia" w:cs="Times New Roman"/>
                <w:color w:val="000000" w:themeColor="text1"/>
                <w:kern w:val="0"/>
                <w:szCs w:val="21"/>
                <w:highlight w:val="none"/>
                <w:lang w:val="en-US" w:eastAsia="zh-CN"/>
                <w14:textFill>
                  <w14:solidFill>
                    <w14:schemeClr w14:val="tx1"/>
                  </w14:solidFill>
                </w14:textFill>
              </w:rPr>
              <w:t>磴口县巴彦高勒镇</w:t>
            </w:r>
            <w:r>
              <w:rPr>
                <w:rFonts w:hint="default" w:ascii="Times New Roman" w:hAnsi="Times New Roman" w:cs="Times New Roman"/>
                <w:color w:val="000000" w:themeColor="text1"/>
                <w:kern w:val="0"/>
                <w:szCs w:val="21"/>
                <w:highlight w:val="none"/>
                <w14:textFill>
                  <w14:solidFill>
                    <w14:schemeClr w14:val="tx1"/>
                  </w14:solidFill>
                </w14:textFill>
              </w:rPr>
              <w:t>，项目声环境功能区属于2类区域，</w:t>
            </w:r>
            <w:r>
              <w:rPr>
                <w:rFonts w:hint="eastAsia" w:cs="Times New Roman"/>
                <w:color w:val="000000" w:themeColor="text1"/>
                <w:kern w:val="0"/>
                <w:szCs w:val="21"/>
                <w:highlight w:val="none"/>
                <w:lang w:eastAsia="zh-CN"/>
                <w14:textFill>
                  <w14:solidFill>
                    <w14:schemeClr w14:val="tx1"/>
                  </w14:solidFill>
                </w14:textFill>
              </w:rPr>
              <w:t>执行《</w:t>
            </w:r>
            <w:r>
              <w:rPr>
                <w:rFonts w:hint="default" w:ascii="Times New Roman" w:hAnsi="Times New Roman" w:cs="Times New Roman"/>
                <w:color w:val="000000" w:themeColor="text1"/>
                <w:kern w:val="0"/>
                <w:szCs w:val="21"/>
                <w:highlight w:val="none"/>
                <w14:textFill>
                  <w14:solidFill>
                    <w14:schemeClr w14:val="tx1"/>
                  </w14:solidFill>
                </w14:textFill>
              </w:rPr>
              <w:t>声环境质量标准》（GB3096-2008）中的2类标准。</w:t>
            </w:r>
          </w:p>
          <w:p w14:paraId="043EB206">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项目厂界外50m范围内不存在声环境保护目标，故不开展声环境质量现状调查。</w:t>
            </w:r>
          </w:p>
          <w:p w14:paraId="74FAC5B3">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b/>
                <w:bCs/>
                <w:color w:val="000000" w:themeColor="text1"/>
                <w:kern w:val="0"/>
                <w:szCs w:val="21"/>
                <w:highlight w:val="none"/>
                <w:lang w:val="en-US" w:eastAsia="zh-CN"/>
                <w14:textFill>
                  <w14:solidFill>
                    <w14:schemeClr w14:val="tx1"/>
                  </w14:solidFill>
                </w14:textFill>
              </w:rPr>
            </w:pPr>
            <w:r>
              <w:rPr>
                <w:rFonts w:hint="eastAsia" w:cs="Times New Roman"/>
                <w:b/>
                <w:bCs/>
                <w:color w:val="000000" w:themeColor="text1"/>
                <w:kern w:val="0"/>
                <w:szCs w:val="21"/>
                <w:highlight w:val="none"/>
                <w:lang w:val="en-US" w:eastAsia="zh-CN"/>
                <w14:textFill>
                  <w14:solidFill>
                    <w14:schemeClr w14:val="tx1"/>
                  </w14:solidFill>
                </w14:textFill>
              </w:rPr>
              <w:t>5、生态环境质量现状</w:t>
            </w:r>
          </w:p>
          <w:p w14:paraId="25A52DC9">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eastAsia" w:cs="Times New Roman"/>
                <w:color w:val="000000" w:themeColor="text1"/>
                <w:kern w:val="0"/>
                <w:szCs w:val="21"/>
                <w:highlight w:val="none"/>
                <w:lang w:val="en-US" w:eastAsia="zh-CN"/>
                <w14:textFill>
                  <w14:solidFill>
                    <w14:schemeClr w14:val="tx1"/>
                  </w14:solidFill>
                </w14:textFill>
              </w:rPr>
              <w:t>本项目不新增用地，可不进行生态现状调查。</w:t>
            </w:r>
          </w:p>
          <w:p w14:paraId="21182EF4">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cs="Times New Roman"/>
                <w:color w:val="000000" w:themeColor="text1"/>
                <w:kern w:val="0"/>
                <w:szCs w:val="21"/>
                <w:highlight w:val="none"/>
                <w14:textFill>
                  <w14:solidFill>
                    <w14:schemeClr w14:val="tx1"/>
                  </w14:solidFill>
                </w14:textFill>
              </w:rPr>
            </w:pPr>
          </w:p>
        </w:tc>
      </w:tr>
    </w:tbl>
    <w:p w14:paraId="1625B5C7">
      <w:pPr>
        <w:rPr>
          <w:color w:val="000000" w:themeColor="text1"/>
          <w:highlight w:val="none"/>
          <w14:textFill>
            <w14:solidFill>
              <w14:schemeClr w14:val="tx1"/>
            </w14:solidFill>
          </w14:textFill>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3"/>
        <w:gridCol w:w="12339"/>
      </w:tblGrid>
      <w:tr w14:paraId="25A4A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3" w:type="dxa"/>
            <w:vAlign w:val="center"/>
          </w:tcPr>
          <w:p w14:paraId="44A5DBF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区域</w:t>
            </w:r>
          </w:p>
          <w:p w14:paraId="77F670E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环境</w:t>
            </w:r>
          </w:p>
          <w:p w14:paraId="49257D7C">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质量</w:t>
            </w:r>
          </w:p>
          <w:p w14:paraId="0A27C2D4">
            <w:pPr>
              <w:keepNext w:val="0"/>
              <w:keepLines w:val="0"/>
              <w:pageBreakBefore w:val="0"/>
              <w:widowControl w:val="0"/>
              <w:kinsoku/>
              <w:wordWrap/>
              <w:overflowPunct/>
              <w:topLinePunct w:val="0"/>
              <w:autoSpaceDE/>
              <w:autoSpaceDN/>
              <w:bidi w:val="0"/>
              <w:adjustRightInd w:val="0"/>
              <w:snapToGrid w:val="0"/>
              <w:jc w:val="center"/>
              <w:textAlignment w:val="auto"/>
              <w:rPr>
                <w:color w:val="000000" w:themeColor="text1"/>
                <w:highlight w:val="none"/>
                <w:vertAlign w:val="baseli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现状</w:t>
            </w:r>
          </w:p>
        </w:tc>
        <w:tc>
          <w:tcPr>
            <w:tcW w:w="12339" w:type="dxa"/>
          </w:tcPr>
          <w:p w14:paraId="72D820CF">
            <w:pPr>
              <w:pStyle w:val="20"/>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 xml:space="preserve">3-4  </w:t>
            </w:r>
            <w:r>
              <w:rPr>
                <w:rFonts w:hint="default"/>
                <w:color w:val="000000" w:themeColor="text1"/>
                <w:highlight w:val="none"/>
                <w14:textFill>
                  <w14:solidFill>
                    <w14:schemeClr w14:val="tx1"/>
                  </w14:solidFill>
                </w14:textFill>
              </w:rPr>
              <w:t>地下水现状监测结果统计表</w:t>
            </w:r>
          </w:p>
          <w:tbl>
            <w:tblPr>
              <w:tblStyle w:val="12"/>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977"/>
              <w:gridCol w:w="4636"/>
              <w:gridCol w:w="2196"/>
              <w:gridCol w:w="12"/>
              <w:gridCol w:w="2532"/>
              <w:gridCol w:w="1738"/>
            </w:tblGrid>
            <w:tr w14:paraId="4B88C0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321" w:type="pct"/>
                  <w:gridSpan w:val="2"/>
                  <w:vMerge w:val="restart"/>
                  <w:tcBorders>
                    <w:tl2br w:val="nil"/>
                    <w:tr2bl w:val="nil"/>
                  </w:tcBorders>
                  <w:shd w:val="clear" w:color="auto" w:fill="auto"/>
                  <w:vAlign w:val="center"/>
                </w:tcPr>
                <w:p w14:paraId="5ED0646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监测项目及点位</w:t>
                  </w:r>
                </w:p>
              </w:tc>
              <w:tc>
                <w:tcPr>
                  <w:tcW w:w="1960" w:type="pct"/>
                  <w:gridSpan w:val="3"/>
                  <w:tcBorders>
                    <w:tl2br w:val="nil"/>
                    <w:tr2bl w:val="nil"/>
                  </w:tcBorders>
                  <w:shd w:val="clear" w:color="auto" w:fill="auto"/>
                  <w:vAlign w:val="center"/>
                </w:tcPr>
                <w:p w14:paraId="6919C54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测定结果</w:t>
                  </w:r>
                </w:p>
              </w:tc>
              <w:tc>
                <w:tcPr>
                  <w:tcW w:w="717" w:type="pct"/>
                  <w:vMerge w:val="restart"/>
                  <w:tcBorders>
                    <w:tl2br w:val="nil"/>
                    <w:tr2bl w:val="nil"/>
                  </w:tcBorders>
                  <w:shd w:val="clear" w:color="auto" w:fill="auto"/>
                  <w:vAlign w:val="center"/>
                </w:tcPr>
                <w:p w14:paraId="59B1914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标准值</w:t>
                  </w:r>
                </w:p>
              </w:tc>
            </w:tr>
            <w:tr w14:paraId="532E51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321" w:type="pct"/>
                  <w:gridSpan w:val="2"/>
                  <w:vMerge w:val="continue"/>
                  <w:tcBorders>
                    <w:tl2br w:val="nil"/>
                    <w:tr2bl w:val="nil"/>
                  </w:tcBorders>
                  <w:shd w:val="clear" w:color="auto" w:fill="auto"/>
                  <w:vAlign w:val="center"/>
                </w:tcPr>
                <w:p w14:paraId="578802B5">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p>
              </w:tc>
              <w:tc>
                <w:tcPr>
                  <w:tcW w:w="908" w:type="pct"/>
                  <w:tcBorders>
                    <w:tl2br w:val="nil"/>
                    <w:tr2bl w:val="nil"/>
                  </w:tcBorders>
                  <w:shd w:val="clear" w:color="auto" w:fill="auto"/>
                  <w:vAlign w:val="center"/>
                </w:tcPr>
                <w:p w14:paraId="2E42554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6#搅拌站自建井</w:t>
                  </w:r>
                </w:p>
              </w:tc>
              <w:tc>
                <w:tcPr>
                  <w:tcW w:w="1051" w:type="pct"/>
                  <w:gridSpan w:val="2"/>
                  <w:tcBorders>
                    <w:tl2br w:val="nil"/>
                    <w:tr2bl w:val="nil"/>
                  </w:tcBorders>
                  <w:shd w:val="clear" w:color="auto" w:fill="auto"/>
                  <w:vAlign w:val="center"/>
                </w:tcPr>
                <w:p w14:paraId="317ACD5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7#小沙湖度假村</w:t>
                  </w:r>
                </w:p>
              </w:tc>
              <w:tc>
                <w:tcPr>
                  <w:tcW w:w="717" w:type="pct"/>
                  <w:vMerge w:val="continue"/>
                  <w:tcBorders>
                    <w:tl2br w:val="nil"/>
                    <w:tr2bl w:val="nil"/>
                  </w:tcBorders>
                  <w:shd w:val="clear" w:color="auto" w:fill="auto"/>
                  <w:vAlign w:val="center"/>
                </w:tcPr>
                <w:p w14:paraId="3D786DFB">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p>
              </w:tc>
            </w:tr>
            <w:tr w14:paraId="1931FD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4D6316C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1917" w:type="pct"/>
                  <w:tcBorders>
                    <w:tl2br w:val="nil"/>
                    <w:tr2bl w:val="nil"/>
                  </w:tcBorders>
                  <w:shd w:val="clear" w:color="auto" w:fill="auto"/>
                  <w:vAlign w:val="center"/>
                </w:tcPr>
                <w:p w14:paraId="5CBAFAC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pH</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无量纲</w:t>
                  </w:r>
                  <w:r>
                    <w:rPr>
                      <w:rFonts w:hint="eastAsia" w:cs="Times New Roman"/>
                      <w:color w:val="000000" w:themeColor="text1"/>
                      <w:sz w:val="21"/>
                      <w:szCs w:val="21"/>
                      <w:highlight w:val="none"/>
                      <w:lang w:val="en-US" w:eastAsia="zh-CN" w:bidi="ar"/>
                      <w14:textFill>
                        <w14:solidFill>
                          <w14:schemeClr w14:val="tx1"/>
                        </w14:solidFill>
                      </w14:textFill>
                    </w:rPr>
                    <w:t>）</w:t>
                  </w:r>
                </w:p>
              </w:tc>
              <w:tc>
                <w:tcPr>
                  <w:tcW w:w="908" w:type="pct"/>
                  <w:tcBorders>
                    <w:tl2br w:val="nil"/>
                    <w:tr2bl w:val="nil"/>
                  </w:tcBorders>
                  <w:shd w:val="clear" w:color="auto" w:fill="auto"/>
                  <w:vAlign w:val="center"/>
                </w:tcPr>
                <w:p w14:paraId="5231801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c>
                <w:tcPr>
                  <w:tcW w:w="1051" w:type="pct"/>
                  <w:gridSpan w:val="2"/>
                  <w:tcBorders>
                    <w:tl2br w:val="nil"/>
                    <w:tr2bl w:val="nil"/>
                  </w:tcBorders>
                  <w:shd w:val="clear" w:color="auto" w:fill="auto"/>
                  <w:vAlign w:val="center"/>
                </w:tcPr>
                <w:p w14:paraId="6770A01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7.2</w:t>
                  </w:r>
                </w:p>
              </w:tc>
              <w:tc>
                <w:tcPr>
                  <w:tcW w:w="717" w:type="pct"/>
                  <w:tcBorders>
                    <w:tl2br w:val="nil"/>
                    <w:tr2bl w:val="nil"/>
                  </w:tcBorders>
                  <w:shd w:val="clear" w:color="auto" w:fill="auto"/>
                  <w:vAlign w:val="center"/>
                </w:tcPr>
                <w:p w14:paraId="03514D8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6.5-8.5</w:t>
                  </w:r>
                </w:p>
              </w:tc>
            </w:tr>
            <w:tr w14:paraId="0F8F4B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08E1DC5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1917" w:type="pct"/>
                  <w:tcBorders>
                    <w:tl2br w:val="nil"/>
                    <w:tr2bl w:val="nil"/>
                  </w:tcBorders>
                  <w:shd w:val="clear" w:color="auto" w:fill="auto"/>
                  <w:vAlign w:val="center"/>
                </w:tcPr>
                <w:p w14:paraId="1566ADE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色度</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度</w:t>
                  </w:r>
                  <w:r>
                    <w:rPr>
                      <w:rFonts w:hint="eastAsia" w:cs="Times New Roman"/>
                      <w:color w:val="000000" w:themeColor="text1"/>
                      <w:sz w:val="21"/>
                      <w:szCs w:val="21"/>
                      <w:highlight w:val="none"/>
                      <w:lang w:val="en-US" w:eastAsia="zh-CN" w:bidi="ar"/>
                      <w14:textFill>
                        <w14:solidFill>
                          <w14:schemeClr w14:val="tx1"/>
                        </w14:solidFill>
                      </w14:textFill>
                    </w:rPr>
                    <w:t>）</w:t>
                  </w:r>
                </w:p>
              </w:tc>
              <w:tc>
                <w:tcPr>
                  <w:tcW w:w="908" w:type="pct"/>
                  <w:tcBorders>
                    <w:tl2br w:val="nil"/>
                    <w:tr2bl w:val="nil"/>
                  </w:tcBorders>
                  <w:shd w:val="clear" w:color="auto" w:fill="auto"/>
                  <w:vAlign w:val="center"/>
                </w:tcPr>
                <w:p w14:paraId="2576B1C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1051" w:type="pct"/>
                  <w:gridSpan w:val="2"/>
                  <w:tcBorders>
                    <w:tl2br w:val="nil"/>
                    <w:tr2bl w:val="nil"/>
                  </w:tcBorders>
                  <w:shd w:val="clear" w:color="auto" w:fill="auto"/>
                  <w:vAlign w:val="center"/>
                </w:tcPr>
                <w:p w14:paraId="1DBEA5A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717" w:type="pct"/>
                  <w:tcBorders>
                    <w:tl2br w:val="nil"/>
                    <w:tr2bl w:val="nil"/>
                  </w:tcBorders>
                  <w:shd w:val="clear" w:color="auto" w:fill="auto"/>
                  <w:vAlign w:val="center"/>
                </w:tcPr>
                <w:p w14:paraId="1B787AC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≤15</w:t>
                  </w:r>
                </w:p>
              </w:tc>
            </w:tr>
            <w:tr w14:paraId="35159B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5CCE8BA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1917" w:type="pct"/>
                  <w:tcBorders>
                    <w:tl2br w:val="nil"/>
                    <w:tr2bl w:val="nil"/>
                  </w:tcBorders>
                  <w:shd w:val="clear" w:color="auto" w:fill="auto"/>
                  <w:vAlign w:val="center"/>
                </w:tcPr>
                <w:p w14:paraId="32EDE95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臭和味</w:t>
                  </w:r>
                </w:p>
              </w:tc>
              <w:tc>
                <w:tcPr>
                  <w:tcW w:w="908" w:type="pct"/>
                  <w:tcBorders>
                    <w:tl2br w:val="nil"/>
                    <w:tr2bl w:val="nil"/>
                  </w:tcBorders>
                  <w:shd w:val="clear" w:color="auto" w:fill="auto"/>
                  <w:vAlign w:val="center"/>
                </w:tcPr>
                <w:p w14:paraId="74DB62B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无</w:t>
                  </w:r>
                </w:p>
              </w:tc>
              <w:tc>
                <w:tcPr>
                  <w:tcW w:w="1051" w:type="pct"/>
                  <w:gridSpan w:val="2"/>
                  <w:tcBorders>
                    <w:tl2br w:val="nil"/>
                    <w:tr2bl w:val="nil"/>
                  </w:tcBorders>
                  <w:shd w:val="clear" w:color="auto" w:fill="auto"/>
                  <w:vAlign w:val="center"/>
                </w:tcPr>
                <w:p w14:paraId="450FF24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无</w:t>
                  </w:r>
                </w:p>
              </w:tc>
              <w:tc>
                <w:tcPr>
                  <w:tcW w:w="717" w:type="pct"/>
                  <w:tcBorders>
                    <w:tl2br w:val="nil"/>
                    <w:tr2bl w:val="nil"/>
                  </w:tcBorders>
                  <w:shd w:val="clear" w:color="auto" w:fill="auto"/>
                  <w:vAlign w:val="center"/>
                </w:tcPr>
                <w:p w14:paraId="2BC53A2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无</w:t>
                  </w:r>
                </w:p>
              </w:tc>
            </w:tr>
            <w:tr w14:paraId="55FD667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05F04D7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1917" w:type="pct"/>
                  <w:tcBorders>
                    <w:tl2br w:val="nil"/>
                    <w:tr2bl w:val="nil"/>
                  </w:tcBorders>
                  <w:shd w:val="clear" w:color="auto" w:fill="auto"/>
                  <w:vAlign w:val="center"/>
                </w:tcPr>
                <w:p w14:paraId="3CE0FAB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浑浊度</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NTU</w:t>
                  </w:r>
                  <w:r>
                    <w:rPr>
                      <w:rFonts w:hint="eastAsia" w:cs="Times New Roman"/>
                      <w:color w:val="000000" w:themeColor="text1"/>
                      <w:sz w:val="21"/>
                      <w:szCs w:val="21"/>
                      <w:highlight w:val="none"/>
                      <w:lang w:val="en-US" w:eastAsia="zh-CN" w:bidi="ar"/>
                      <w14:textFill>
                        <w14:solidFill>
                          <w14:schemeClr w14:val="tx1"/>
                        </w14:solidFill>
                      </w14:textFill>
                    </w:rPr>
                    <w:t>）</w:t>
                  </w:r>
                </w:p>
              </w:tc>
              <w:tc>
                <w:tcPr>
                  <w:tcW w:w="908" w:type="pct"/>
                  <w:tcBorders>
                    <w:tl2br w:val="nil"/>
                    <w:tr2bl w:val="nil"/>
                  </w:tcBorders>
                  <w:shd w:val="clear" w:color="auto" w:fill="auto"/>
                  <w:vAlign w:val="center"/>
                </w:tcPr>
                <w:p w14:paraId="6D2F9BE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1051" w:type="pct"/>
                  <w:gridSpan w:val="2"/>
                  <w:tcBorders>
                    <w:tl2br w:val="nil"/>
                    <w:tr2bl w:val="nil"/>
                  </w:tcBorders>
                  <w:shd w:val="clear" w:color="auto" w:fill="auto"/>
                  <w:vAlign w:val="center"/>
                </w:tcPr>
                <w:p w14:paraId="266942E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717" w:type="pct"/>
                  <w:tcBorders>
                    <w:tl2br w:val="nil"/>
                    <w:tr2bl w:val="nil"/>
                  </w:tcBorders>
                  <w:shd w:val="clear" w:color="auto" w:fill="auto"/>
                  <w:vAlign w:val="center"/>
                </w:tcPr>
                <w:p w14:paraId="289F0F3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≤3</w:t>
                  </w:r>
                </w:p>
              </w:tc>
            </w:tr>
            <w:tr w14:paraId="208CC6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29AACA8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1917" w:type="pct"/>
                  <w:tcBorders>
                    <w:tl2br w:val="nil"/>
                    <w:tr2bl w:val="nil"/>
                  </w:tcBorders>
                  <w:shd w:val="clear" w:color="auto" w:fill="auto"/>
                  <w:vAlign w:val="center"/>
                </w:tcPr>
                <w:p w14:paraId="6279B8E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肉眼可见物</w:t>
                  </w:r>
                </w:p>
              </w:tc>
              <w:tc>
                <w:tcPr>
                  <w:tcW w:w="908" w:type="pct"/>
                  <w:tcBorders>
                    <w:tl2br w:val="nil"/>
                    <w:tr2bl w:val="nil"/>
                  </w:tcBorders>
                  <w:shd w:val="clear" w:color="auto" w:fill="auto"/>
                  <w:vAlign w:val="center"/>
                </w:tcPr>
                <w:p w14:paraId="2907744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无</w:t>
                  </w:r>
                </w:p>
              </w:tc>
              <w:tc>
                <w:tcPr>
                  <w:tcW w:w="1051" w:type="pct"/>
                  <w:gridSpan w:val="2"/>
                  <w:tcBorders>
                    <w:tl2br w:val="nil"/>
                    <w:tr2bl w:val="nil"/>
                  </w:tcBorders>
                  <w:shd w:val="clear" w:color="auto" w:fill="auto"/>
                  <w:vAlign w:val="center"/>
                </w:tcPr>
                <w:p w14:paraId="2A27D28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无</w:t>
                  </w:r>
                </w:p>
              </w:tc>
              <w:tc>
                <w:tcPr>
                  <w:tcW w:w="717" w:type="pct"/>
                  <w:tcBorders>
                    <w:tl2br w:val="nil"/>
                    <w:tr2bl w:val="nil"/>
                  </w:tcBorders>
                  <w:shd w:val="clear" w:color="auto" w:fill="auto"/>
                  <w:vAlign w:val="center"/>
                </w:tcPr>
                <w:p w14:paraId="5D2B97B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无</w:t>
                  </w:r>
                </w:p>
              </w:tc>
            </w:tr>
            <w:tr w14:paraId="2002CAF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1658CFA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1917" w:type="pct"/>
                  <w:tcBorders>
                    <w:tl2br w:val="nil"/>
                    <w:tr2bl w:val="nil"/>
                  </w:tcBorders>
                  <w:shd w:val="clear" w:color="auto" w:fill="auto"/>
                  <w:vAlign w:val="center"/>
                </w:tcPr>
                <w:p w14:paraId="0D2D97C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总硬度</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mg/L</w:t>
                  </w:r>
                  <w:r>
                    <w:rPr>
                      <w:rFonts w:hint="eastAsia" w:cs="Times New Roman"/>
                      <w:color w:val="000000" w:themeColor="text1"/>
                      <w:sz w:val="21"/>
                      <w:szCs w:val="21"/>
                      <w:highlight w:val="none"/>
                      <w:lang w:val="en-US" w:eastAsia="zh-CN" w:bidi="ar"/>
                      <w14:textFill>
                        <w14:solidFill>
                          <w14:schemeClr w14:val="tx1"/>
                        </w14:solidFill>
                      </w14:textFill>
                    </w:rPr>
                    <w:t>）</w:t>
                  </w:r>
                </w:p>
              </w:tc>
              <w:tc>
                <w:tcPr>
                  <w:tcW w:w="908" w:type="pct"/>
                  <w:tcBorders>
                    <w:tl2br w:val="nil"/>
                    <w:tr2bl w:val="nil"/>
                  </w:tcBorders>
                  <w:shd w:val="clear" w:color="auto" w:fill="auto"/>
                  <w:vAlign w:val="center"/>
                </w:tcPr>
                <w:p w14:paraId="607DF63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378</w:t>
                  </w:r>
                </w:p>
              </w:tc>
              <w:tc>
                <w:tcPr>
                  <w:tcW w:w="1051" w:type="pct"/>
                  <w:gridSpan w:val="2"/>
                  <w:tcBorders>
                    <w:tl2br w:val="nil"/>
                    <w:tr2bl w:val="nil"/>
                  </w:tcBorders>
                  <w:shd w:val="clear" w:color="auto" w:fill="auto"/>
                  <w:vAlign w:val="center"/>
                </w:tcPr>
                <w:p w14:paraId="2627C36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622</w:t>
                  </w:r>
                </w:p>
              </w:tc>
              <w:tc>
                <w:tcPr>
                  <w:tcW w:w="717" w:type="pct"/>
                  <w:tcBorders>
                    <w:tl2br w:val="nil"/>
                    <w:tr2bl w:val="nil"/>
                  </w:tcBorders>
                  <w:shd w:val="clear" w:color="auto" w:fill="auto"/>
                  <w:vAlign w:val="center"/>
                </w:tcPr>
                <w:p w14:paraId="7882983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≤450</w:t>
                  </w:r>
                </w:p>
              </w:tc>
            </w:tr>
            <w:tr w14:paraId="50673D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7B5BFBE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c>
                <w:tcPr>
                  <w:tcW w:w="1917" w:type="pct"/>
                  <w:tcBorders>
                    <w:tl2br w:val="nil"/>
                    <w:tr2bl w:val="nil"/>
                  </w:tcBorders>
                  <w:shd w:val="clear" w:color="auto" w:fill="auto"/>
                  <w:vAlign w:val="center"/>
                </w:tcPr>
                <w:p w14:paraId="63AF1B5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溶解性总固体</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mg/L</w:t>
                  </w:r>
                  <w:r>
                    <w:rPr>
                      <w:rFonts w:hint="eastAsia" w:cs="Times New Roman"/>
                      <w:color w:val="000000" w:themeColor="text1"/>
                      <w:sz w:val="21"/>
                      <w:szCs w:val="21"/>
                      <w:highlight w:val="none"/>
                      <w:lang w:val="en-US" w:eastAsia="zh-CN" w:bidi="ar"/>
                      <w14:textFill>
                        <w14:solidFill>
                          <w14:schemeClr w14:val="tx1"/>
                        </w14:solidFill>
                      </w14:textFill>
                    </w:rPr>
                    <w:t>）</w:t>
                  </w:r>
                </w:p>
              </w:tc>
              <w:tc>
                <w:tcPr>
                  <w:tcW w:w="908" w:type="pct"/>
                  <w:tcBorders>
                    <w:tl2br w:val="nil"/>
                    <w:tr2bl w:val="nil"/>
                  </w:tcBorders>
                  <w:shd w:val="clear" w:color="auto" w:fill="auto"/>
                  <w:vAlign w:val="center"/>
                </w:tcPr>
                <w:p w14:paraId="54B7281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896</w:t>
                  </w:r>
                </w:p>
              </w:tc>
              <w:tc>
                <w:tcPr>
                  <w:tcW w:w="1051" w:type="pct"/>
                  <w:gridSpan w:val="2"/>
                  <w:tcBorders>
                    <w:tl2br w:val="nil"/>
                    <w:tr2bl w:val="nil"/>
                  </w:tcBorders>
                  <w:shd w:val="clear" w:color="auto" w:fill="auto"/>
                  <w:vAlign w:val="center"/>
                </w:tcPr>
                <w:p w14:paraId="2429575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1693</w:t>
                  </w:r>
                </w:p>
              </w:tc>
              <w:tc>
                <w:tcPr>
                  <w:tcW w:w="717" w:type="pct"/>
                  <w:tcBorders>
                    <w:tl2br w:val="nil"/>
                    <w:tr2bl w:val="nil"/>
                  </w:tcBorders>
                  <w:shd w:val="clear" w:color="auto" w:fill="auto"/>
                  <w:vAlign w:val="center"/>
                </w:tcPr>
                <w:p w14:paraId="64412C1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≤1000</w:t>
                  </w:r>
                </w:p>
              </w:tc>
            </w:tr>
            <w:tr w14:paraId="7BE538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1BDD5B0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1917" w:type="pct"/>
                  <w:tcBorders>
                    <w:tl2br w:val="nil"/>
                    <w:tr2bl w:val="nil"/>
                  </w:tcBorders>
                  <w:shd w:val="clear" w:color="auto" w:fill="auto"/>
                  <w:vAlign w:val="center"/>
                </w:tcPr>
                <w:p w14:paraId="1D0767B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氯化物</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mg/L</w:t>
                  </w:r>
                  <w:r>
                    <w:rPr>
                      <w:rFonts w:hint="eastAsia" w:cs="Times New Roman"/>
                      <w:color w:val="000000" w:themeColor="text1"/>
                      <w:sz w:val="21"/>
                      <w:szCs w:val="21"/>
                      <w:highlight w:val="none"/>
                      <w:lang w:val="en-US" w:eastAsia="zh-CN" w:bidi="ar"/>
                      <w14:textFill>
                        <w14:solidFill>
                          <w14:schemeClr w14:val="tx1"/>
                        </w14:solidFill>
                      </w14:textFill>
                    </w:rPr>
                    <w:t>）</w:t>
                  </w:r>
                </w:p>
              </w:tc>
              <w:tc>
                <w:tcPr>
                  <w:tcW w:w="908" w:type="pct"/>
                  <w:tcBorders>
                    <w:tl2br w:val="nil"/>
                    <w:tr2bl w:val="nil"/>
                  </w:tcBorders>
                  <w:shd w:val="clear" w:color="auto" w:fill="auto"/>
                  <w:vAlign w:val="center"/>
                </w:tcPr>
                <w:p w14:paraId="2DD7DAF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211</w:t>
                  </w:r>
                </w:p>
              </w:tc>
              <w:tc>
                <w:tcPr>
                  <w:tcW w:w="1051" w:type="pct"/>
                  <w:gridSpan w:val="2"/>
                  <w:tcBorders>
                    <w:tl2br w:val="nil"/>
                    <w:tr2bl w:val="nil"/>
                  </w:tcBorders>
                  <w:shd w:val="clear" w:color="auto" w:fill="auto"/>
                  <w:vAlign w:val="center"/>
                </w:tcPr>
                <w:p w14:paraId="145B104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365</w:t>
                  </w:r>
                </w:p>
              </w:tc>
              <w:tc>
                <w:tcPr>
                  <w:tcW w:w="717" w:type="pct"/>
                  <w:tcBorders>
                    <w:tl2br w:val="nil"/>
                    <w:tr2bl w:val="nil"/>
                  </w:tcBorders>
                  <w:shd w:val="clear" w:color="auto" w:fill="auto"/>
                  <w:vAlign w:val="center"/>
                </w:tcPr>
                <w:p w14:paraId="21B62EF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≤250</w:t>
                  </w:r>
                </w:p>
              </w:tc>
            </w:tr>
            <w:tr w14:paraId="403A6B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3057555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w:t>
                  </w:r>
                </w:p>
              </w:tc>
              <w:tc>
                <w:tcPr>
                  <w:tcW w:w="1917" w:type="pct"/>
                  <w:tcBorders>
                    <w:tl2br w:val="nil"/>
                    <w:tr2bl w:val="nil"/>
                  </w:tcBorders>
                  <w:shd w:val="clear" w:color="auto" w:fill="auto"/>
                  <w:vAlign w:val="center"/>
                </w:tcPr>
                <w:p w14:paraId="7DE5347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硫酸盐</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mg/L</w:t>
                  </w:r>
                  <w:r>
                    <w:rPr>
                      <w:rFonts w:hint="eastAsia" w:cs="Times New Roman"/>
                      <w:color w:val="000000" w:themeColor="text1"/>
                      <w:sz w:val="21"/>
                      <w:szCs w:val="21"/>
                      <w:highlight w:val="none"/>
                      <w:lang w:val="en-US" w:eastAsia="zh-CN" w:bidi="ar"/>
                      <w14:textFill>
                        <w14:solidFill>
                          <w14:schemeClr w14:val="tx1"/>
                        </w14:solidFill>
                      </w14:textFill>
                    </w:rPr>
                    <w:t>）</w:t>
                  </w:r>
                </w:p>
              </w:tc>
              <w:tc>
                <w:tcPr>
                  <w:tcW w:w="908" w:type="pct"/>
                  <w:tcBorders>
                    <w:tl2br w:val="nil"/>
                    <w:tr2bl w:val="nil"/>
                  </w:tcBorders>
                  <w:shd w:val="clear" w:color="auto" w:fill="auto"/>
                  <w:vAlign w:val="center"/>
                </w:tcPr>
                <w:p w14:paraId="09CA10A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235</w:t>
                  </w:r>
                </w:p>
              </w:tc>
              <w:tc>
                <w:tcPr>
                  <w:tcW w:w="1051" w:type="pct"/>
                  <w:gridSpan w:val="2"/>
                  <w:tcBorders>
                    <w:tl2br w:val="nil"/>
                    <w:tr2bl w:val="nil"/>
                  </w:tcBorders>
                  <w:shd w:val="clear" w:color="auto" w:fill="auto"/>
                  <w:vAlign w:val="center"/>
                </w:tcPr>
                <w:p w14:paraId="0238CD0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519</w:t>
                  </w:r>
                </w:p>
              </w:tc>
              <w:tc>
                <w:tcPr>
                  <w:tcW w:w="717" w:type="pct"/>
                  <w:tcBorders>
                    <w:tl2br w:val="nil"/>
                    <w:tr2bl w:val="nil"/>
                  </w:tcBorders>
                  <w:shd w:val="clear" w:color="auto" w:fill="auto"/>
                  <w:vAlign w:val="center"/>
                </w:tcPr>
                <w:p w14:paraId="6D50550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≤250</w:t>
                  </w:r>
                </w:p>
              </w:tc>
            </w:tr>
            <w:tr w14:paraId="27111D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1129D6B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1917" w:type="pct"/>
                  <w:tcBorders>
                    <w:tl2br w:val="nil"/>
                    <w:tr2bl w:val="nil"/>
                  </w:tcBorders>
                  <w:shd w:val="clear" w:color="auto" w:fill="auto"/>
                  <w:vAlign w:val="center"/>
                </w:tcPr>
                <w:p w14:paraId="5053BEB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铁</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mg/L</w:t>
                  </w:r>
                  <w:r>
                    <w:rPr>
                      <w:rFonts w:hint="eastAsia" w:cs="Times New Roman"/>
                      <w:color w:val="000000" w:themeColor="text1"/>
                      <w:sz w:val="21"/>
                      <w:szCs w:val="21"/>
                      <w:highlight w:val="none"/>
                      <w:lang w:val="en-US" w:eastAsia="zh-CN" w:bidi="ar"/>
                      <w14:textFill>
                        <w14:solidFill>
                          <w14:schemeClr w14:val="tx1"/>
                        </w14:solidFill>
                      </w14:textFill>
                    </w:rPr>
                    <w:t>）</w:t>
                  </w:r>
                </w:p>
              </w:tc>
              <w:tc>
                <w:tcPr>
                  <w:tcW w:w="908" w:type="pct"/>
                  <w:tcBorders>
                    <w:tl2br w:val="nil"/>
                    <w:tr2bl w:val="nil"/>
                  </w:tcBorders>
                  <w:shd w:val="clear" w:color="auto" w:fill="auto"/>
                  <w:vAlign w:val="center"/>
                </w:tcPr>
                <w:p w14:paraId="322658D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&lt;0.03</w:t>
                  </w:r>
                </w:p>
              </w:tc>
              <w:tc>
                <w:tcPr>
                  <w:tcW w:w="1051" w:type="pct"/>
                  <w:gridSpan w:val="2"/>
                  <w:tcBorders>
                    <w:tl2br w:val="nil"/>
                    <w:tr2bl w:val="nil"/>
                  </w:tcBorders>
                  <w:shd w:val="clear" w:color="auto" w:fill="auto"/>
                  <w:vAlign w:val="center"/>
                </w:tcPr>
                <w:p w14:paraId="4114C8D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&lt;0.03</w:t>
                  </w:r>
                </w:p>
              </w:tc>
              <w:tc>
                <w:tcPr>
                  <w:tcW w:w="717" w:type="pct"/>
                  <w:tcBorders>
                    <w:tl2br w:val="nil"/>
                    <w:tr2bl w:val="nil"/>
                  </w:tcBorders>
                  <w:shd w:val="clear" w:color="auto" w:fill="auto"/>
                  <w:vAlign w:val="center"/>
                </w:tcPr>
                <w:p w14:paraId="0E3611C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≤0.3</w:t>
                  </w:r>
                </w:p>
              </w:tc>
            </w:tr>
            <w:tr w14:paraId="3D497B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5ACC3E9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w:t>
                  </w:r>
                </w:p>
              </w:tc>
              <w:tc>
                <w:tcPr>
                  <w:tcW w:w="1917" w:type="pct"/>
                  <w:tcBorders>
                    <w:tl2br w:val="nil"/>
                    <w:tr2bl w:val="nil"/>
                  </w:tcBorders>
                  <w:shd w:val="clear" w:color="auto" w:fill="auto"/>
                  <w:vAlign w:val="center"/>
                </w:tcPr>
                <w:p w14:paraId="5B097FC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锰</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mg/L</w:t>
                  </w:r>
                  <w:r>
                    <w:rPr>
                      <w:rFonts w:hint="eastAsia" w:cs="Times New Roman"/>
                      <w:color w:val="000000" w:themeColor="text1"/>
                      <w:sz w:val="21"/>
                      <w:szCs w:val="21"/>
                      <w:highlight w:val="none"/>
                      <w:lang w:val="en-US" w:eastAsia="zh-CN" w:bidi="ar"/>
                      <w14:textFill>
                        <w14:solidFill>
                          <w14:schemeClr w14:val="tx1"/>
                        </w14:solidFill>
                      </w14:textFill>
                    </w:rPr>
                    <w:t>）</w:t>
                  </w:r>
                </w:p>
              </w:tc>
              <w:tc>
                <w:tcPr>
                  <w:tcW w:w="908" w:type="pct"/>
                  <w:tcBorders>
                    <w:tl2br w:val="nil"/>
                    <w:tr2bl w:val="nil"/>
                  </w:tcBorders>
                  <w:shd w:val="clear" w:color="auto" w:fill="auto"/>
                  <w:vAlign w:val="center"/>
                </w:tcPr>
                <w:p w14:paraId="770265C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&lt;0.01</w:t>
                  </w:r>
                </w:p>
              </w:tc>
              <w:tc>
                <w:tcPr>
                  <w:tcW w:w="1051" w:type="pct"/>
                  <w:gridSpan w:val="2"/>
                  <w:tcBorders>
                    <w:tl2br w:val="nil"/>
                    <w:tr2bl w:val="nil"/>
                  </w:tcBorders>
                  <w:shd w:val="clear" w:color="auto" w:fill="auto"/>
                  <w:vAlign w:val="center"/>
                </w:tcPr>
                <w:p w14:paraId="237BDBC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&lt;0.01</w:t>
                  </w:r>
                </w:p>
              </w:tc>
              <w:tc>
                <w:tcPr>
                  <w:tcW w:w="717" w:type="pct"/>
                  <w:tcBorders>
                    <w:tl2br w:val="nil"/>
                    <w:tr2bl w:val="nil"/>
                  </w:tcBorders>
                  <w:shd w:val="clear" w:color="auto" w:fill="auto"/>
                  <w:vAlign w:val="center"/>
                </w:tcPr>
                <w:p w14:paraId="25B5451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≤0.10</w:t>
                  </w:r>
                </w:p>
              </w:tc>
            </w:tr>
            <w:tr w14:paraId="2E7007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183293F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w:t>
                  </w:r>
                </w:p>
              </w:tc>
              <w:tc>
                <w:tcPr>
                  <w:tcW w:w="1917" w:type="pct"/>
                  <w:tcBorders>
                    <w:tl2br w:val="nil"/>
                    <w:tr2bl w:val="nil"/>
                  </w:tcBorders>
                  <w:shd w:val="clear" w:color="auto" w:fill="auto"/>
                  <w:vAlign w:val="center"/>
                </w:tcPr>
                <w:p w14:paraId="383E04E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铜</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mg/L</w:t>
                  </w:r>
                  <w:r>
                    <w:rPr>
                      <w:rFonts w:hint="eastAsia" w:cs="Times New Roman"/>
                      <w:color w:val="000000" w:themeColor="text1"/>
                      <w:sz w:val="21"/>
                      <w:szCs w:val="21"/>
                      <w:highlight w:val="none"/>
                      <w:lang w:val="en-US" w:eastAsia="zh-CN" w:bidi="ar"/>
                      <w14:textFill>
                        <w14:solidFill>
                          <w14:schemeClr w14:val="tx1"/>
                        </w14:solidFill>
                      </w14:textFill>
                    </w:rPr>
                    <w:t>）</w:t>
                  </w:r>
                </w:p>
              </w:tc>
              <w:tc>
                <w:tcPr>
                  <w:tcW w:w="908" w:type="pct"/>
                  <w:tcBorders>
                    <w:tl2br w:val="nil"/>
                    <w:tr2bl w:val="nil"/>
                  </w:tcBorders>
                  <w:shd w:val="clear" w:color="auto" w:fill="auto"/>
                  <w:vAlign w:val="center"/>
                </w:tcPr>
                <w:p w14:paraId="44F79B1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&lt;0.2</w:t>
                  </w:r>
                </w:p>
              </w:tc>
              <w:tc>
                <w:tcPr>
                  <w:tcW w:w="1051" w:type="pct"/>
                  <w:gridSpan w:val="2"/>
                  <w:tcBorders>
                    <w:tl2br w:val="nil"/>
                    <w:tr2bl w:val="nil"/>
                  </w:tcBorders>
                  <w:shd w:val="clear" w:color="auto" w:fill="auto"/>
                  <w:vAlign w:val="center"/>
                </w:tcPr>
                <w:p w14:paraId="72C80E6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&lt;0.2</w:t>
                  </w:r>
                </w:p>
              </w:tc>
              <w:tc>
                <w:tcPr>
                  <w:tcW w:w="717" w:type="pct"/>
                  <w:tcBorders>
                    <w:tl2br w:val="nil"/>
                    <w:tr2bl w:val="nil"/>
                  </w:tcBorders>
                  <w:shd w:val="clear" w:color="auto" w:fill="auto"/>
                  <w:vAlign w:val="center"/>
                </w:tcPr>
                <w:p w14:paraId="134994D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≤1.00</w:t>
                  </w:r>
                </w:p>
              </w:tc>
            </w:tr>
            <w:tr w14:paraId="252FAE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0055010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w:t>
                  </w:r>
                </w:p>
              </w:tc>
              <w:tc>
                <w:tcPr>
                  <w:tcW w:w="1917" w:type="pct"/>
                  <w:tcBorders>
                    <w:tl2br w:val="nil"/>
                    <w:tr2bl w:val="nil"/>
                  </w:tcBorders>
                  <w:shd w:val="clear" w:color="auto" w:fill="auto"/>
                  <w:vAlign w:val="center"/>
                </w:tcPr>
                <w:p w14:paraId="643CC08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锌</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mg/L</w:t>
                  </w:r>
                  <w:r>
                    <w:rPr>
                      <w:rFonts w:hint="eastAsia" w:cs="Times New Roman"/>
                      <w:color w:val="000000" w:themeColor="text1"/>
                      <w:sz w:val="21"/>
                      <w:szCs w:val="21"/>
                      <w:highlight w:val="none"/>
                      <w:lang w:val="en-US" w:eastAsia="zh-CN" w:bidi="ar"/>
                      <w14:textFill>
                        <w14:solidFill>
                          <w14:schemeClr w14:val="tx1"/>
                        </w14:solidFill>
                      </w14:textFill>
                    </w:rPr>
                    <w:t>）</w:t>
                  </w:r>
                </w:p>
              </w:tc>
              <w:tc>
                <w:tcPr>
                  <w:tcW w:w="908" w:type="pct"/>
                  <w:tcBorders>
                    <w:tl2br w:val="nil"/>
                    <w:tr2bl w:val="nil"/>
                  </w:tcBorders>
                  <w:shd w:val="clear" w:color="auto" w:fill="auto"/>
                  <w:vAlign w:val="center"/>
                </w:tcPr>
                <w:p w14:paraId="47A525F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&lt;0.05</w:t>
                  </w:r>
                </w:p>
              </w:tc>
              <w:tc>
                <w:tcPr>
                  <w:tcW w:w="1051" w:type="pct"/>
                  <w:gridSpan w:val="2"/>
                  <w:tcBorders>
                    <w:tl2br w:val="nil"/>
                    <w:tr2bl w:val="nil"/>
                  </w:tcBorders>
                  <w:shd w:val="clear" w:color="auto" w:fill="auto"/>
                  <w:vAlign w:val="center"/>
                </w:tcPr>
                <w:p w14:paraId="1C393C3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&lt;0.05</w:t>
                  </w:r>
                </w:p>
              </w:tc>
              <w:tc>
                <w:tcPr>
                  <w:tcW w:w="717" w:type="pct"/>
                  <w:tcBorders>
                    <w:tl2br w:val="nil"/>
                    <w:tr2bl w:val="nil"/>
                  </w:tcBorders>
                  <w:shd w:val="clear" w:color="auto" w:fill="auto"/>
                  <w:vAlign w:val="center"/>
                </w:tcPr>
                <w:p w14:paraId="4BFFEC6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≤1.00</w:t>
                  </w:r>
                </w:p>
              </w:tc>
            </w:tr>
            <w:tr w14:paraId="1AB805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1E50091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14</w:t>
                  </w:r>
                </w:p>
              </w:tc>
              <w:tc>
                <w:tcPr>
                  <w:tcW w:w="1917" w:type="pct"/>
                  <w:tcBorders>
                    <w:tl2br w:val="nil"/>
                    <w:tr2bl w:val="nil"/>
                  </w:tcBorders>
                  <w:shd w:val="clear" w:color="auto" w:fill="auto"/>
                  <w:vAlign w:val="center"/>
                </w:tcPr>
                <w:p w14:paraId="71A5170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铝</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μg/L</w:t>
                  </w:r>
                  <w:r>
                    <w:rPr>
                      <w:rFonts w:hint="eastAsia" w:cs="Times New Roman"/>
                      <w:color w:val="000000" w:themeColor="text1"/>
                      <w:sz w:val="21"/>
                      <w:szCs w:val="21"/>
                      <w:highlight w:val="none"/>
                      <w:lang w:val="en-US" w:eastAsia="zh-CN" w:bidi="ar"/>
                      <w14:textFill>
                        <w14:solidFill>
                          <w14:schemeClr w14:val="tx1"/>
                        </w14:solidFill>
                      </w14:textFill>
                    </w:rPr>
                    <w:t>）</w:t>
                  </w:r>
                </w:p>
              </w:tc>
              <w:tc>
                <w:tcPr>
                  <w:tcW w:w="908" w:type="pct"/>
                  <w:tcBorders>
                    <w:tl2br w:val="nil"/>
                    <w:tr2bl w:val="nil"/>
                  </w:tcBorders>
                  <w:shd w:val="clear" w:color="auto" w:fill="auto"/>
                  <w:vAlign w:val="center"/>
                </w:tcPr>
                <w:p w14:paraId="671C0AC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&lt;10</w:t>
                  </w:r>
                </w:p>
              </w:tc>
              <w:tc>
                <w:tcPr>
                  <w:tcW w:w="1051" w:type="pct"/>
                  <w:gridSpan w:val="2"/>
                  <w:tcBorders>
                    <w:tl2br w:val="nil"/>
                    <w:tr2bl w:val="nil"/>
                  </w:tcBorders>
                  <w:shd w:val="clear" w:color="auto" w:fill="auto"/>
                  <w:vAlign w:val="center"/>
                </w:tcPr>
                <w:p w14:paraId="29FA6E3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&lt;10</w:t>
                  </w:r>
                </w:p>
              </w:tc>
              <w:tc>
                <w:tcPr>
                  <w:tcW w:w="717" w:type="pct"/>
                  <w:tcBorders>
                    <w:tl2br w:val="nil"/>
                    <w:tr2bl w:val="nil"/>
                  </w:tcBorders>
                  <w:shd w:val="clear" w:color="auto" w:fill="auto"/>
                  <w:vAlign w:val="center"/>
                </w:tcPr>
                <w:p w14:paraId="4EDFE59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≤200</w:t>
                  </w:r>
                </w:p>
              </w:tc>
            </w:tr>
            <w:tr w14:paraId="5858E3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3A363CA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w:t>
                  </w:r>
                </w:p>
              </w:tc>
              <w:tc>
                <w:tcPr>
                  <w:tcW w:w="1917" w:type="pct"/>
                  <w:tcBorders>
                    <w:tl2br w:val="nil"/>
                    <w:tr2bl w:val="nil"/>
                  </w:tcBorders>
                  <w:shd w:val="clear" w:color="auto" w:fill="auto"/>
                  <w:vAlign w:val="center"/>
                </w:tcPr>
                <w:p w14:paraId="25919D8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挥发酚</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mg/L</w:t>
                  </w:r>
                  <w:r>
                    <w:rPr>
                      <w:rFonts w:hint="eastAsia" w:cs="Times New Roman"/>
                      <w:color w:val="000000" w:themeColor="text1"/>
                      <w:sz w:val="21"/>
                      <w:szCs w:val="21"/>
                      <w:highlight w:val="none"/>
                      <w:lang w:val="en-US" w:eastAsia="zh-CN" w:bidi="ar"/>
                      <w14:textFill>
                        <w14:solidFill>
                          <w14:schemeClr w14:val="tx1"/>
                        </w14:solidFill>
                      </w14:textFill>
                    </w:rPr>
                    <w:t>）</w:t>
                  </w:r>
                </w:p>
              </w:tc>
              <w:tc>
                <w:tcPr>
                  <w:tcW w:w="908" w:type="pct"/>
                  <w:tcBorders>
                    <w:tl2br w:val="nil"/>
                    <w:tr2bl w:val="nil"/>
                  </w:tcBorders>
                  <w:shd w:val="clear" w:color="auto" w:fill="auto"/>
                  <w:vAlign w:val="center"/>
                </w:tcPr>
                <w:p w14:paraId="05A8867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&lt;0.0003</w:t>
                  </w:r>
                </w:p>
              </w:tc>
              <w:tc>
                <w:tcPr>
                  <w:tcW w:w="1051" w:type="pct"/>
                  <w:gridSpan w:val="2"/>
                  <w:tcBorders>
                    <w:tl2br w:val="nil"/>
                    <w:tr2bl w:val="nil"/>
                  </w:tcBorders>
                  <w:shd w:val="clear" w:color="auto" w:fill="auto"/>
                  <w:vAlign w:val="center"/>
                </w:tcPr>
                <w:p w14:paraId="2475253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&lt;0.0003</w:t>
                  </w:r>
                </w:p>
              </w:tc>
              <w:tc>
                <w:tcPr>
                  <w:tcW w:w="717" w:type="pct"/>
                  <w:tcBorders>
                    <w:tl2br w:val="nil"/>
                    <w:tr2bl w:val="nil"/>
                  </w:tcBorders>
                  <w:shd w:val="clear" w:color="auto" w:fill="auto"/>
                  <w:vAlign w:val="center"/>
                </w:tcPr>
                <w:p w14:paraId="21F53B5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≤0.002</w:t>
                  </w:r>
                </w:p>
              </w:tc>
            </w:tr>
            <w:tr w14:paraId="67F755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3636164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16</w:t>
                  </w:r>
                </w:p>
              </w:tc>
              <w:tc>
                <w:tcPr>
                  <w:tcW w:w="1917" w:type="pct"/>
                  <w:tcBorders>
                    <w:tl2br w:val="nil"/>
                    <w:tr2bl w:val="nil"/>
                  </w:tcBorders>
                  <w:shd w:val="clear" w:color="auto" w:fill="auto"/>
                  <w:vAlign w:val="center"/>
                </w:tcPr>
                <w:p w14:paraId="35B02E8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阴离子表面活性剂</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mg/L</w:t>
                  </w:r>
                  <w:r>
                    <w:rPr>
                      <w:rFonts w:hint="eastAsia" w:cs="Times New Roman"/>
                      <w:color w:val="000000" w:themeColor="text1"/>
                      <w:sz w:val="21"/>
                      <w:szCs w:val="21"/>
                      <w:highlight w:val="none"/>
                      <w:lang w:val="en-US" w:eastAsia="zh-CN" w:bidi="ar"/>
                      <w14:textFill>
                        <w14:solidFill>
                          <w14:schemeClr w14:val="tx1"/>
                        </w14:solidFill>
                      </w14:textFill>
                    </w:rPr>
                    <w:t>）</w:t>
                  </w:r>
                </w:p>
              </w:tc>
              <w:tc>
                <w:tcPr>
                  <w:tcW w:w="908" w:type="pct"/>
                  <w:tcBorders>
                    <w:tl2br w:val="nil"/>
                    <w:tr2bl w:val="nil"/>
                  </w:tcBorders>
                  <w:shd w:val="clear" w:color="auto" w:fill="auto"/>
                  <w:vAlign w:val="center"/>
                </w:tcPr>
                <w:p w14:paraId="7972EDA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&lt;0.05</w:t>
                  </w:r>
                </w:p>
              </w:tc>
              <w:tc>
                <w:tcPr>
                  <w:tcW w:w="1051" w:type="pct"/>
                  <w:gridSpan w:val="2"/>
                  <w:tcBorders>
                    <w:tl2br w:val="nil"/>
                    <w:tr2bl w:val="nil"/>
                  </w:tcBorders>
                  <w:shd w:val="clear" w:color="auto" w:fill="auto"/>
                  <w:vAlign w:val="center"/>
                </w:tcPr>
                <w:p w14:paraId="74F75D5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&lt;0.05</w:t>
                  </w:r>
                </w:p>
              </w:tc>
              <w:tc>
                <w:tcPr>
                  <w:tcW w:w="717" w:type="pct"/>
                  <w:tcBorders>
                    <w:tl2br w:val="nil"/>
                    <w:tr2bl w:val="nil"/>
                  </w:tcBorders>
                  <w:shd w:val="clear" w:color="auto" w:fill="auto"/>
                  <w:vAlign w:val="center"/>
                </w:tcPr>
                <w:p w14:paraId="3EAEE5B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≤0.3</w:t>
                  </w:r>
                </w:p>
              </w:tc>
            </w:tr>
            <w:tr w14:paraId="0A3D3D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7ACF4BF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17</w:t>
                  </w:r>
                </w:p>
              </w:tc>
              <w:tc>
                <w:tcPr>
                  <w:tcW w:w="1917" w:type="pct"/>
                  <w:tcBorders>
                    <w:tl2br w:val="nil"/>
                    <w:tr2bl w:val="nil"/>
                  </w:tcBorders>
                  <w:shd w:val="clear" w:color="auto" w:fill="auto"/>
                  <w:vAlign w:val="center"/>
                </w:tcPr>
                <w:p w14:paraId="14EBBCE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高锰酸盐指数</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以O₂计</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mg/L</w:t>
                  </w:r>
                  <w:r>
                    <w:rPr>
                      <w:rFonts w:hint="eastAsia" w:cs="Times New Roman"/>
                      <w:color w:val="000000" w:themeColor="text1"/>
                      <w:sz w:val="21"/>
                      <w:szCs w:val="21"/>
                      <w:highlight w:val="none"/>
                      <w:lang w:val="en-US" w:eastAsia="zh-CN" w:bidi="ar"/>
                      <w14:textFill>
                        <w14:solidFill>
                          <w14:schemeClr w14:val="tx1"/>
                        </w14:solidFill>
                      </w14:textFill>
                    </w:rPr>
                    <w:t>）</w:t>
                  </w:r>
                </w:p>
              </w:tc>
              <w:tc>
                <w:tcPr>
                  <w:tcW w:w="908" w:type="pct"/>
                  <w:tcBorders>
                    <w:tl2br w:val="nil"/>
                    <w:tr2bl w:val="nil"/>
                  </w:tcBorders>
                  <w:shd w:val="clear" w:color="auto" w:fill="auto"/>
                  <w:vAlign w:val="center"/>
                </w:tcPr>
                <w:p w14:paraId="5D61558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1.98</w:t>
                  </w:r>
                </w:p>
              </w:tc>
              <w:tc>
                <w:tcPr>
                  <w:tcW w:w="1051" w:type="pct"/>
                  <w:gridSpan w:val="2"/>
                  <w:tcBorders>
                    <w:tl2br w:val="nil"/>
                    <w:tr2bl w:val="nil"/>
                  </w:tcBorders>
                  <w:shd w:val="clear" w:color="auto" w:fill="auto"/>
                  <w:vAlign w:val="center"/>
                </w:tcPr>
                <w:p w14:paraId="15F52B4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1.95</w:t>
                  </w:r>
                </w:p>
              </w:tc>
              <w:tc>
                <w:tcPr>
                  <w:tcW w:w="717" w:type="pct"/>
                  <w:tcBorders>
                    <w:tl2br w:val="nil"/>
                    <w:tr2bl w:val="nil"/>
                  </w:tcBorders>
                  <w:shd w:val="clear" w:color="auto" w:fill="auto"/>
                  <w:vAlign w:val="center"/>
                </w:tcPr>
                <w:p w14:paraId="7514225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≤3.0</w:t>
                  </w:r>
                </w:p>
              </w:tc>
            </w:tr>
            <w:tr w14:paraId="322752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4960D5E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18</w:t>
                  </w:r>
                </w:p>
              </w:tc>
              <w:tc>
                <w:tcPr>
                  <w:tcW w:w="1917" w:type="pct"/>
                  <w:tcBorders>
                    <w:tl2br w:val="nil"/>
                    <w:tr2bl w:val="nil"/>
                  </w:tcBorders>
                  <w:shd w:val="clear" w:color="auto" w:fill="auto"/>
                  <w:vAlign w:val="center"/>
                </w:tcPr>
                <w:p w14:paraId="25819A1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氨氮</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mg/L</w:t>
                  </w:r>
                  <w:r>
                    <w:rPr>
                      <w:rFonts w:hint="eastAsia" w:cs="Times New Roman"/>
                      <w:color w:val="000000" w:themeColor="text1"/>
                      <w:sz w:val="21"/>
                      <w:szCs w:val="21"/>
                      <w:highlight w:val="none"/>
                      <w:lang w:val="en-US" w:eastAsia="zh-CN" w:bidi="ar"/>
                      <w14:textFill>
                        <w14:solidFill>
                          <w14:schemeClr w14:val="tx1"/>
                        </w14:solidFill>
                      </w14:textFill>
                    </w:rPr>
                    <w:t>）</w:t>
                  </w:r>
                </w:p>
              </w:tc>
              <w:tc>
                <w:tcPr>
                  <w:tcW w:w="908" w:type="pct"/>
                  <w:tcBorders>
                    <w:tl2br w:val="nil"/>
                    <w:tr2bl w:val="nil"/>
                  </w:tcBorders>
                  <w:shd w:val="clear" w:color="auto" w:fill="auto"/>
                  <w:vAlign w:val="center"/>
                </w:tcPr>
                <w:p w14:paraId="3E3D90D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0.093</w:t>
                  </w:r>
                </w:p>
              </w:tc>
              <w:tc>
                <w:tcPr>
                  <w:tcW w:w="1051" w:type="pct"/>
                  <w:gridSpan w:val="2"/>
                  <w:tcBorders>
                    <w:tl2br w:val="nil"/>
                    <w:tr2bl w:val="nil"/>
                  </w:tcBorders>
                  <w:shd w:val="clear" w:color="auto" w:fill="auto"/>
                  <w:vAlign w:val="center"/>
                </w:tcPr>
                <w:p w14:paraId="13CACEA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0.124</w:t>
                  </w:r>
                </w:p>
              </w:tc>
              <w:tc>
                <w:tcPr>
                  <w:tcW w:w="717" w:type="pct"/>
                  <w:tcBorders>
                    <w:tl2br w:val="nil"/>
                    <w:tr2bl w:val="nil"/>
                  </w:tcBorders>
                  <w:shd w:val="clear" w:color="auto" w:fill="auto"/>
                  <w:vAlign w:val="center"/>
                </w:tcPr>
                <w:p w14:paraId="2FE0551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≤0.50</w:t>
                  </w:r>
                </w:p>
              </w:tc>
            </w:tr>
            <w:tr w14:paraId="69AA27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4AC48C1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19</w:t>
                  </w:r>
                </w:p>
              </w:tc>
              <w:tc>
                <w:tcPr>
                  <w:tcW w:w="1917" w:type="pct"/>
                  <w:tcBorders>
                    <w:tl2br w:val="nil"/>
                    <w:tr2bl w:val="nil"/>
                  </w:tcBorders>
                  <w:shd w:val="clear" w:color="auto" w:fill="auto"/>
                  <w:vAlign w:val="center"/>
                </w:tcPr>
                <w:p w14:paraId="1D9E1EE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硫化物</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mg/L</w:t>
                  </w:r>
                  <w:r>
                    <w:rPr>
                      <w:rFonts w:hint="eastAsia" w:cs="Times New Roman"/>
                      <w:color w:val="000000" w:themeColor="text1"/>
                      <w:sz w:val="21"/>
                      <w:szCs w:val="21"/>
                      <w:highlight w:val="none"/>
                      <w:lang w:val="en-US" w:eastAsia="zh-CN" w:bidi="ar"/>
                      <w14:textFill>
                        <w14:solidFill>
                          <w14:schemeClr w14:val="tx1"/>
                        </w14:solidFill>
                      </w14:textFill>
                    </w:rPr>
                    <w:t>）</w:t>
                  </w:r>
                </w:p>
              </w:tc>
              <w:tc>
                <w:tcPr>
                  <w:tcW w:w="908" w:type="pct"/>
                  <w:tcBorders>
                    <w:tl2br w:val="nil"/>
                    <w:tr2bl w:val="nil"/>
                  </w:tcBorders>
                  <w:shd w:val="clear" w:color="auto" w:fill="auto"/>
                  <w:vAlign w:val="center"/>
                </w:tcPr>
                <w:p w14:paraId="44EF220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&lt;0.003</w:t>
                  </w:r>
                </w:p>
              </w:tc>
              <w:tc>
                <w:tcPr>
                  <w:tcW w:w="1051" w:type="pct"/>
                  <w:gridSpan w:val="2"/>
                  <w:tcBorders>
                    <w:tl2br w:val="nil"/>
                    <w:tr2bl w:val="nil"/>
                  </w:tcBorders>
                  <w:shd w:val="clear" w:color="auto" w:fill="auto"/>
                  <w:vAlign w:val="center"/>
                </w:tcPr>
                <w:p w14:paraId="1CA530E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&lt;0.003</w:t>
                  </w:r>
                </w:p>
              </w:tc>
              <w:tc>
                <w:tcPr>
                  <w:tcW w:w="717" w:type="pct"/>
                  <w:tcBorders>
                    <w:tl2br w:val="nil"/>
                    <w:tr2bl w:val="nil"/>
                  </w:tcBorders>
                  <w:shd w:val="clear" w:color="auto" w:fill="auto"/>
                  <w:vAlign w:val="center"/>
                </w:tcPr>
                <w:p w14:paraId="751D160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≤0.02</w:t>
                  </w:r>
                </w:p>
              </w:tc>
            </w:tr>
            <w:tr w14:paraId="584DD8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307844D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w:t>
                  </w:r>
                </w:p>
              </w:tc>
              <w:tc>
                <w:tcPr>
                  <w:tcW w:w="1917" w:type="pct"/>
                  <w:tcBorders>
                    <w:tl2br w:val="nil"/>
                    <w:tr2bl w:val="nil"/>
                  </w:tcBorders>
                  <w:shd w:val="clear" w:color="auto" w:fill="auto"/>
                  <w:vAlign w:val="center"/>
                </w:tcPr>
                <w:p w14:paraId="2E4355B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钾</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mg/L</w:t>
                  </w:r>
                  <w:r>
                    <w:rPr>
                      <w:rFonts w:hint="eastAsia" w:cs="Times New Roman"/>
                      <w:color w:val="000000" w:themeColor="text1"/>
                      <w:sz w:val="21"/>
                      <w:szCs w:val="21"/>
                      <w:highlight w:val="none"/>
                      <w:lang w:val="en-US" w:eastAsia="zh-CN" w:bidi="ar"/>
                      <w14:textFill>
                        <w14:solidFill>
                          <w14:schemeClr w14:val="tx1"/>
                        </w14:solidFill>
                      </w14:textFill>
                    </w:rPr>
                    <w:t>）</w:t>
                  </w:r>
                </w:p>
              </w:tc>
              <w:tc>
                <w:tcPr>
                  <w:tcW w:w="908" w:type="pct"/>
                  <w:tcBorders>
                    <w:tl2br w:val="nil"/>
                    <w:tr2bl w:val="nil"/>
                  </w:tcBorders>
                  <w:shd w:val="clear" w:color="auto" w:fill="auto"/>
                  <w:vAlign w:val="center"/>
                </w:tcPr>
                <w:p w14:paraId="2C4888E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2.4</w:t>
                  </w:r>
                </w:p>
              </w:tc>
              <w:tc>
                <w:tcPr>
                  <w:tcW w:w="1051" w:type="pct"/>
                  <w:gridSpan w:val="2"/>
                  <w:tcBorders>
                    <w:tl2br w:val="nil"/>
                    <w:tr2bl w:val="nil"/>
                  </w:tcBorders>
                  <w:shd w:val="clear" w:color="auto" w:fill="auto"/>
                  <w:vAlign w:val="center"/>
                </w:tcPr>
                <w:p w14:paraId="7139DA3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3.03</w:t>
                  </w:r>
                </w:p>
              </w:tc>
              <w:tc>
                <w:tcPr>
                  <w:tcW w:w="717" w:type="pct"/>
                  <w:tcBorders>
                    <w:tl2br w:val="nil"/>
                    <w:tr2bl w:val="nil"/>
                  </w:tcBorders>
                  <w:shd w:val="clear" w:color="auto" w:fill="auto"/>
                  <w:vAlign w:val="center"/>
                </w:tcPr>
                <w:p w14:paraId="2279A7A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3B41BC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4A7238A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21</w:t>
                  </w:r>
                </w:p>
              </w:tc>
              <w:tc>
                <w:tcPr>
                  <w:tcW w:w="1917" w:type="pct"/>
                  <w:tcBorders>
                    <w:tl2br w:val="nil"/>
                    <w:tr2bl w:val="nil"/>
                  </w:tcBorders>
                  <w:shd w:val="clear" w:color="auto" w:fill="auto"/>
                  <w:vAlign w:val="center"/>
                </w:tcPr>
                <w:p w14:paraId="7FE2611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钠</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mg/L</w:t>
                  </w:r>
                  <w:r>
                    <w:rPr>
                      <w:rFonts w:hint="eastAsia" w:cs="Times New Roman"/>
                      <w:color w:val="000000" w:themeColor="text1"/>
                      <w:sz w:val="21"/>
                      <w:szCs w:val="21"/>
                      <w:highlight w:val="none"/>
                      <w:lang w:val="en-US" w:eastAsia="zh-CN" w:bidi="ar"/>
                      <w14:textFill>
                        <w14:solidFill>
                          <w14:schemeClr w14:val="tx1"/>
                        </w14:solidFill>
                      </w14:textFill>
                    </w:rPr>
                    <w:t>）</w:t>
                  </w:r>
                </w:p>
              </w:tc>
              <w:tc>
                <w:tcPr>
                  <w:tcW w:w="908" w:type="pct"/>
                  <w:tcBorders>
                    <w:tl2br w:val="nil"/>
                    <w:tr2bl w:val="nil"/>
                  </w:tcBorders>
                  <w:shd w:val="clear" w:color="auto" w:fill="auto"/>
                  <w:vAlign w:val="center"/>
                </w:tcPr>
                <w:p w14:paraId="714F83C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51" w:type="pct"/>
                  <w:gridSpan w:val="2"/>
                  <w:tcBorders>
                    <w:tl2br w:val="nil"/>
                    <w:tr2bl w:val="nil"/>
                  </w:tcBorders>
                  <w:shd w:val="clear" w:color="auto" w:fill="auto"/>
                  <w:vAlign w:val="center"/>
                </w:tcPr>
                <w:p w14:paraId="761CD05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288</w:t>
                  </w:r>
                </w:p>
              </w:tc>
              <w:tc>
                <w:tcPr>
                  <w:tcW w:w="717" w:type="pct"/>
                  <w:tcBorders>
                    <w:tl2br w:val="nil"/>
                    <w:tr2bl w:val="nil"/>
                  </w:tcBorders>
                  <w:shd w:val="clear" w:color="auto" w:fill="auto"/>
                  <w:vAlign w:val="center"/>
                </w:tcPr>
                <w:p w14:paraId="30E0FEC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≤200</w:t>
                  </w:r>
                </w:p>
              </w:tc>
            </w:tr>
            <w:tr w14:paraId="4B838B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145F1C9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22</w:t>
                  </w:r>
                </w:p>
              </w:tc>
              <w:tc>
                <w:tcPr>
                  <w:tcW w:w="1917" w:type="pct"/>
                  <w:tcBorders>
                    <w:tl2br w:val="nil"/>
                    <w:tr2bl w:val="nil"/>
                  </w:tcBorders>
                  <w:shd w:val="clear" w:color="auto" w:fill="auto"/>
                  <w:vAlign w:val="center"/>
                </w:tcPr>
                <w:p w14:paraId="198954A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钙</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mg/L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10A83C9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102</w:t>
                  </w:r>
                </w:p>
              </w:tc>
              <w:tc>
                <w:tcPr>
                  <w:tcW w:w="1046" w:type="pct"/>
                  <w:tcBorders>
                    <w:tl2br w:val="nil"/>
                    <w:tr2bl w:val="nil"/>
                  </w:tcBorders>
                  <w:shd w:val="clear" w:color="auto" w:fill="auto"/>
                  <w:vAlign w:val="center"/>
                </w:tcPr>
                <w:p w14:paraId="081EE14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136</w:t>
                  </w:r>
                </w:p>
              </w:tc>
              <w:tc>
                <w:tcPr>
                  <w:tcW w:w="717" w:type="pct"/>
                  <w:tcBorders>
                    <w:tl2br w:val="nil"/>
                    <w:tr2bl w:val="nil"/>
                  </w:tcBorders>
                  <w:shd w:val="clear" w:color="auto" w:fill="auto"/>
                  <w:vAlign w:val="center"/>
                </w:tcPr>
                <w:p w14:paraId="359CB5D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r>
            <w:tr w14:paraId="44A4CA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7FC235C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23</w:t>
                  </w:r>
                </w:p>
              </w:tc>
              <w:tc>
                <w:tcPr>
                  <w:tcW w:w="1917" w:type="pct"/>
                  <w:tcBorders>
                    <w:tl2br w:val="nil"/>
                    <w:tr2bl w:val="nil"/>
                  </w:tcBorders>
                  <w:shd w:val="clear" w:color="auto" w:fill="auto"/>
                  <w:vAlign w:val="center"/>
                </w:tcPr>
                <w:p w14:paraId="777954F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镁</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mg/L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1E8257C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27.7</w:t>
                  </w:r>
                </w:p>
              </w:tc>
              <w:tc>
                <w:tcPr>
                  <w:tcW w:w="1046" w:type="pct"/>
                  <w:tcBorders>
                    <w:tl2br w:val="nil"/>
                    <w:tr2bl w:val="nil"/>
                  </w:tcBorders>
                  <w:shd w:val="clear" w:color="auto" w:fill="auto"/>
                  <w:vAlign w:val="center"/>
                </w:tcPr>
                <w:p w14:paraId="354B688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78.2</w:t>
                  </w:r>
                </w:p>
              </w:tc>
              <w:tc>
                <w:tcPr>
                  <w:tcW w:w="717" w:type="pct"/>
                  <w:tcBorders>
                    <w:tl2br w:val="nil"/>
                    <w:tr2bl w:val="nil"/>
                  </w:tcBorders>
                  <w:shd w:val="clear" w:color="auto" w:fill="auto"/>
                  <w:vAlign w:val="center"/>
                </w:tcPr>
                <w:p w14:paraId="3DF94D3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r>
            <w:tr w14:paraId="2810D7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45D47E4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24</w:t>
                  </w:r>
                </w:p>
              </w:tc>
              <w:tc>
                <w:tcPr>
                  <w:tcW w:w="1917" w:type="pct"/>
                  <w:tcBorders>
                    <w:tl2br w:val="nil"/>
                    <w:tr2bl w:val="nil"/>
                  </w:tcBorders>
                  <w:shd w:val="clear" w:color="auto" w:fill="auto"/>
                  <w:vAlign w:val="center"/>
                </w:tcPr>
                <w:p w14:paraId="762176A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亚硝酸盐氮</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mg/L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6D66F36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&lt;0.003</w:t>
                  </w:r>
                </w:p>
              </w:tc>
              <w:tc>
                <w:tcPr>
                  <w:tcW w:w="1046" w:type="pct"/>
                  <w:tcBorders>
                    <w:tl2br w:val="nil"/>
                    <w:tr2bl w:val="nil"/>
                  </w:tcBorders>
                  <w:shd w:val="clear" w:color="auto" w:fill="auto"/>
                  <w:vAlign w:val="center"/>
                </w:tcPr>
                <w:p w14:paraId="64C5C3F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&lt;0.003</w:t>
                  </w:r>
                </w:p>
              </w:tc>
              <w:tc>
                <w:tcPr>
                  <w:tcW w:w="717" w:type="pct"/>
                  <w:tcBorders>
                    <w:tl2br w:val="nil"/>
                    <w:tr2bl w:val="nil"/>
                  </w:tcBorders>
                  <w:shd w:val="clear" w:color="auto" w:fill="auto"/>
                  <w:vAlign w:val="center"/>
                </w:tcPr>
                <w:p w14:paraId="1031F59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≤1.00</w:t>
                  </w:r>
                </w:p>
              </w:tc>
            </w:tr>
            <w:tr w14:paraId="7D8188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6D9DFB8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25</w:t>
                  </w:r>
                </w:p>
              </w:tc>
              <w:tc>
                <w:tcPr>
                  <w:tcW w:w="1917" w:type="pct"/>
                  <w:tcBorders>
                    <w:tl2br w:val="nil"/>
                    <w:tr2bl w:val="nil"/>
                  </w:tcBorders>
                  <w:shd w:val="clear" w:color="auto" w:fill="auto"/>
                  <w:vAlign w:val="center"/>
                </w:tcPr>
                <w:p w14:paraId="4B20EA9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硝酸盐氮</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mg/L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4D5F0CA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0.63</w:t>
                  </w:r>
                </w:p>
              </w:tc>
              <w:tc>
                <w:tcPr>
                  <w:tcW w:w="1046" w:type="pct"/>
                  <w:tcBorders>
                    <w:tl2br w:val="nil"/>
                    <w:tr2bl w:val="nil"/>
                  </w:tcBorders>
                  <w:shd w:val="clear" w:color="auto" w:fill="auto"/>
                  <w:vAlign w:val="center"/>
                </w:tcPr>
                <w:p w14:paraId="5CC5BAF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1.27</w:t>
                  </w:r>
                </w:p>
              </w:tc>
              <w:tc>
                <w:tcPr>
                  <w:tcW w:w="717" w:type="pct"/>
                  <w:tcBorders>
                    <w:tl2br w:val="nil"/>
                    <w:tr2bl w:val="nil"/>
                  </w:tcBorders>
                  <w:shd w:val="clear" w:color="auto" w:fill="auto"/>
                  <w:vAlign w:val="center"/>
                </w:tcPr>
                <w:p w14:paraId="11E40FE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≤20.0</w:t>
                  </w:r>
                </w:p>
              </w:tc>
            </w:tr>
            <w:tr w14:paraId="1494B82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446F227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26</w:t>
                  </w:r>
                </w:p>
              </w:tc>
              <w:tc>
                <w:tcPr>
                  <w:tcW w:w="1917" w:type="pct"/>
                  <w:tcBorders>
                    <w:tl2br w:val="nil"/>
                    <w:tr2bl w:val="nil"/>
                  </w:tcBorders>
                  <w:shd w:val="clear" w:color="auto" w:fill="auto"/>
                  <w:vAlign w:val="center"/>
                </w:tcPr>
                <w:p w14:paraId="622DA91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氟化物</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mg/L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00CAF49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0.31</w:t>
                  </w:r>
                </w:p>
              </w:tc>
              <w:tc>
                <w:tcPr>
                  <w:tcW w:w="1046" w:type="pct"/>
                  <w:tcBorders>
                    <w:tl2br w:val="nil"/>
                    <w:tr2bl w:val="nil"/>
                  </w:tcBorders>
                  <w:shd w:val="clear" w:color="auto" w:fill="auto"/>
                  <w:vAlign w:val="center"/>
                </w:tcPr>
                <w:p w14:paraId="3110AEC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0.32</w:t>
                  </w:r>
                </w:p>
              </w:tc>
              <w:tc>
                <w:tcPr>
                  <w:tcW w:w="717" w:type="pct"/>
                  <w:tcBorders>
                    <w:tl2br w:val="nil"/>
                    <w:tr2bl w:val="nil"/>
                  </w:tcBorders>
                  <w:shd w:val="clear" w:color="auto" w:fill="auto"/>
                  <w:vAlign w:val="center"/>
                </w:tcPr>
                <w:p w14:paraId="641B108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r>
            <w:tr w14:paraId="763E67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4E9E23F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27</w:t>
                  </w:r>
                </w:p>
              </w:tc>
              <w:tc>
                <w:tcPr>
                  <w:tcW w:w="1917" w:type="pct"/>
                  <w:tcBorders>
                    <w:tl2br w:val="nil"/>
                    <w:tr2bl w:val="nil"/>
                  </w:tcBorders>
                  <w:shd w:val="clear" w:color="auto" w:fill="auto"/>
                  <w:vAlign w:val="center"/>
                </w:tcPr>
                <w:p w14:paraId="475F1E4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氰化物</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mg/L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14A9FE8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&lt;0.002</w:t>
                  </w:r>
                </w:p>
              </w:tc>
              <w:tc>
                <w:tcPr>
                  <w:tcW w:w="1046" w:type="pct"/>
                  <w:tcBorders>
                    <w:tl2br w:val="nil"/>
                    <w:tr2bl w:val="nil"/>
                  </w:tcBorders>
                  <w:shd w:val="clear" w:color="auto" w:fill="auto"/>
                  <w:vAlign w:val="center"/>
                </w:tcPr>
                <w:p w14:paraId="615669A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&lt;0.002</w:t>
                  </w:r>
                </w:p>
              </w:tc>
              <w:tc>
                <w:tcPr>
                  <w:tcW w:w="717" w:type="pct"/>
                  <w:tcBorders>
                    <w:tl2br w:val="nil"/>
                    <w:tr2bl w:val="nil"/>
                  </w:tcBorders>
                  <w:shd w:val="clear" w:color="auto" w:fill="auto"/>
                  <w:vAlign w:val="center"/>
                </w:tcPr>
                <w:p w14:paraId="36B4773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≤0.05</w:t>
                  </w:r>
                </w:p>
              </w:tc>
            </w:tr>
            <w:tr w14:paraId="252543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21BDB3F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28</w:t>
                  </w:r>
                </w:p>
              </w:tc>
              <w:tc>
                <w:tcPr>
                  <w:tcW w:w="1917" w:type="pct"/>
                  <w:tcBorders>
                    <w:tl2br w:val="nil"/>
                    <w:tr2bl w:val="nil"/>
                  </w:tcBorders>
                  <w:shd w:val="clear" w:color="auto" w:fill="auto"/>
                  <w:vAlign w:val="center"/>
                </w:tcPr>
                <w:p w14:paraId="4057F8D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碘化物</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mg/L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51C3088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&lt;0.025</w:t>
                  </w:r>
                </w:p>
              </w:tc>
              <w:tc>
                <w:tcPr>
                  <w:tcW w:w="1046" w:type="pct"/>
                  <w:tcBorders>
                    <w:tl2br w:val="nil"/>
                    <w:tr2bl w:val="nil"/>
                  </w:tcBorders>
                  <w:shd w:val="clear" w:color="auto" w:fill="auto"/>
                  <w:vAlign w:val="center"/>
                </w:tcPr>
                <w:p w14:paraId="1EC8737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&lt;0.025</w:t>
                  </w:r>
                </w:p>
              </w:tc>
              <w:tc>
                <w:tcPr>
                  <w:tcW w:w="717" w:type="pct"/>
                  <w:tcBorders>
                    <w:tl2br w:val="nil"/>
                    <w:tr2bl w:val="nil"/>
                  </w:tcBorders>
                  <w:shd w:val="clear" w:color="auto" w:fill="auto"/>
                  <w:vAlign w:val="center"/>
                </w:tcPr>
                <w:p w14:paraId="6632BE2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≤0.08</w:t>
                  </w:r>
                </w:p>
              </w:tc>
            </w:tr>
            <w:tr w14:paraId="6AA52B2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3039264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29</w:t>
                  </w:r>
                </w:p>
              </w:tc>
              <w:tc>
                <w:tcPr>
                  <w:tcW w:w="1917" w:type="pct"/>
                  <w:tcBorders>
                    <w:tl2br w:val="nil"/>
                    <w:tr2bl w:val="nil"/>
                  </w:tcBorders>
                  <w:shd w:val="clear" w:color="auto" w:fill="auto"/>
                  <w:vAlign w:val="center"/>
                </w:tcPr>
                <w:p w14:paraId="7432A99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汞</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μg</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6AE7C1E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&lt;0.04</w:t>
                  </w:r>
                </w:p>
              </w:tc>
              <w:tc>
                <w:tcPr>
                  <w:tcW w:w="1046" w:type="pct"/>
                  <w:tcBorders>
                    <w:tl2br w:val="nil"/>
                    <w:tr2bl w:val="nil"/>
                  </w:tcBorders>
                  <w:shd w:val="clear" w:color="auto" w:fill="auto"/>
                  <w:vAlign w:val="center"/>
                </w:tcPr>
                <w:p w14:paraId="7839F7E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&lt;0.04</w:t>
                  </w:r>
                </w:p>
              </w:tc>
              <w:tc>
                <w:tcPr>
                  <w:tcW w:w="717" w:type="pct"/>
                  <w:tcBorders>
                    <w:tl2br w:val="nil"/>
                    <w:tr2bl w:val="nil"/>
                  </w:tcBorders>
                  <w:shd w:val="clear" w:color="auto" w:fill="auto"/>
                  <w:vAlign w:val="center"/>
                </w:tcPr>
                <w:p w14:paraId="2D97271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r w14:paraId="56C17A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489E67B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w:t>
                  </w:r>
                </w:p>
              </w:tc>
              <w:tc>
                <w:tcPr>
                  <w:tcW w:w="1917" w:type="pct"/>
                  <w:tcBorders>
                    <w:tl2br w:val="nil"/>
                    <w:tr2bl w:val="nil"/>
                  </w:tcBorders>
                  <w:shd w:val="clear" w:color="auto" w:fill="auto"/>
                  <w:vAlign w:val="center"/>
                </w:tcPr>
                <w:p w14:paraId="261DA8C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砷</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μg/L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7A6CE79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&lt;0.3</w:t>
                  </w:r>
                </w:p>
              </w:tc>
              <w:tc>
                <w:tcPr>
                  <w:tcW w:w="1046" w:type="pct"/>
                  <w:tcBorders>
                    <w:tl2br w:val="nil"/>
                    <w:tr2bl w:val="nil"/>
                  </w:tcBorders>
                  <w:shd w:val="clear" w:color="auto" w:fill="auto"/>
                  <w:vAlign w:val="center"/>
                </w:tcPr>
                <w:p w14:paraId="0B6B121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&lt;0.3</w:t>
                  </w:r>
                </w:p>
              </w:tc>
              <w:tc>
                <w:tcPr>
                  <w:tcW w:w="717" w:type="pct"/>
                  <w:tcBorders>
                    <w:tl2br w:val="nil"/>
                    <w:tr2bl w:val="nil"/>
                  </w:tcBorders>
                  <w:shd w:val="clear" w:color="auto" w:fill="auto"/>
                  <w:vAlign w:val="center"/>
                </w:tcPr>
                <w:p w14:paraId="79B0F1D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r>
            <w:tr w14:paraId="631FA0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1A78D1D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31</w:t>
                  </w:r>
                </w:p>
              </w:tc>
              <w:tc>
                <w:tcPr>
                  <w:tcW w:w="1917" w:type="pct"/>
                  <w:tcBorders>
                    <w:tl2br w:val="nil"/>
                    <w:tr2bl w:val="nil"/>
                  </w:tcBorders>
                  <w:shd w:val="clear" w:color="auto" w:fill="auto"/>
                  <w:vAlign w:val="center"/>
                </w:tcPr>
                <w:p w14:paraId="671C868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硒</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μg/L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215AA00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&lt;0.4</w:t>
                  </w:r>
                </w:p>
              </w:tc>
              <w:tc>
                <w:tcPr>
                  <w:tcW w:w="1046" w:type="pct"/>
                  <w:tcBorders>
                    <w:tl2br w:val="nil"/>
                    <w:tr2bl w:val="nil"/>
                  </w:tcBorders>
                  <w:shd w:val="clear" w:color="auto" w:fill="auto"/>
                  <w:vAlign w:val="center"/>
                </w:tcPr>
                <w:p w14:paraId="6976952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&lt;0.4</w:t>
                  </w:r>
                </w:p>
              </w:tc>
              <w:tc>
                <w:tcPr>
                  <w:tcW w:w="717" w:type="pct"/>
                  <w:tcBorders>
                    <w:tl2br w:val="nil"/>
                    <w:tr2bl w:val="nil"/>
                  </w:tcBorders>
                  <w:shd w:val="clear" w:color="auto" w:fill="auto"/>
                  <w:vAlign w:val="center"/>
                </w:tcPr>
                <w:p w14:paraId="150E539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r>
            <w:tr w14:paraId="536281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007702F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32</w:t>
                  </w:r>
                </w:p>
              </w:tc>
              <w:tc>
                <w:tcPr>
                  <w:tcW w:w="1917" w:type="pct"/>
                  <w:tcBorders>
                    <w:tl2br w:val="nil"/>
                    <w:tr2bl w:val="nil"/>
                  </w:tcBorders>
                  <w:shd w:val="clear" w:color="auto" w:fill="auto"/>
                  <w:vAlign w:val="center"/>
                </w:tcPr>
                <w:p w14:paraId="0F4F453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铅</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μg/L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29F4F37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&lt;2.5</w:t>
                  </w:r>
                </w:p>
              </w:tc>
              <w:tc>
                <w:tcPr>
                  <w:tcW w:w="1046" w:type="pct"/>
                  <w:tcBorders>
                    <w:tl2br w:val="nil"/>
                    <w:tr2bl w:val="nil"/>
                  </w:tcBorders>
                  <w:shd w:val="clear" w:color="auto" w:fill="auto"/>
                  <w:vAlign w:val="center"/>
                </w:tcPr>
                <w:p w14:paraId="4930411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&lt;2.5</w:t>
                  </w:r>
                </w:p>
              </w:tc>
              <w:tc>
                <w:tcPr>
                  <w:tcW w:w="717" w:type="pct"/>
                  <w:tcBorders>
                    <w:tl2br w:val="nil"/>
                    <w:tr2bl w:val="nil"/>
                  </w:tcBorders>
                  <w:shd w:val="clear" w:color="auto" w:fill="auto"/>
                  <w:vAlign w:val="center"/>
                </w:tcPr>
                <w:p w14:paraId="248B532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r>
            <w:tr w14:paraId="0DF2B0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7B2B352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33</w:t>
                  </w:r>
                </w:p>
              </w:tc>
              <w:tc>
                <w:tcPr>
                  <w:tcW w:w="1917" w:type="pct"/>
                  <w:tcBorders>
                    <w:tl2br w:val="nil"/>
                    <w:tr2bl w:val="nil"/>
                  </w:tcBorders>
                  <w:shd w:val="clear" w:color="auto" w:fill="auto"/>
                  <w:vAlign w:val="center"/>
                </w:tcPr>
                <w:p w14:paraId="3901A27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镉</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μg</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1D11A12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&lt;0.5</w:t>
                  </w:r>
                </w:p>
              </w:tc>
              <w:tc>
                <w:tcPr>
                  <w:tcW w:w="1046" w:type="pct"/>
                  <w:tcBorders>
                    <w:tl2br w:val="nil"/>
                    <w:tr2bl w:val="nil"/>
                  </w:tcBorders>
                  <w:shd w:val="clear" w:color="auto" w:fill="auto"/>
                  <w:vAlign w:val="center"/>
                </w:tcPr>
                <w:p w14:paraId="0B08C4A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&lt;0.5</w:t>
                  </w:r>
                </w:p>
              </w:tc>
              <w:tc>
                <w:tcPr>
                  <w:tcW w:w="717" w:type="pct"/>
                  <w:tcBorders>
                    <w:tl2br w:val="nil"/>
                    <w:tr2bl w:val="nil"/>
                  </w:tcBorders>
                  <w:shd w:val="clear" w:color="auto" w:fill="auto"/>
                  <w:vAlign w:val="center"/>
                </w:tcPr>
                <w:p w14:paraId="719F932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r>
            <w:tr w14:paraId="09B6C8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6D8AD46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34</w:t>
                  </w:r>
                </w:p>
              </w:tc>
              <w:tc>
                <w:tcPr>
                  <w:tcW w:w="1917" w:type="pct"/>
                  <w:tcBorders>
                    <w:tl2br w:val="nil"/>
                    <w:tr2bl w:val="nil"/>
                  </w:tcBorders>
                  <w:shd w:val="clear" w:color="auto" w:fill="auto"/>
                  <w:vAlign w:val="center"/>
                </w:tcPr>
                <w:p w14:paraId="30A738D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六价铬</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mg/L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3F1FF28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&lt;0.004</w:t>
                  </w:r>
                </w:p>
              </w:tc>
              <w:tc>
                <w:tcPr>
                  <w:tcW w:w="1046" w:type="pct"/>
                  <w:tcBorders>
                    <w:tl2br w:val="nil"/>
                    <w:tr2bl w:val="nil"/>
                  </w:tcBorders>
                  <w:shd w:val="clear" w:color="auto" w:fill="auto"/>
                  <w:vAlign w:val="center"/>
                </w:tcPr>
                <w:p w14:paraId="40F4D00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&lt;0.004</w:t>
                  </w:r>
                </w:p>
              </w:tc>
              <w:tc>
                <w:tcPr>
                  <w:tcW w:w="717" w:type="pct"/>
                  <w:tcBorders>
                    <w:tl2br w:val="nil"/>
                    <w:tr2bl w:val="nil"/>
                  </w:tcBorders>
                  <w:shd w:val="clear" w:color="auto" w:fill="auto"/>
                  <w:vAlign w:val="center"/>
                </w:tcPr>
                <w:p w14:paraId="615542B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≤0.05</w:t>
                  </w:r>
                </w:p>
              </w:tc>
            </w:tr>
            <w:tr w14:paraId="5AC14D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47DF00B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35</w:t>
                  </w:r>
                </w:p>
              </w:tc>
              <w:tc>
                <w:tcPr>
                  <w:tcW w:w="1917" w:type="pct"/>
                  <w:tcBorders>
                    <w:tl2br w:val="nil"/>
                    <w:tr2bl w:val="nil"/>
                  </w:tcBorders>
                  <w:shd w:val="clear" w:color="auto" w:fill="auto"/>
                  <w:vAlign w:val="center"/>
                </w:tcPr>
                <w:p w14:paraId="2E27452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三氯甲烷</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μg</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25E7510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&lt;0.02</w:t>
                  </w:r>
                </w:p>
              </w:tc>
              <w:tc>
                <w:tcPr>
                  <w:tcW w:w="1046" w:type="pct"/>
                  <w:tcBorders>
                    <w:tl2br w:val="nil"/>
                    <w:tr2bl w:val="nil"/>
                  </w:tcBorders>
                  <w:shd w:val="clear" w:color="auto" w:fill="auto"/>
                  <w:vAlign w:val="center"/>
                </w:tcPr>
                <w:p w14:paraId="657F3FA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&lt;0.02</w:t>
                  </w:r>
                </w:p>
              </w:tc>
              <w:tc>
                <w:tcPr>
                  <w:tcW w:w="717" w:type="pct"/>
                  <w:tcBorders>
                    <w:tl2br w:val="nil"/>
                    <w:tr2bl w:val="nil"/>
                  </w:tcBorders>
                  <w:shd w:val="clear" w:color="auto" w:fill="auto"/>
                  <w:vAlign w:val="center"/>
                </w:tcPr>
                <w:p w14:paraId="2D0CC32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≤60</w:t>
                  </w:r>
                </w:p>
              </w:tc>
            </w:tr>
            <w:tr w14:paraId="1E9933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3221002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36</w:t>
                  </w:r>
                </w:p>
              </w:tc>
              <w:tc>
                <w:tcPr>
                  <w:tcW w:w="1917" w:type="pct"/>
                  <w:tcBorders>
                    <w:tl2br w:val="nil"/>
                    <w:tr2bl w:val="nil"/>
                  </w:tcBorders>
                  <w:shd w:val="clear" w:color="auto" w:fill="auto"/>
                  <w:vAlign w:val="center"/>
                </w:tcPr>
                <w:p w14:paraId="09A23D2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四氯化碳</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μg/L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0F0073D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&lt;0.03</w:t>
                  </w:r>
                </w:p>
              </w:tc>
              <w:tc>
                <w:tcPr>
                  <w:tcW w:w="1046" w:type="pct"/>
                  <w:tcBorders>
                    <w:tl2br w:val="nil"/>
                    <w:tr2bl w:val="nil"/>
                  </w:tcBorders>
                  <w:shd w:val="clear" w:color="auto" w:fill="auto"/>
                  <w:vAlign w:val="center"/>
                </w:tcPr>
                <w:p w14:paraId="4249AA9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&lt;0.03</w:t>
                  </w:r>
                </w:p>
              </w:tc>
              <w:tc>
                <w:tcPr>
                  <w:tcW w:w="717" w:type="pct"/>
                  <w:tcBorders>
                    <w:tl2br w:val="nil"/>
                    <w:tr2bl w:val="nil"/>
                  </w:tcBorders>
                  <w:shd w:val="clear" w:color="auto" w:fill="auto"/>
                  <w:vAlign w:val="center"/>
                </w:tcPr>
                <w:p w14:paraId="658BE87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w:t>
                  </w:r>
                </w:p>
              </w:tc>
            </w:tr>
            <w:tr w14:paraId="651B63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60A6344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37</w:t>
                  </w:r>
                </w:p>
              </w:tc>
              <w:tc>
                <w:tcPr>
                  <w:tcW w:w="1917" w:type="pct"/>
                  <w:tcBorders>
                    <w:tl2br w:val="nil"/>
                    <w:tr2bl w:val="nil"/>
                  </w:tcBorders>
                  <w:shd w:val="clear" w:color="auto" w:fill="auto"/>
                  <w:vAlign w:val="center"/>
                </w:tcPr>
                <w:p w14:paraId="40D89DF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苯</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μg/L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754D736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&lt;2</w:t>
                  </w:r>
                </w:p>
              </w:tc>
              <w:tc>
                <w:tcPr>
                  <w:tcW w:w="1046" w:type="pct"/>
                  <w:tcBorders>
                    <w:tl2br w:val="nil"/>
                    <w:tr2bl w:val="nil"/>
                  </w:tcBorders>
                  <w:shd w:val="clear" w:color="auto" w:fill="auto"/>
                  <w:vAlign w:val="center"/>
                </w:tcPr>
                <w:p w14:paraId="29A4AB3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&lt;2</w:t>
                  </w:r>
                </w:p>
              </w:tc>
              <w:tc>
                <w:tcPr>
                  <w:tcW w:w="717" w:type="pct"/>
                  <w:tcBorders>
                    <w:tl2br w:val="nil"/>
                    <w:tr2bl w:val="nil"/>
                  </w:tcBorders>
                  <w:shd w:val="clear" w:color="auto" w:fill="auto"/>
                  <w:vAlign w:val="center"/>
                </w:tcPr>
                <w:p w14:paraId="47CCA11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≤10.0</w:t>
                  </w:r>
                </w:p>
              </w:tc>
            </w:tr>
            <w:tr w14:paraId="6B7B61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2BF6D84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38</w:t>
                  </w:r>
                </w:p>
              </w:tc>
              <w:tc>
                <w:tcPr>
                  <w:tcW w:w="1917" w:type="pct"/>
                  <w:tcBorders>
                    <w:tl2br w:val="nil"/>
                    <w:tr2bl w:val="nil"/>
                  </w:tcBorders>
                  <w:shd w:val="clear" w:color="auto" w:fill="auto"/>
                  <w:vAlign w:val="center"/>
                </w:tcPr>
                <w:p w14:paraId="10AC49E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甲苯</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μg/L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7FE2E7A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&lt;2</w:t>
                  </w:r>
                </w:p>
              </w:tc>
              <w:tc>
                <w:tcPr>
                  <w:tcW w:w="1046" w:type="pct"/>
                  <w:tcBorders>
                    <w:tl2br w:val="nil"/>
                    <w:tr2bl w:val="nil"/>
                  </w:tcBorders>
                  <w:shd w:val="clear" w:color="auto" w:fill="auto"/>
                  <w:vAlign w:val="center"/>
                </w:tcPr>
                <w:p w14:paraId="0C27904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&lt;2</w:t>
                  </w:r>
                </w:p>
              </w:tc>
              <w:tc>
                <w:tcPr>
                  <w:tcW w:w="717" w:type="pct"/>
                  <w:tcBorders>
                    <w:tl2br w:val="nil"/>
                    <w:tr2bl w:val="nil"/>
                  </w:tcBorders>
                  <w:shd w:val="clear" w:color="auto" w:fill="auto"/>
                  <w:vAlign w:val="center"/>
                </w:tcPr>
                <w:p w14:paraId="31C6B65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≤700</w:t>
                  </w:r>
                </w:p>
              </w:tc>
            </w:tr>
            <w:tr w14:paraId="153843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046182A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39</w:t>
                  </w:r>
                </w:p>
              </w:tc>
              <w:tc>
                <w:tcPr>
                  <w:tcW w:w="1917" w:type="pct"/>
                  <w:tcBorders>
                    <w:tl2br w:val="nil"/>
                    <w:tr2bl w:val="nil"/>
                  </w:tcBorders>
                  <w:shd w:val="clear" w:color="auto" w:fill="auto"/>
                  <w:vAlign w:val="center"/>
                </w:tcPr>
                <w:p w14:paraId="5A42422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碳酸根</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mg/L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2E4AFBD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1046" w:type="pct"/>
                  <w:tcBorders>
                    <w:tl2br w:val="nil"/>
                    <w:tr2bl w:val="nil"/>
                  </w:tcBorders>
                  <w:shd w:val="clear" w:color="auto" w:fill="auto"/>
                  <w:vAlign w:val="center"/>
                </w:tcPr>
                <w:p w14:paraId="0B45367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&lt;5</w:t>
                  </w:r>
                </w:p>
              </w:tc>
              <w:tc>
                <w:tcPr>
                  <w:tcW w:w="717" w:type="pct"/>
                  <w:tcBorders>
                    <w:tl2br w:val="nil"/>
                    <w:tr2bl w:val="nil"/>
                  </w:tcBorders>
                  <w:shd w:val="clear" w:color="auto" w:fill="auto"/>
                  <w:vAlign w:val="center"/>
                </w:tcPr>
                <w:p w14:paraId="626A978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r>
            <w:tr w14:paraId="10D24A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1D8C05E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40</w:t>
                  </w:r>
                </w:p>
              </w:tc>
              <w:tc>
                <w:tcPr>
                  <w:tcW w:w="1917" w:type="pct"/>
                  <w:tcBorders>
                    <w:tl2br w:val="nil"/>
                    <w:tr2bl w:val="nil"/>
                  </w:tcBorders>
                  <w:shd w:val="clear" w:color="auto" w:fill="auto"/>
                  <w:vAlign w:val="center"/>
                </w:tcPr>
                <w:p w14:paraId="51C486A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重碳酸根</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mg/L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1D4E4A3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289</w:t>
                  </w:r>
                </w:p>
              </w:tc>
              <w:tc>
                <w:tcPr>
                  <w:tcW w:w="1046" w:type="pct"/>
                  <w:tcBorders>
                    <w:tl2br w:val="nil"/>
                    <w:tr2bl w:val="nil"/>
                  </w:tcBorders>
                  <w:shd w:val="clear" w:color="auto" w:fill="auto"/>
                  <w:vAlign w:val="center"/>
                </w:tcPr>
                <w:p w14:paraId="6BC9232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616</w:t>
                  </w:r>
                </w:p>
              </w:tc>
              <w:tc>
                <w:tcPr>
                  <w:tcW w:w="717" w:type="pct"/>
                  <w:tcBorders>
                    <w:tl2br w:val="nil"/>
                    <w:tr2bl w:val="nil"/>
                  </w:tcBorders>
                  <w:shd w:val="clear" w:color="auto" w:fill="auto"/>
                  <w:vAlign w:val="center"/>
                </w:tcPr>
                <w:p w14:paraId="7E9562C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r>
            <w:tr w14:paraId="75351D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48A7D45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41</w:t>
                  </w:r>
                </w:p>
              </w:tc>
              <w:tc>
                <w:tcPr>
                  <w:tcW w:w="1917" w:type="pct"/>
                  <w:tcBorders>
                    <w:tl2br w:val="nil"/>
                    <w:tr2bl w:val="nil"/>
                  </w:tcBorders>
                  <w:shd w:val="clear" w:color="auto" w:fill="auto"/>
                  <w:vAlign w:val="center"/>
                </w:tcPr>
                <w:p w14:paraId="64B9DE1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石油类</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mg/L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0E6F95A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&lt;0.01</w:t>
                  </w:r>
                </w:p>
              </w:tc>
              <w:tc>
                <w:tcPr>
                  <w:tcW w:w="1046" w:type="pct"/>
                  <w:tcBorders>
                    <w:tl2br w:val="nil"/>
                    <w:tr2bl w:val="nil"/>
                  </w:tcBorders>
                  <w:shd w:val="clear" w:color="auto" w:fill="auto"/>
                  <w:vAlign w:val="center"/>
                </w:tcPr>
                <w:p w14:paraId="138F93C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&lt;0.01</w:t>
                  </w:r>
                </w:p>
              </w:tc>
              <w:tc>
                <w:tcPr>
                  <w:tcW w:w="717" w:type="pct"/>
                  <w:tcBorders>
                    <w:tl2br w:val="nil"/>
                    <w:tr2bl w:val="nil"/>
                  </w:tcBorders>
                  <w:shd w:val="clear" w:color="auto" w:fill="auto"/>
                  <w:vAlign w:val="center"/>
                </w:tcPr>
                <w:p w14:paraId="57E8111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≤0.05</w:t>
                  </w:r>
                </w:p>
              </w:tc>
            </w:tr>
            <w:tr w14:paraId="0AAED3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766219C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42</w:t>
                  </w:r>
                </w:p>
              </w:tc>
              <w:tc>
                <w:tcPr>
                  <w:tcW w:w="1917" w:type="pct"/>
                  <w:tcBorders>
                    <w:tl2br w:val="nil"/>
                    <w:tr2bl w:val="nil"/>
                  </w:tcBorders>
                  <w:shd w:val="clear" w:color="auto" w:fill="auto"/>
                  <w:vAlign w:val="center"/>
                </w:tcPr>
                <w:p w14:paraId="3D5A6E8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总大肠菌群</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MPN/100mL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6FA76FC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&lt;2</w:t>
                  </w:r>
                </w:p>
              </w:tc>
              <w:tc>
                <w:tcPr>
                  <w:tcW w:w="1046" w:type="pct"/>
                  <w:tcBorders>
                    <w:tl2br w:val="nil"/>
                    <w:tr2bl w:val="nil"/>
                  </w:tcBorders>
                  <w:shd w:val="clear" w:color="auto" w:fill="auto"/>
                  <w:vAlign w:val="center"/>
                </w:tcPr>
                <w:p w14:paraId="3FD4E8A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&lt;2</w:t>
                  </w:r>
                </w:p>
              </w:tc>
              <w:tc>
                <w:tcPr>
                  <w:tcW w:w="717" w:type="pct"/>
                  <w:tcBorders>
                    <w:tl2br w:val="nil"/>
                    <w:tr2bl w:val="nil"/>
                  </w:tcBorders>
                  <w:shd w:val="clear" w:color="auto" w:fill="auto"/>
                  <w:vAlign w:val="center"/>
                </w:tcPr>
                <w:p w14:paraId="4C24E62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w:t>
                  </w:r>
                </w:p>
              </w:tc>
            </w:tr>
            <w:tr w14:paraId="61FCFC9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71FF8F1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43</w:t>
                  </w:r>
                </w:p>
              </w:tc>
              <w:tc>
                <w:tcPr>
                  <w:tcW w:w="1917" w:type="pct"/>
                  <w:tcBorders>
                    <w:tl2br w:val="nil"/>
                    <w:tr2bl w:val="nil"/>
                  </w:tcBorders>
                  <w:shd w:val="clear" w:color="auto" w:fill="auto"/>
                  <w:vAlign w:val="center"/>
                </w:tcPr>
                <w:p w14:paraId="4B99B39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菌落总数</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CFU/mL</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13" w:type="pct"/>
                  <w:gridSpan w:val="2"/>
                  <w:tcBorders>
                    <w:tl2br w:val="nil"/>
                    <w:tr2bl w:val="nil"/>
                  </w:tcBorders>
                  <w:shd w:val="clear" w:color="auto" w:fill="auto"/>
                  <w:vAlign w:val="center"/>
                </w:tcPr>
                <w:p w14:paraId="7999802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69</w:t>
                  </w:r>
                </w:p>
              </w:tc>
              <w:tc>
                <w:tcPr>
                  <w:tcW w:w="1046" w:type="pct"/>
                  <w:tcBorders>
                    <w:tl2br w:val="nil"/>
                    <w:tr2bl w:val="nil"/>
                  </w:tcBorders>
                  <w:shd w:val="clear" w:color="auto" w:fill="auto"/>
                  <w:vAlign w:val="center"/>
                </w:tcPr>
                <w:p w14:paraId="5F67D24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73</w:t>
                  </w:r>
                </w:p>
              </w:tc>
              <w:tc>
                <w:tcPr>
                  <w:tcW w:w="717" w:type="pct"/>
                  <w:tcBorders>
                    <w:tl2br w:val="nil"/>
                    <w:tr2bl w:val="nil"/>
                  </w:tcBorders>
                  <w:shd w:val="clear" w:color="auto" w:fill="auto"/>
                  <w:vAlign w:val="center"/>
                </w:tcPr>
                <w:p w14:paraId="057575F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≤100</w:t>
                  </w:r>
                </w:p>
              </w:tc>
            </w:tr>
            <w:tr w14:paraId="1F5EDF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5C57DC9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44</w:t>
                  </w:r>
                </w:p>
              </w:tc>
              <w:tc>
                <w:tcPr>
                  <w:tcW w:w="1917" w:type="pct"/>
                  <w:tcBorders>
                    <w:tl2br w:val="nil"/>
                    <w:tr2bl w:val="nil"/>
                  </w:tcBorders>
                  <w:shd w:val="clear" w:color="auto" w:fill="auto"/>
                  <w:vAlign w:val="center"/>
                </w:tcPr>
                <w:p w14:paraId="631C31E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*铂</w:t>
                  </w:r>
                </w:p>
              </w:tc>
              <w:tc>
                <w:tcPr>
                  <w:tcW w:w="913" w:type="pct"/>
                  <w:gridSpan w:val="2"/>
                  <w:tcBorders>
                    <w:tl2br w:val="nil"/>
                    <w:tr2bl w:val="nil"/>
                  </w:tcBorders>
                  <w:shd w:val="clear" w:color="auto" w:fill="auto"/>
                  <w:vAlign w:val="center"/>
                </w:tcPr>
                <w:p w14:paraId="00EAB2F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0.03ND</w:t>
                  </w:r>
                </w:p>
              </w:tc>
              <w:tc>
                <w:tcPr>
                  <w:tcW w:w="1046" w:type="pct"/>
                  <w:tcBorders>
                    <w:tl2br w:val="nil"/>
                    <w:tr2bl w:val="nil"/>
                  </w:tcBorders>
                  <w:shd w:val="clear" w:color="auto" w:fill="auto"/>
                  <w:vAlign w:val="center"/>
                </w:tcPr>
                <w:p w14:paraId="1D88F36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0.03ND</w:t>
                  </w:r>
                </w:p>
              </w:tc>
              <w:tc>
                <w:tcPr>
                  <w:tcW w:w="717" w:type="pct"/>
                  <w:tcBorders>
                    <w:tl2br w:val="nil"/>
                    <w:tr2bl w:val="nil"/>
                  </w:tcBorders>
                  <w:shd w:val="clear" w:color="auto" w:fill="auto"/>
                  <w:noWrap/>
                  <w:vAlign w:val="center"/>
                </w:tcPr>
                <w:p w14:paraId="1709EC76">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38E20B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2920B75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45</w:t>
                  </w:r>
                </w:p>
              </w:tc>
              <w:tc>
                <w:tcPr>
                  <w:tcW w:w="1917" w:type="pct"/>
                  <w:tcBorders>
                    <w:tl2br w:val="nil"/>
                    <w:tr2bl w:val="nil"/>
                  </w:tcBorders>
                  <w:shd w:val="clear" w:color="auto" w:fill="auto"/>
                  <w:vAlign w:val="center"/>
                </w:tcPr>
                <w:p w14:paraId="45819FF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*钯</w:t>
                  </w:r>
                </w:p>
              </w:tc>
              <w:tc>
                <w:tcPr>
                  <w:tcW w:w="913" w:type="pct"/>
                  <w:gridSpan w:val="2"/>
                  <w:tcBorders>
                    <w:tl2br w:val="nil"/>
                    <w:tr2bl w:val="nil"/>
                  </w:tcBorders>
                  <w:shd w:val="clear" w:color="auto" w:fill="auto"/>
                  <w:vAlign w:val="center"/>
                </w:tcPr>
                <w:p w14:paraId="38188B7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0.02ND</w:t>
                  </w:r>
                </w:p>
              </w:tc>
              <w:tc>
                <w:tcPr>
                  <w:tcW w:w="1046" w:type="pct"/>
                  <w:tcBorders>
                    <w:tl2br w:val="nil"/>
                    <w:tr2bl w:val="nil"/>
                  </w:tcBorders>
                  <w:shd w:val="clear" w:color="auto" w:fill="auto"/>
                  <w:vAlign w:val="center"/>
                </w:tcPr>
                <w:p w14:paraId="22A2AA6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0.02ND</w:t>
                  </w:r>
                </w:p>
              </w:tc>
              <w:tc>
                <w:tcPr>
                  <w:tcW w:w="717" w:type="pct"/>
                  <w:tcBorders>
                    <w:tl2br w:val="nil"/>
                    <w:tr2bl w:val="nil"/>
                  </w:tcBorders>
                  <w:shd w:val="clear" w:color="auto" w:fill="auto"/>
                  <w:noWrap/>
                  <w:vAlign w:val="center"/>
                </w:tcPr>
                <w:p w14:paraId="7B29EEFA">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3BA213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62297A5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46</w:t>
                  </w:r>
                </w:p>
              </w:tc>
              <w:tc>
                <w:tcPr>
                  <w:tcW w:w="1917" w:type="pct"/>
                  <w:tcBorders>
                    <w:tl2br w:val="nil"/>
                    <w:tr2bl w:val="nil"/>
                  </w:tcBorders>
                  <w:shd w:val="clear" w:color="auto" w:fill="auto"/>
                  <w:vAlign w:val="center"/>
                </w:tcPr>
                <w:p w14:paraId="7779865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钒</w:t>
                  </w:r>
                </w:p>
              </w:tc>
              <w:tc>
                <w:tcPr>
                  <w:tcW w:w="913" w:type="pct"/>
                  <w:gridSpan w:val="2"/>
                  <w:tcBorders>
                    <w:tl2br w:val="nil"/>
                    <w:tr2bl w:val="nil"/>
                  </w:tcBorders>
                  <w:shd w:val="clear" w:color="auto" w:fill="auto"/>
                  <w:vAlign w:val="center"/>
                </w:tcPr>
                <w:p w14:paraId="79264FA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&lt;0.01</w:t>
                  </w:r>
                </w:p>
              </w:tc>
              <w:tc>
                <w:tcPr>
                  <w:tcW w:w="1046" w:type="pct"/>
                  <w:tcBorders>
                    <w:tl2br w:val="nil"/>
                    <w:tr2bl w:val="nil"/>
                  </w:tcBorders>
                  <w:shd w:val="clear" w:color="auto" w:fill="auto"/>
                  <w:vAlign w:val="center"/>
                </w:tcPr>
                <w:p w14:paraId="5556AB2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&lt;0.01</w:t>
                  </w:r>
                </w:p>
              </w:tc>
              <w:tc>
                <w:tcPr>
                  <w:tcW w:w="717" w:type="pct"/>
                  <w:tcBorders>
                    <w:tl2br w:val="nil"/>
                    <w:tr2bl w:val="nil"/>
                  </w:tcBorders>
                  <w:shd w:val="clear" w:color="auto" w:fill="auto"/>
                  <w:noWrap/>
                  <w:vAlign w:val="center"/>
                </w:tcPr>
                <w:p w14:paraId="02F0158C">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B94A2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15404DA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执行标准</w:t>
                  </w:r>
                </w:p>
              </w:tc>
              <w:tc>
                <w:tcPr>
                  <w:tcW w:w="4595" w:type="pct"/>
                  <w:gridSpan w:val="5"/>
                  <w:tcBorders>
                    <w:tl2br w:val="nil"/>
                    <w:tr2bl w:val="nil"/>
                  </w:tcBorders>
                  <w:shd w:val="clear" w:color="auto" w:fill="auto"/>
                  <w:vAlign w:val="center"/>
                </w:tcPr>
                <w:p w14:paraId="2C36946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《地下水质量标准》</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GB/T14848-2017中Ⅲ类，石油类执行《地表水环境质量标准》</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GB3838-2002</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中Ⅲ类</w:t>
                  </w:r>
                  <w:r>
                    <w:rPr>
                      <w:rFonts w:hint="eastAsia" w:cs="Times New Roman"/>
                      <w:color w:val="000000" w:themeColor="text1"/>
                      <w:sz w:val="21"/>
                      <w:szCs w:val="21"/>
                      <w:highlight w:val="none"/>
                      <w:lang w:val="en-US" w:eastAsia="zh-CN" w:bidi="ar"/>
                      <w14:textFill>
                        <w14:solidFill>
                          <w14:schemeClr w14:val="tx1"/>
                        </w14:solidFill>
                      </w14:textFill>
                    </w:rPr>
                    <w:t>。</w:t>
                  </w:r>
                </w:p>
              </w:tc>
            </w:tr>
            <w:tr w14:paraId="6031EC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04" w:type="pct"/>
                  <w:tcBorders>
                    <w:tl2br w:val="nil"/>
                    <w:tr2bl w:val="nil"/>
                  </w:tcBorders>
                  <w:shd w:val="clear" w:color="auto" w:fill="auto"/>
                  <w:vAlign w:val="center"/>
                </w:tcPr>
                <w:p w14:paraId="6E0CE81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备注</w:t>
                  </w:r>
                </w:p>
              </w:tc>
              <w:tc>
                <w:tcPr>
                  <w:tcW w:w="4595" w:type="pct"/>
                  <w:gridSpan w:val="5"/>
                  <w:tcBorders>
                    <w:tl2br w:val="nil"/>
                    <w:tr2bl w:val="nil"/>
                  </w:tcBorders>
                  <w:shd w:val="clear" w:color="auto" w:fill="auto"/>
                  <w:vAlign w:val="center"/>
                </w:tcPr>
                <w:p w14:paraId="582772B0">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top"/>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1.标“*”铂、钯内容为本公司分包项目，承包方的资质认定许可编号是232712050020</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p w14:paraId="7A7586B6">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top"/>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2.标“*”钒内容为本公司分包项目，承包方的资质认定许可编号是221120341379</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p>
                <w:p w14:paraId="5215EB53">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top"/>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3.高锰酸盐指数在《地下水质量标准》GB/T14848-2017中又名耗氧量</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COD</w:t>
                  </w:r>
                  <w:r>
                    <w:rPr>
                      <w:rFonts w:hint="default" w:ascii="Times New Roman" w:hAnsi="Times New Roman" w:eastAsia="宋体" w:cs="Times New Roman"/>
                      <w:i w:val="0"/>
                      <w:iCs w:val="0"/>
                      <w:color w:val="000000" w:themeColor="text1"/>
                      <w:kern w:val="0"/>
                      <w:sz w:val="21"/>
                      <w:szCs w:val="21"/>
                      <w:highlight w:val="none"/>
                      <w:u w:val="none"/>
                      <w:vertAlign w:val="subscript"/>
                      <w:lang w:val="en-US" w:eastAsia="zh-CN" w:bidi="ar"/>
                      <w14:textFill>
                        <w14:solidFill>
                          <w14:schemeClr w14:val="tx1"/>
                        </w14:solidFill>
                      </w14:textFill>
                    </w:rPr>
                    <w:t>Mn</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以O₂计</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4.结果低于方法检出限使用“&lt;”加方法检出限表示报出结果。</w:t>
                  </w:r>
                </w:p>
              </w:tc>
            </w:tr>
          </w:tbl>
          <w:p w14:paraId="4EAAE7E0">
            <w:pPr>
              <w:pStyle w:val="20"/>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表3-</w:t>
            </w:r>
            <w:r>
              <w:rPr>
                <w:rFonts w:hint="eastAsia"/>
                <w:color w:val="000000" w:themeColor="text1"/>
                <w:highlight w:val="none"/>
                <w:lang w:val="en-US" w:eastAsia="zh-CN"/>
                <w14:textFill>
                  <w14:solidFill>
                    <w14:schemeClr w14:val="tx1"/>
                  </w14:solidFill>
                </w14:textFill>
              </w:rPr>
              <w:t>5</w:t>
            </w:r>
            <w:r>
              <w:rPr>
                <w:rFonts w:hint="default"/>
                <w:color w:val="000000" w:themeColor="text1"/>
                <w:highlight w:val="none"/>
                <w14:textFill>
                  <w14:solidFill>
                    <w14:schemeClr w14:val="tx1"/>
                  </w14:solidFill>
                </w14:textFill>
              </w:rPr>
              <w:t xml:space="preserve">  地下水现状监测地下水质量评价结果（标准指数）一览表</w:t>
            </w:r>
          </w:p>
          <w:tbl>
            <w:tblPr>
              <w:tblStyle w:val="12"/>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243"/>
              <w:gridCol w:w="4847"/>
              <w:gridCol w:w="2220"/>
              <w:gridCol w:w="2252"/>
              <w:gridCol w:w="1529"/>
            </w:tblGrid>
            <w:tr w14:paraId="0E5489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2518" w:type="pct"/>
                  <w:gridSpan w:val="2"/>
                  <w:vMerge w:val="restart"/>
                  <w:tcBorders>
                    <w:tl2br w:val="nil"/>
                    <w:tr2bl w:val="nil"/>
                  </w:tcBorders>
                  <w:shd w:val="clear" w:color="auto" w:fill="auto"/>
                  <w:vAlign w:val="center"/>
                </w:tcPr>
                <w:p w14:paraId="0AE8DA5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监测项目及点位</w:t>
                  </w:r>
                </w:p>
              </w:tc>
              <w:tc>
                <w:tcPr>
                  <w:tcW w:w="1849" w:type="pct"/>
                  <w:gridSpan w:val="2"/>
                  <w:tcBorders>
                    <w:tl2br w:val="nil"/>
                    <w:tr2bl w:val="nil"/>
                  </w:tcBorders>
                  <w:shd w:val="clear" w:color="auto" w:fill="auto"/>
                  <w:vAlign w:val="center"/>
                </w:tcPr>
                <w:p w14:paraId="51FA521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测定结果</w:t>
                  </w:r>
                </w:p>
              </w:tc>
              <w:tc>
                <w:tcPr>
                  <w:tcW w:w="631" w:type="pct"/>
                  <w:vMerge w:val="restart"/>
                  <w:tcBorders>
                    <w:tl2br w:val="nil"/>
                    <w:tr2bl w:val="nil"/>
                  </w:tcBorders>
                  <w:shd w:val="clear" w:color="auto" w:fill="auto"/>
                  <w:vAlign w:val="center"/>
                </w:tcPr>
                <w:p w14:paraId="60EC67F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标准值</w:t>
                  </w:r>
                </w:p>
              </w:tc>
            </w:tr>
            <w:tr w14:paraId="2E63E4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18" w:type="pct"/>
                  <w:gridSpan w:val="2"/>
                  <w:vMerge w:val="continue"/>
                  <w:tcBorders>
                    <w:tl2br w:val="nil"/>
                    <w:tr2bl w:val="nil"/>
                  </w:tcBorders>
                  <w:shd w:val="clear" w:color="auto" w:fill="auto"/>
                  <w:vAlign w:val="center"/>
                </w:tcPr>
                <w:p w14:paraId="0DE3B3CD">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c>
                <w:tcPr>
                  <w:tcW w:w="918" w:type="pct"/>
                  <w:tcBorders>
                    <w:tl2br w:val="nil"/>
                    <w:tr2bl w:val="nil"/>
                  </w:tcBorders>
                  <w:shd w:val="clear" w:color="auto" w:fill="auto"/>
                  <w:vAlign w:val="center"/>
                </w:tcPr>
                <w:p w14:paraId="38516C4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6#搅拌站自建井</w:t>
                  </w:r>
                </w:p>
              </w:tc>
              <w:tc>
                <w:tcPr>
                  <w:tcW w:w="931" w:type="pct"/>
                  <w:tcBorders>
                    <w:tl2br w:val="nil"/>
                    <w:tr2bl w:val="nil"/>
                  </w:tcBorders>
                  <w:shd w:val="clear" w:color="auto" w:fill="auto"/>
                  <w:vAlign w:val="center"/>
                </w:tcPr>
                <w:p w14:paraId="35DFBA4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7#小沙湖度假村</w:t>
                  </w:r>
                </w:p>
              </w:tc>
              <w:tc>
                <w:tcPr>
                  <w:tcW w:w="631" w:type="pct"/>
                  <w:vMerge w:val="continue"/>
                  <w:tcBorders>
                    <w:tl2br w:val="nil"/>
                    <w:tr2bl w:val="nil"/>
                  </w:tcBorders>
                  <w:shd w:val="clear" w:color="auto" w:fill="auto"/>
                  <w:vAlign w:val="center"/>
                </w:tcPr>
                <w:p w14:paraId="45783C47">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r>
            <w:tr w14:paraId="63201B1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3E53D2E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1</w:t>
                  </w:r>
                </w:p>
              </w:tc>
              <w:tc>
                <w:tcPr>
                  <w:tcW w:w="2004" w:type="pct"/>
                  <w:tcBorders>
                    <w:tl2br w:val="nil"/>
                    <w:tr2bl w:val="nil"/>
                  </w:tcBorders>
                  <w:shd w:val="clear" w:color="auto" w:fill="auto"/>
                  <w:vAlign w:val="center"/>
                </w:tcPr>
                <w:p w14:paraId="7A598D5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pH（无量纲）</w:t>
                  </w:r>
                </w:p>
              </w:tc>
              <w:tc>
                <w:tcPr>
                  <w:tcW w:w="918" w:type="pct"/>
                  <w:tcBorders>
                    <w:tl2br w:val="nil"/>
                    <w:tr2bl w:val="nil"/>
                  </w:tcBorders>
                  <w:shd w:val="clear" w:color="auto" w:fill="auto"/>
                  <w:vAlign w:val="center"/>
                </w:tcPr>
                <w:p w14:paraId="29DE435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0.00</w:t>
                  </w:r>
                </w:p>
              </w:tc>
              <w:tc>
                <w:tcPr>
                  <w:tcW w:w="931" w:type="pct"/>
                  <w:tcBorders>
                    <w:tl2br w:val="nil"/>
                    <w:tr2bl w:val="nil"/>
                  </w:tcBorders>
                  <w:shd w:val="clear" w:color="auto" w:fill="auto"/>
                  <w:vAlign w:val="center"/>
                </w:tcPr>
                <w:p w14:paraId="410DDA8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0.13</w:t>
                  </w:r>
                </w:p>
              </w:tc>
              <w:tc>
                <w:tcPr>
                  <w:tcW w:w="631" w:type="pct"/>
                  <w:tcBorders>
                    <w:tl2br w:val="nil"/>
                    <w:tr2bl w:val="nil"/>
                  </w:tcBorders>
                  <w:shd w:val="clear" w:color="auto" w:fill="auto"/>
                  <w:vAlign w:val="center"/>
                </w:tcPr>
                <w:p w14:paraId="2C19FA2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6.5-8.5</w:t>
                  </w:r>
                </w:p>
              </w:tc>
            </w:tr>
            <w:tr w14:paraId="4A25B7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4B07C16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w:t>
                  </w:r>
                </w:p>
              </w:tc>
              <w:tc>
                <w:tcPr>
                  <w:tcW w:w="2004" w:type="pct"/>
                  <w:tcBorders>
                    <w:tl2br w:val="nil"/>
                    <w:tr2bl w:val="nil"/>
                  </w:tcBorders>
                  <w:shd w:val="clear" w:color="auto" w:fill="auto"/>
                  <w:vAlign w:val="center"/>
                </w:tcPr>
                <w:p w14:paraId="424F9E0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色度（度）</w:t>
                  </w:r>
                </w:p>
              </w:tc>
              <w:tc>
                <w:tcPr>
                  <w:tcW w:w="918" w:type="pct"/>
                  <w:tcBorders>
                    <w:tl2br w:val="nil"/>
                    <w:tr2bl w:val="nil"/>
                  </w:tcBorders>
                  <w:shd w:val="clear" w:color="auto" w:fill="auto"/>
                  <w:vAlign w:val="center"/>
                </w:tcPr>
                <w:p w14:paraId="3675541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0.33</w:t>
                  </w:r>
                </w:p>
              </w:tc>
              <w:tc>
                <w:tcPr>
                  <w:tcW w:w="931" w:type="pct"/>
                  <w:tcBorders>
                    <w:tl2br w:val="nil"/>
                    <w:tr2bl w:val="nil"/>
                  </w:tcBorders>
                  <w:shd w:val="clear" w:color="auto" w:fill="auto"/>
                  <w:vAlign w:val="center"/>
                </w:tcPr>
                <w:p w14:paraId="151BA52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0.33</w:t>
                  </w:r>
                </w:p>
              </w:tc>
              <w:tc>
                <w:tcPr>
                  <w:tcW w:w="631" w:type="pct"/>
                  <w:tcBorders>
                    <w:tl2br w:val="nil"/>
                    <w:tr2bl w:val="nil"/>
                  </w:tcBorders>
                  <w:shd w:val="clear" w:color="auto" w:fill="auto"/>
                  <w:vAlign w:val="center"/>
                </w:tcPr>
                <w:p w14:paraId="4F91227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≤15</w:t>
                  </w:r>
                </w:p>
              </w:tc>
            </w:tr>
            <w:tr w14:paraId="18DD70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321615C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w:t>
                  </w:r>
                </w:p>
              </w:tc>
              <w:tc>
                <w:tcPr>
                  <w:tcW w:w="2004" w:type="pct"/>
                  <w:tcBorders>
                    <w:tl2br w:val="nil"/>
                    <w:tr2bl w:val="nil"/>
                  </w:tcBorders>
                  <w:shd w:val="clear" w:color="auto" w:fill="auto"/>
                  <w:vAlign w:val="center"/>
                </w:tcPr>
                <w:p w14:paraId="2711760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臭和味</w:t>
                  </w:r>
                </w:p>
              </w:tc>
              <w:tc>
                <w:tcPr>
                  <w:tcW w:w="918" w:type="pct"/>
                  <w:tcBorders>
                    <w:tl2br w:val="nil"/>
                    <w:tr2bl w:val="nil"/>
                  </w:tcBorders>
                  <w:shd w:val="clear" w:color="auto" w:fill="auto"/>
                  <w:vAlign w:val="center"/>
                </w:tcPr>
                <w:p w14:paraId="3A37753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43357CC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31E1B25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无</w:t>
                  </w:r>
                </w:p>
              </w:tc>
            </w:tr>
            <w:tr w14:paraId="753A78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2FB2D65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w:t>
                  </w:r>
                </w:p>
              </w:tc>
              <w:tc>
                <w:tcPr>
                  <w:tcW w:w="2004" w:type="pct"/>
                  <w:tcBorders>
                    <w:tl2br w:val="nil"/>
                    <w:tr2bl w:val="nil"/>
                  </w:tcBorders>
                  <w:shd w:val="clear" w:color="auto" w:fill="auto"/>
                  <w:vAlign w:val="center"/>
                </w:tcPr>
                <w:p w14:paraId="45C5816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浑浊度（NTU）</w:t>
                  </w:r>
                </w:p>
              </w:tc>
              <w:tc>
                <w:tcPr>
                  <w:tcW w:w="918" w:type="pct"/>
                  <w:tcBorders>
                    <w:tl2br w:val="nil"/>
                    <w:tr2bl w:val="nil"/>
                  </w:tcBorders>
                  <w:shd w:val="clear" w:color="auto" w:fill="auto"/>
                  <w:vAlign w:val="center"/>
                </w:tcPr>
                <w:p w14:paraId="42B18F3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0.67</w:t>
                  </w:r>
                </w:p>
              </w:tc>
              <w:tc>
                <w:tcPr>
                  <w:tcW w:w="931" w:type="pct"/>
                  <w:tcBorders>
                    <w:tl2br w:val="nil"/>
                    <w:tr2bl w:val="nil"/>
                  </w:tcBorders>
                  <w:shd w:val="clear" w:color="auto" w:fill="auto"/>
                  <w:vAlign w:val="center"/>
                </w:tcPr>
                <w:p w14:paraId="6B1E000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0.67</w:t>
                  </w:r>
                </w:p>
              </w:tc>
              <w:tc>
                <w:tcPr>
                  <w:tcW w:w="631" w:type="pct"/>
                  <w:tcBorders>
                    <w:tl2br w:val="nil"/>
                    <w:tr2bl w:val="nil"/>
                  </w:tcBorders>
                  <w:shd w:val="clear" w:color="auto" w:fill="auto"/>
                  <w:vAlign w:val="center"/>
                </w:tcPr>
                <w:p w14:paraId="281BAD8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≤3</w:t>
                  </w:r>
                </w:p>
              </w:tc>
            </w:tr>
            <w:tr w14:paraId="4E08B0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04DF2CC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5</w:t>
                  </w:r>
                </w:p>
              </w:tc>
              <w:tc>
                <w:tcPr>
                  <w:tcW w:w="2004" w:type="pct"/>
                  <w:tcBorders>
                    <w:tl2br w:val="nil"/>
                    <w:tr2bl w:val="nil"/>
                  </w:tcBorders>
                  <w:shd w:val="clear" w:color="auto" w:fill="auto"/>
                  <w:vAlign w:val="center"/>
                </w:tcPr>
                <w:p w14:paraId="2B7C246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肉眼可见物</w:t>
                  </w:r>
                </w:p>
              </w:tc>
              <w:tc>
                <w:tcPr>
                  <w:tcW w:w="918" w:type="pct"/>
                  <w:tcBorders>
                    <w:tl2br w:val="nil"/>
                    <w:tr2bl w:val="nil"/>
                  </w:tcBorders>
                  <w:shd w:val="clear" w:color="auto" w:fill="auto"/>
                  <w:vAlign w:val="center"/>
                </w:tcPr>
                <w:p w14:paraId="1BD904D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1C2B3F4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307C6FA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无</w:t>
                  </w:r>
                </w:p>
              </w:tc>
            </w:tr>
            <w:tr w14:paraId="2466E4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45AAE09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6</w:t>
                  </w:r>
                </w:p>
              </w:tc>
              <w:tc>
                <w:tcPr>
                  <w:tcW w:w="2004" w:type="pct"/>
                  <w:tcBorders>
                    <w:tl2br w:val="nil"/>
                    <w:tr2bl w:val="nil"/>
                  </w:tcBorders>
                  <w:shd w:val="clear" w:color="auto" w:fill="auto"/>
                  <w:vAlign w:val="center"/>
                </w:tcPr>
                <w:p w14:paraId="0910CBD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总硬度（mg/L）</w:t>
                  </w:r>
                </w:p>
              </w:tc>
              <w:tc>
                <w:tcPr>
                  <w:tcW w:w="918" w:type="pct"/>
                  <w:tcBorders>
                    <w:tl2br w:val="nil"/>
                    <w:tr2bl w:val="nil"/>
                  </w:tcBorders>
                  <w:shd w:val="clear" w:color="auto" w:fill="auto"/>
                  <w:vAlign w:val="center"/>
                </w:tcPr>
                <w:p w14:paraId="1CE9343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0.84</w:t>
                  </w:r>
                </w:p>
              </w:tc>
              <w:tc>
                <w:tcPr>
                  <w:tcW w:w="931" w:type="pct"/>
                  <w:tcBorders>
                    <w:tl2br w:val="nil"/>
                    <w:tr2bl w:val="nil"/>
                  </w:tcBorders>
                  <w:shd w:val="clear" w:color="auto" w:fill="auto"/>
                  <w:vAlign w:val="center"/>
                </w:tcPr>
                <w:p w14:paraId="170D710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1.38</w:t>
                  </w:r>
                </w:p>
              </w:tc>
              <w:tc>
                <w:tcPr>
                  <w:tcW w:w="631" w:type="pct"/>
                  <w:tcBorders>
                    <w:tl2br w:val="nil"/>
                    <w:tr2bl w:val="nil"/>
                  </w:tcBorders>
                  <w:shd w:val="clear" w:color="auto" w:fill="auto"/>
                  <w:vAlign w:val="center"/>
                </w:tcPr>
                <w:p w14:paraId="2F3A926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≤450</w:t>
                  </w:r>
                </w:p>
              </w:tc>
            </w:tr>
            <w:tr w14:paraId="7423CB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49B4997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7</w:t>
                  </w:r>
                </w:p>
              </w:tc>
              <w:tc>
                <w:tcPr>
                  <w:tcW w:w="2004" w:type="pct"/>
                  <w:tcBorders>
                    <w:tl2br w:val="nil"/>
                    <w:tr2bl w:val="nil"/>
                  </w:tcBorders>
                  <w:shd w:val="clear" w:color="auto" w:fill="auto"/>
                  <w:vAlign w:val="center"/>
                </w:tcPr>
                <w:p w14:paraId="656A1AB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溶解性总固体（mg/L）</w:t>
                  </w:r>
                </w:p>
              </w:tc>
              <w:tc>
                <w:tcPr>
                  <w:tcW w:w="918" w:type="pct"/>
                  <w:tcBorders>
                    <w:tl2br w:val="nil"/>
                    <w:tr2bl w:val="nil"/>
                  </w:tcBorders>
                  <w:shd w:val="clear" w:color="auto" w:fill="auto"/>
                  <w:vAlign w:val="center"/>
                </w:tcPr>
                <w:p w14:paraId="1AA1C1D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0.90</w:t>
                  </w:r>
                </w:p>
              </w:tc>
              <w:tc>
                <w:tcPr>
                  <w:tcW w:w="931" w:type="pct"/>
                  <w:tcBorders>
                    <w:tl2br w:val="nil"/>
                    <w:tr2bl w:val="nil"/>
                  </w:tcBorders>
                  <w:shd w:val="clear" w:color="auto" w:fill="auto"/>
                  <w:vAlign w:val="center"/>
                </w:tcPr>
                <w:p w14:paraId="30E5219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1.69</w:t>
                  </w:r>
                </w:p>
              </w:tc>
              <w:tc>
                <w:tcPr>
                  <w:tcW w:w="631" w:type="pct"/>
                  <w:tcBorders>
                    <w:tl2br w:val="nil"/>
                    <w:tr2bl w:val="nil"/>
                  </w:tcBorders>
                  <w:shd w:val="clear" w:color="auto" w:fill="auto"/>
                  <w:vAlign w:val="center"/>
                </w:tcPr>
                <w:p w14:paraId="3BDC4A4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≤1000</w:t>
                  </w:r>
                </w:p>
              </w:tc>
            </w:tr>
            <w:tr w14:paraId="664175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45FB4BA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8</w:t>
                  </w:r>
                </w:p>
              </w:tc>
              <w:tc>
                <w:tcPr>
                  <w:tcW w:w="2004" w:type="pct"/>
                  <w:tcBorders>
                    <w:tl2br w:val="nil"/>
                    <w:tr2bl w:val="nil"/>
                  </w:tcBorders>
                  <w:shd w:val="clear" w:color="auto" w:fill="auto"/>
                  <w:vAlign w:val="center"/>
                </w:tcPr>
                <w:p w14:paraId="4AE0E12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氯化物（mg/L）</w:t>
                  </w:r>
                </w:p>
              </w:tc>
              <w:tc>
                <w:tcPr>
                  <w:tcW w:w="918" w:type="pct"/>
                  <w:tcBorders>
                    <w:tl2br w:val="nil"/>
                    <w:tr2bl w:val="nil"/>
                  </w:tcBorders>
                  <w:shd w:val="clear" w:color="auto" w:fill="auto"/>
                  <w:vAlign w:val="center"/>
                </w:tcPr>
                <w:p w14:paraId="7EA2286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0.84</w:t>
                  </w:r>
                </w:p>
              </w:tc>
              <w:tc>
                <w:tcPr>
                  <w:tcW w:w="931" w:type="pct"/>
                  <w:tcBorders>
                    <w:tl2br w:val="nil"/>
                    <w:tr2bl w:val="nil"/>
                  </w:tcBorders>
                  <w:shd w:val="clear" w:color="auto" w:fill="auto"/>
                  <w:vAlign w:val="center"/>
                </w:tcPr>
                <w:p w14:paraId="075F68A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1.46</w:t>
                  </w:r>
                </w:p>
              </w:tc>
              <w:tc>
                <w:tcPr>
                  <w:tcW w:w="631" w:type="pct"/>
                  <w:tcBorders>
                    <w:tl2br w:val="nil"/>
                    <w:tr2bl w:val="nil"/>
                  </w:tcBorders>
                  <w:shd w:val="clear" w:color="auto" w:fill="auto"/>
                  <w:vAlign w:val="center"/>
                </w:tcPr>
                <w:p w14:paraId="626DEAB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≤250</w:t>
                  </w:r>
                </w:p>
              </w:tc>
            </w:tr>
            <w:tr w14:paraId="011DA6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7E22CBF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9</w:t>
                  </w:r>
                </w:p>
              </w:tc>
              <w:tc>
                <w:tcPr>
                  <w:tcW w:w="2004" w:type="pct"/>
                  <w:tcBorders>
                    <w:tl2br w:val="nil"/>
                    <w:tr2bl w:val="nil"/>
                  </w:tcBorders>
                  <w:shd w:val="clear" w:color="auto" w:fill="auto"/>
                  <w:vAlign w:val="center"/>
                </w:tcPr>
                <w:p w14:paraId="2BA3217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硫酸盐（mg/L）</w:t>
                  </w:r>
                </w:p>
              </w:tc>
              <w:tc>
                <w:tcPr>
                  <w:tcW w:w="918" w:type="pct"/>
                  <w:tcBorders>
                    <w:tl2br w:val="nil"/>
                    <w:tr2bl w:val="nil"/>
                  </w:tcBorders>
                  <w:shd w:val="clear" w:color="auto" w:fill="auto"/>
                  <w:vAlign w:val="center"/>
                </w:tcPr>
                <w:p w14:paraId="7E32D0C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0.94</w:t>
                  </w:r>
                </w:p>
              </w:tc>
              <w:tc>
                <w:tcPr>
                  <w:tcW w:w="931" w:type="pct"/>
                  <w:tcBorders>
                    <w:tl2br w:val="nil"/>
                    <w:tr2bl w:val="nil"/>
                  </w:tcBorders>
                  <w:shd w:val="clear" w:color="auto" w:fill="auto"/>
                  <w:vAlign w:val="center"/>
                </w:tcPr>
                <w:p w14:paraId="330335A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2.08</w:t>
                  </w:r>
                </w:p>
              </w:tc>
              <w:tc>
                <w:tcPr>
                  <w:tcW w:w="631" w:type="pct"/>
                  <w:tcBorders>
                    <w:tl2br w:val="nil"/>
                    <w:tr2bl w:val="nil"/>
                  </w:tcBorders>
                  <w:shd w:val="clear" w:color="auto" w:fill="auto"/>
                  <w:vAlign w:val="center"/>
                </w:tcPr>
                <w:p w14:paraId="12DD0DC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≤250</w:t>
                  </w:r>
                </w:p>
              </w:tc>
            </w:tr>
            <w:tr w14:paraId="518C95F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7237D2F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10</w:t>
                  </w:r>
                </w:p>
              </w:tc>
              <w:tc>
                <w:tcPr>
                  <w:tcW w:w="2004" w:type="pct"/>
                  <w:tcBorders>
                    <w:tl2br w:val="nil"/>
                    <w:tr2bl w:val="nil"/>
                  </w:tcBorders>
                  <w:shd w:val="clear" w:color="auto" w:fill="auto"/>
                  <w:vAlign w:val="center"/>
                </w:tcPr>
                <w:p w14:paraId="47719FB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铁（mg/L）</w:t>
                  </w:r>
                </w:p>
              </w:tc>
              <w:tc>
                <w:tcPr>
                  <w:tcW w:w="918" w:type="pct"/>
                  <w:tcBorders>
                    <w:tl2br w:val="nil"/>
                    <w:tr2bl w:val="nil"/>
                  </w:tcBorders>
                  <w:shd w:val="clear" w:color="auto" w:fill="auto"/>
                  <w:vAlign w:val="center"/>
                </w:tcPr>
                <w:p w14:paraId="157E471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794ED21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1A88FC4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≤0.3</w:t>
                  </w:r>
                </w:p>
              </w:tc>
            </w:tr>
            <w:tr w14:paraId="4012EA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5A33A1A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11</w:t>
                  </w:r>
                </w:p>
              </w:tc>
              <w:tc>
                <w:tcPr>
                  <w:tcW w:w="2004" w:type="pct"/>
                  <w:tcBorders>
                    <w:tl2br w:val="nil"/>
                    <w:tr2bl w:val="nil"/>
                  </w:tcBorders>
                  <w:shd w:val="clear" w:color="auto" w:fill="auto"/>
                  <w:vAlign w:val="center"/>
                </w:tcPr>
                <w:p w14:paraId="1EFC6D0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锰（mg/L）</w:t>
                  </w:r>
                </w:p>
              </w:tc>
              <w:tc>
                <w:tcPr>
                  <w:tcW w:w="918" w:type="pct"/>
                  <w:tcBorders>
                    <w:tl2br w:val="nil"/>
                    <w:tr2bl w:val="nil"/>
                  </w:tcBorders>
                  <w:shd w:val="clear" w:color="auto" w:fill="auto"/>
                  <w:vAlign w:val="center"/>
                </w:tcPr>
                <w:p w14:paraId="0FC3F63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1273957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6D3403F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≤0.10</w:t>
                  </w:r>
                </w:p>
              </w:tc>
            </w:tr>
            <w:tr w14:paraId="04E3EE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3D59C34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12</w:t>
                  </w:r>
                </w:p>
              </w:tc>
              <w:tc>
                <w:tcPr>
                  <w:tcW w:w="2004" w:type="pct"/>
                  <w:tcBorders>
                    <w:tl2br w:val="nil"/>
                    <w:tr2bl w:val="nil"/>
                  </w:tcBorders>
                  <w:shd w:val="clear" w:color="auto" w:fill="auto"/>
                  <w:vAlign w:val="center"/>
                </w:tcPr>
                <w:p w14:paraId="036E467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铜（mg/L）</w:t>
                  </w:r>
                </w:p>
              </w:tc>
              <w:tc>
                <w:tcPr>
                  <w:tcW w:w="918" w:type="pct"/>
                  <w:tcBorders>
                    <w:tl2br w:val="nil"/>
                    <w:tr2bl w:val="nil"/>
                  </w:tcBorders>
                  <w:shd w:val="clear" w:color="auto" w:fill="auto"/>
                  <w:vAlign w:val="center"/>
                </w:tcPr>
                <w:p w14:paraId="5CAA11A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2EB70B6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2E0601B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≤1.00</w:t>
                  </w:r>
                </w:p>
              </w:tc>
            </w:tr>
            <w:tr w14:paraId="3B3487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05E3FBA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13</w:t>
                  </w:r>
                </w:p>
              </w:tc>
              <w:tc>
                <w:tcPr>
                  <w:tcW w:w="2004" w:type="pct"/>
                  <w:tcBorders>
                    <w:tl2br w:val="nil"/>
                    <w:tr2bl w:val="nil"/>
                  </w:tcBorders>
                  <w:shd w:val="clear" w:color="auto" w:fill="auto"/>
                  <w:vAlign w:val="center"/>
                </w:tcPr>
                <w:p w14:paraId="54C9DD0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锌（mg/L）</w:t>
                  </w:r>
                </w:p>
              </w:tc>
              <w:tc>
                <w:tcPr>
                  <w:tcW w:w="918" w:type="pct"/>
                  <w:tcBorders>
                    <w:tl2br w:val="nil"/>
                    <w:tr2bl w:val="nil"/>
                  </w:tcBorders>
                  <w:shd w:val="clear" w:color="auto" w:fill="auto"/>
                  <w:vAlign w:val="center"/>
                </w:tcPr>
                <w:p w14:paraId="72E251E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1345EC8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3500FA6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≤1.00</w:t>
                  </w:r>
                </w:p>
              </w:tc>
            </w:tr>
            <w:tr w14:paraId="6F738E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6644D1D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14</w:t>
                  </w:r>
                </w:p>
              </w:tc>
              <w:tc>
                <w:tcPr>
                  <w:tcW w:w="2004" w:type="pct"/>
                  <w:tcBorders>
                    <w:tl2br w:val="nil"/>
                    <w:tr2bl w:val="nil"/>
                  </w:tcBorders>
                  <w:shd w:val="clear" w:color="auto" w:fill="auto"/>
                  <w:vAlign w:val="center"/>
                </w:tcPr>
                <w:p w14:paraId="45413EB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铝（μg/L）</w:t>
                  </w:r>
                </w:p>
              </w:tc>
              <w:tc>
                <w:tcPr>
                  <w:tcW w:w="918" w:type="pct"/>
                  <w:tcBorders>
                    <w:tl2br w:val="nil"/>
                    <w:tr2bl w:val="nil"/>
                  </w:tcBorders>
                  <w:shd w:val="clear" w:color="auto" w:fill="auto"/>
                  <w:vAlign w:val="center"/>
                </w:tcPr>
                <w:p w14:paraId="4154AC6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682CA98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01DE621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≤200</w:t>
                  </w:r>
                </w:p>
              </w:tc>
            </w:tr>
            <w:tr w14:paraId="2C2743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0225C2F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15</w:t>
                  </w:r>
                </w:p>
              </w:tc>
              <w:tc>
                <w:tcPr>
                  <w:tcW w:w="2004" w:type="pct"/>
                  <w:tcBorders>
                    <w:tl2br w:val="nil"/>
                    <w:tr2bl w:val="nil"/>
                  </w:tcBorders>
                  <w:shd w:val="clear" w:color="auto" w:fill="auto"/>
                  <w:vAlign w:val="center"/>
                </w:tcPr>
                <w:p w14:paraId="17D6CD4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挥发酚（mg/L）</w:t>
                  </w:r>
                </w:p>
              </w:tc>
              <w:tc>
                <w:tcPr>
                  <w:tcW w:w="918" w:type="pct"/>
                  <w:tcBorders>
                    <w:tl2br w:val="nil"/>
                    <w:tr2bl w:val="nil"/>
                  </w:tcBorders>
                  <w:shd w:val="clear" w:color="auto" w:fill="auto"/>
                  <w:vAlign w:val="center"/>
                </w:tcPr>
                <w:p w14:paraId="30DD9CD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285DE05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4998CAD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≤0.002</w:t>
                  </w:r>
                </w:p>
              </w:tc>
            </w:tr>
            <w:tr w14:paraId="1C90A5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6356B8B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16</w:t>
                  </w:r>
                </w:p>
              </w:tc>
              <w:tc>
                <w:tcPr>
                  <w:tcW w:w="2004" w:type="pct"/>
                  <w:tcBorders>
                    <w:tl2br w:val="nil"/>
                    <w:tr2bl w:val="nil"/>
                  </w:tcBorders>
                  <w:shd w:val="clear" w:color="auto" w:fill="auto"/>
                  <w:vAlign w:val="center"/>
                </w:tcPr>
                <w:p w14:paraId="643F4DE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阴离子表面活性剂（mg/L）</w:t>
                  </w:r>
                </w:p>
              </w:tc>
              <w:tc>
                <w:tcPr>
                  <w:tcW w:w="918" w:type="pct"/>
                  <w:tcBorders>
                    <w:tl2br w:val="nil"/>
                    <w:tr2bl w:val="nil"/>
                  </w:tcBorders>
                  <w:shd w:val="clear" w:color="auto" w:fill="auto"/>
                  <w:vAlign w:val="center"/>
                </w:tcPr>
                <w:p w14:paraId="0A7416D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1367693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63433A9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≤0.3</w:t>
                  </w:r>
                </w:p>
              </w:tc>
            </w:tr>
            <w:tr w14:paraId="042987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2DAE2A2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17</w:t>
                  </w:r>
                </w:p>
              </w:tc>
              <w:tc>
                <w:tcPr>
                  <w:tcW w:w="2004" w:type="pct"/>
                  <w:tcBorders>
                    <w:tl2br w:val="nil"/>
                    <w:tr2bl w:val="nil"/>
                  </w:tcBorders>
                  <w:shd w:val="clear" w:color="auto" w:fill="auto"/>
                  <w:vAlign w:val="center"/>
                </w:tcPr>
                <w:p w14:paraId="50C58E9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高锰酸盐指数（以O₂计）（mg/L）</w:t>
                  </w:r>
                </w:p>
              </w:tc>
              <w:tc>
                <w:tcPr>
                  <w:tcW w:w="918" w:type="pct"/>
                  <w:tcBorders>
                    <w:tl2br w:val="nil"/>
                    <w:tr2bl w:val="nil"/>
                  </w:tcBorders>
                  <w:shd w:val="clear" w:color="auto" w:fill="auto"/>
                  <w:vAlign w:val="center"/>
                </w:tcPr>
                <w:p w14:paraId="73447C1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0.66</w:t>
                  </w:r>
                </w:p>
              </w:tc>
              <w:tc>
                <w:tcPr>
                  <w:tcW w:w="931" w:type="pct"/>
                  <w:tcBorders>
                    <w:tl2br w:val="nil"/>
                    <w:tr2bl w:val="nil"/>
                  </w:tcBorders>
                  <w:shd w:val="clear" w:color="auto" w:fill="auto"/>
                  <w:vAlign w:val="center"/>
                </w:tcPr>
                <w:p w14:paraId="5691A52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0.65</w:t>
                  </w:r>
                </w:p>
              </w:tc>
              <w:tc>
                <w:tcPr>
                  <w:tcW w:w="631" w:type="pct"/>
                  <w:tcBorders>
                    <w:tl2br w:val="nil"/>
                    <w:tr2bl w:val="nil"/>
                  </w:tcBorders>
                  <w:shd w:val="clear" w:color="auto" w:fill="auto"/>
                  <w:vAlign w:val="center"/>
                </w:tcPr>
                <w:p w14:paraId="5354489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≤3.0</w:t>
                  </w:r>
                </w:p>
              </w:tc>
            </w:tr>
            <w:tr w14:paraId="284CD7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7D6AB4D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18</w:t>
                  </w:r>
                </w:p>
              </w:tc>
              <w:tc>
                <w:tcPr>
                  <w:tcW w:w="2004" w:type="pct"/>
                  <w:tcBorders>
                    <w:tl2br w:val="nil"/>
                    <w:tr2bl w:val="nil"/>
                  </w:tcBorders>
                  <w:shd w:val="clear" w:color="auto" w:fill="auto"/>
                  <w:vAlign w:val="center"/>
                </w:tcPr>
                <w:p w14:paraId="6274574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氨氮（mg/L）</w:t>
                  </w:r>
                </w:p>
              </w:tc>
              <w:tc>
                <w:tcPr>
                  <w:tcW w:w="918" w:type="pct"/>
                  <w:tcBorders>
                    <w:tl2br w:val="nil"/>
                    <w:tr2bl w:val="nil"/>
                  </w:tcBorders>
                  <w:shd w:val="clear" w:color="auto" w:fill="auto"/>
                  <w:vAlign w:val="center"/>
                </w:tcPr>
                <w:p w14:paraId="566C225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0.19</w:t>
                  </w:r>
                </w:p>
              </w:tc>
              <w:tc>
                <w:tcPr>
                  <w:tcW w:w="931" w:type="pct"/>
                  <w:tcBorders>
                    <w:tl2br w:val="nil"/>
                    <w:tr2bl w:val="nil"/>
                  </w:tcBorders>
                  <w:shd w:val="clear" w:color="auto" w:fill="auto"/>
                  <w:vAlign w:val="center"/>
                </w:tcPr>
                <w:p w14:paraId="40F728A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0.25</w:t>
                  </w:r>
                </w:p>
              </w:tc>
              <w:tc>
                <w:tcPr>
                  <w:tcW w:w="631" w:type="pct"/>
                  <w:tcBorders>
                    <w:tl2br w:val="nil"/>
                    <w:tr2bl w:val="nil"/>
                  </w:tcBorders>
                  <w:shd w:val="clear" w:color="auto" w:fill="auto"/>
                  <w:vAlign w:val="center"/>
                </w:tcPr>
                <w:p w14:paraId="4C19F13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≤0.50</w:t>
                  </w:r>
                </w:p>
              </w:tc>
            </w:tr>
            <w:tr w14:paraId="7F107D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6DDF80E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19</w:t>
                  </w:r>
                </w:p>
              </w:tc>
              <w:tc>
                <w:tcPr>
                  <w:tcW w:w="2004" w:type="pct"/>
                  <w:tcBorders>
                    <w:tl2br w:val="nil"/>
                    <w:tr2bl w:val="nil"/>
                  </w:tcBorders>
                  <w:shd w:val="clear" w:color="auto" w:fill="auto"/>
                  <w:vAlign w:val="center"/>
                </w:tcPr>
                <w:p w14:paraId="54EFC2B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硫化物（mg/L）</w:t>
                  </w:r>
                </w:p>
              </w:tc>
              <w:tc>
                <w:tcPr>
                  <w:tcW w:w="918" w:type="pct"/>
                  <w:tcBorders>
                    <w:tl2br w:val="nil"/>
                    <w:tr2bl w:val="nil"/>
                  </w:tcBorders>
                  <w:shd w:val="clear" w:color="auto" w:fill="auto"/>
                  <w:vAlign w:val="center"/>
                </w:tcPr>
                <w:p w14:paraId="6399124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7EE83D4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66CFADF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≤0.02</w:t>
                  </w:r>
                </w:p>
              </w:tc>
            </w:tr>
            <w:tr w14:paraId="3EFAC1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136E4CB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20</w:t>
                  </w:r>
                </w:p>
              </w:tc>
              <w:tc>
                <w:tcPr>
                  <w:tcW w:w="2004" w:type="pct"/>
                  <w:tcBorders>
                    <w:tl2br w:val="nil"/>
                    <w:tr2bl w:val="nil"/>
                  </w:tcBorders>
                  <w:shd w:val="clear" w:color="auto" w:fill="auto"/>
                  <w:vAlign w:val="center"/>
                </w:tcPr>
                <w:p w14:paraId="29FF0E4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钾（mg/L）</w:t>
                  </w:r>
                </w:p>
              </w:tc>
              <w:tc>
                <w:tcPr>
                  <w:tcW w:w="918" w:type="pct"/>
                  <w:tcBorders>
                    <w:tl2br w:val="nil"/>
                    <w:tr2bl w:val="nil"/>
                  </w:tcBorders>
                  <w:shd w:val="clear" w:color="auto" w:fill="auto"/>
                  <w:vAlign w:val="center"/>
                </w:tcPr>
                <w:p w14:paraId="5BF6F20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0755CC0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4B32B5A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r>
            <w:tr w14:paraId="0436B3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3C0BC08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21</w:t>
                  </w:r>
                </w:p>
              </w:tc>
              <w:tc>
                <w:tcPr>
                  <w:tcW w:w="2004" w:type="pct"/>
                  <w:tcBorders>
                    <w:tl2br w:val="nil"/>
                    <w:tr2bl w:val="nil"/>
                  </w:tcBorders>
                  <w:shd w:val="clear" w:color="auto" w:fill="auto"/>
                  <w:vAlign w:val="center"/>
                </w:tcPr>
                <w:p w14:paraId="01C8E1E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钠（mg/L）</w:t>
                  </w:r>
                </w:p>
              </w:tc>
              <w:tc>
                <w:tcPr>
                  <w:tcW w:w="918" w:type="pct"/>
                  <w:tcBorders>
                    <w:tl2br w:val="nil"/>
                    <w:tr2bl w:val="nil"/>
                  </w:tcBorders>
                  <w:shd w:val="clear" w:color="auto" w:fill="auto"/>
                  <w:vAlign w:val="center"/>
                </w:tcPr>
                <w:p w14:paraId="304ADA5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0.83</w:t>
                  </w:r>
                </w:p>
              </w:tc>
              <w:tc>
                <w:tcPr>
                  <w:tcW w:w="931" w:type="pct"/>
                  <w:tcBorders>
                    <w:tl2br w:val="nil"/>
                    <w:tr2bl w:val="nil"/>
                  </w:tcBorders>
                  <w:shd w:val="clear" w:color="auto" w:fill="auto"/>
                  <w:vAlign w:val="center"/>
                </w:tcPr>
                <w:p w14:paraId="08938B5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1.44</w:t>
                  </w:r>
                </w:p>
              </w:tc>
              <w:tc>
                <w:tcPr>
                  <w:tcW w:w="631" w:type="pct"/>
                  <w:tcBorders>
                    <w:tl2br w:val="nil"/>
                    <w:tr2bl w:val="nil"/>
                  </w:tcBorders>
                  <w:shd w:val="clear" w:color="auto" w:fill="auto"/>
                  <w:vAlign w:val="center"/>
                </w:tcPr>
                <w:p w14:paraId="0A5F955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≤200</w:t>
                  </w:r>
                </w:p>
              </w:tc>
            </w:tr>
            <w:tr w14:paraId="5ADBED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1659F8E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22</w:t>
                  </w:r>
                </w:p>
              </w:tc>
              <w:tc>
                <w:tcPr>
                  <w:tcW w:w="2004" w:type="pct"/>
                  <w:tcBorders>
                    <w:tl2br w:val="nil"/>
                    <w:tr2bl w:val="nil"/>
                  </w:tcBorders>
                  <w:shd w:val="clear" w:color="auto" w:fill="auto"/>
                  <w:vAlign w:val="center"/>
                </w:tcPr>
                <w:p w14:paraId="45B4E16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钙（mg/L）</w:t>
                  </w:r>
                </w:p>
              </w:tc>
              <w:tc>
                <w:tcPr>
                  <w:tcW w:w="918" w:type="pct"/>
                  <w:tcBorders>
                    <w:tl2br w:val="nil"/>
                    <w:tr2bl w:val="nil"/>
                  </w:tcBorders>
                  <w:shd w:val="clear" w:color="auto" w:fill="auto"/>
                  <w:vAlign w:val="center"/>
                </w:tcPr>
                <w:p w14:paraId="281F579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114C2E9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1135F4A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r>
            <w:tr w14:paraId="3A0FEA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775D659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23</w:t>
                  </w:r>
                </w:p>
              </w:tc>
              <w:tc>
                <w:tcPr>
                  <w:tcW w:w="2004" w:type="pct"/>
                  <w:tcBorders>
                    <w:tl2br w:val="nil"/>
                    <w:tr2bl w:val="nil"/>
                  </w:tcBorders>
                  <w:shd w:val="clear" w:color="auto" w:fill="auto"/>
                  <w:vAlign w:val="center"/>
                </w:tcPr>
                <w:p w14:paraId="1D316AE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镁（mg/L）</w:t>
                  </w:r>
                </w:p>
              </w:tc>
              <w:tc>
                <w:tcPr>
                  <w:tcW w:w="918" w:type="pct"/>
                  <w:tcBorders>
                    <w:tl2br w:val="nil"/>
                    <w:tr2bl w:val="nil"/>
                  </w:tcBorders>
                  <w:shd w:val="clear" w:color="auto" w:fill="auto"/>
                  <w:vAlign w:val="center"/>
                </w:tcPr>
                <w:p w14:paraId="66818D8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0C1C6F9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491E48E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r>
            <w:tr w14:paraId="26F4D4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0B780C7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24</w:t>
                  </w:r>
                </w:p>
              </w:tc>
              <w:tc>
                <w:tcPr>
                  <w:tcW w:w="2004" w:type="pct"/>
                  <w:tcBorders>
                    <w:tl2br w:val="nil"/>
                    <w:tr2bl w:val="nil"/>
                  </w:tcBorders>
                  <w:shd w:val="clear" w:color="auto" w:fill="auto"/>
                  <w:vAlign w:val="center"/>
                </w:tcPr>
                <w:p w14:paraId="095CC2F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亚硝酸盐氮（mg/L）</w:t>
                  </w:r>
                </w:p>
              </w:tc>
              <w:tc>
                <w:tcPr>
                  <w:tcW w:w="918" w:type="pct"/>
                  <w:tcBorders>
                    <w:tl2br w:val="nil"/>
                    <w:tr2bl w:val="nil"/>
                  </w:tcBorders>
                  <w:shd w:val="clear" w:color="auto" w:fill="auto"/>
                  <w:vAlign w:val="center"/>
                </w:tcPr>
                <w:p w14:paraId="01C91AD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3A09EBB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5FA8BFA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≤1.00</w:t>
                  </w:r>
                </w:p>
              </w:tc>
            </w:tr>
            <w:tr w14:paraId="4DBA9F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6810612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25</w:t>
                  </w:r>
                </w:p>
              </w:tc>
              <w:tc>
                <w:tcPr>
                  <w:tcW w:w="2004" w:type="pct"/>
                  <w:tcBorders>
                    <w:tl2br w:val="nil"/>
                    <w:tr2bl w:val="nil"/>
                  </w:tcBorders>
                  <w:shd w:val="clear" w:color="auto" w:fill="auto"/>
                  <w:vAlign w:val="center"/>
                </w:tcPr>
                <w:p w14:paraId="7AC3D47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硝酸盐氮（mg/L）</w:t>
                  </w:r>
                </w:p>
              </w:tc>
              <w:tc>
                <w:tcPr>
                  <w:tcW w:w="918" w:type="pct"/>
                  <w:tcBorders>
                    <w:tl2br w:val="nil"/>
                    <w:tr2bl w:val="nil"/>
                  </w:tcBorders>
                  <w:shd w:val="clear" w:color="auto" w:fill="auto"/>
                  <w:vAlign w:val="center"/>
                </w:tcPr>
                <w:p w14:paraId="2DDA921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0.03</w:t>
                  </w:r>
                </w:p>
              </w:tc>
              <w:tc>
                <w:tcPr>
                  <w:tcW w:w="931" w:type="pct"/>
                  <w:tcBorders>
                    <w:tl2br w:val="nil"/>
                    <w:tr2bl w:val="nil"/>
                  </w:tcBorders>
                  <w:shd w:val="clear" w:color="auto" w:fill="auto"/>
                  <w:vAlign w:val="center"/>
                </w:tcPr>
                <w:p w14:paraId="0F0A425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0.06</w:t>
                  </w:r>
                </w:p>
              </w:tc>
              <w:tc>
                <w:tcPr>
                  <w:tcW w:w="631" w:type="pct"/>
                  <w:tcBorders>
                    <w:tl2br w:val="nil"/>
                    <w:tr2bl w:val="nil"/>
                  </w:tcBorders>
                  <w:shd w:val="clear" w:color="auto" w:fill="auto"/>
                  <w:vAlign w:val="center"/>
                </w:tcPr>
                <w:p w14:paraId="4BF585F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≤20.0</w:t>
                  </w:r>
                </w:p>
              </w:tc>
            </w:tr>
            <w:tr w14:paraId="27C716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2A5E8DA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26</w:t>
                  </w:r>
                </w:p>
              </w:tc>
              <w:tc>
                <w:tcPr>
                  <w:tcW w:w="2004" w:type="pct"/>
                  <w:tcBorders>
                    <w:tl2br w:val="nil"/>
                    <w:tr2bl w:val="nil"/>
                  </w:tcBorders>
                  <w:shd w:val="clear" w:color="auto" w:fill="auto"/>
                  <w:vAlign w:val="center"/>
                </w:tcPr>
                <w:p w14:paraId="6A04DEC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氟化物（mg/L）</w:t>
                  </w:r>
                </w:p>
              </w:tc>
              <w:tc>
                <w:tcPr>
                  <w:tcW w:w="918" w:type="pct"/>
                  <w:tcBorders>
                    <w:tl2br w:val="nil"/>
                    <w:tr2bl w:val="nil"/>
                  </w:tcBorders>
                  <w:shd w:val="clear" w:color="auto" w:fill="auto"/>
                  <w:vAlign w:val="center"/>
                </w:tcPr>
                <w:p w14:paraId="0BDE588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0.31</w:t>
                  </w:r>
                </w:p>
              </w:tc>
              <w:tc>
                <w:tcPr>
                  <w:tcW w:w="931" w:type="pct"/>
                  <w:tcBorders>
                    <w:tl2br w:val="nil"/>
                    <w:tr2bl w:val="nil"/>
                  </w:tcBorders>
                  <w:shd w:val="clear" w:color="auto" w:fill="auto"/>
                  <w:vAlign w:val="center"/>
                </w:tcPr>
                <w:p w14:paraId="2EEFCB2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0.32</w:t>
                  </w:r>
                </w:p>
              </w:tc>
              <w:tc>
                <w:tcPr>
                  <w:tcW w:w="631" w:type="pct"/>
                  <w:tcBorders>
                    <w:tl2br w:val="nil"/>
                    <w:tr2bl w:val="nil"/>
                  </w:tcBorders>
                  <w:shd w:val="clear" w:color="auto" w:fill="auto"/>
                  <w:vAlign w:val="center"/>
                </w:tcPr>
                <w:p w14:paraId="501CFA6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≤1.0</w:t>
                  </w:r>
                </w:p>
              </w:tc>
            </w:tr>
            <w:tr w14:paraId="3DA6A8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20E5022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27</w:t>
                  </w:r>
                </w:p>
              </w:tc>
              <w:tc>
                <w:tcPr>
                  <w:tcW w:w="2004" w:type="pct"/>
                  <w:tcBorders>
                    <w:tl2br w:val="nil"/>
                    <w:tr2bl w:val="nil"/>
                  </w:tcBorders>
                  <w:shd w:val="clear" w:color="auto" w:fill="auto"/>
                  <w:vAlign w:val="center"/>
                </w:tcPr>
                <w:p w14:paraId="51CF544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氰化物（mg/L）</w:t>
                  </w:r>
                </w:p>
              </w:tc>
              <w:tc>
                <w:tcPr>
                  <w:tcW w:w="918" w:type="pct"/>
                  <w:tcBorders>
                    <w:tl2br w:val="nil"/>
                    <w:tr2bl w:val="nil"/>
                  </w:tcBorders>
                  <w:shd w:val="clear" w:color="auto" w:fill="auto"/>
                  <w:vAlign w:val="center"/>
                </w:tcPr>
                <w:p w14:paraId="5DD0D98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3A055FC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0D2AC23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≤0.05</w:t>
                  </w:r>
                </w:p>
              </w:tc>
            </w:tr>
            <w:tr w14:paraId="460516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1003BBD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28</w:t>
                  </w:r>
                </w:p>
              </w:tc>
              <w:tc>
                <w:tcPr>
                  <w:tcW w:w="2004" w:type="pct"/>
                  <w:tcBorders>
                    <w:tl2br w:val="nil"/>
                    <w:tr2bl w:val="nil"/>
                  </w:tcBorders>
                  <w:shd w:val="clear" w:color="auto" w:fill="auto"/>
                  <w:vAlign w:val="center"/>
                </w:tcPr>
                <w:p w14:paraId="0154A36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碘化物（mg/L）</w:t>
                  </w:r>
                </w:p>
              </w:tc>
              <w:tc>
                <w:tcPr>
                  <w:tcW w:w="918" w:type="pct"/>
                  <w:tcBorders>
                    <w:tl2br w:val="nil"/>
                    <w:tr2bl w:val="nil"/>
                  </w:tcBorders>
                  <w:shd w:val="clear" w:color="auto" w:fill="auto"/>
                  <w:vAlign w:val="center"/>
                </w:tcPr>
                <w:p w14:paraId="1968323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3244129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2B068FA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≤0.08</w:t>
                  </w:r>
                </w:p>
              </w:tc>
            </w:tr>
            <w:tr w14:paraId="02E42A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659FF4F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29</w:t>
                  </w:r>
                </w:p>
              </w:tc>
              <w:tc>
                <w:tcPr>
                  <w:tcW w:w="2004" w:type="pct"/>
                  <w:tcBorders>
                    <w:tl2br w:val="nil"/>
                    <w:tr2bl w:val="nil"/>
                  </w:tcBorders>
                  <w:shd w:val="clear" w:color="auto" w:fill="auto"/>
                  <w:vAlign w:val="center"/>
                </w:tcPr>
                <w:p w14:paraId="51D3776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汞（μg</w:t>
                  </w:r>
                  <w:r>
                    <w:rPr>
                      <w:rFonts w:hint="eastAsia"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L）</w:t>
                  </w:r>
                </w:p>
              </w:tc>
              <w:tc>
                <w:tcPr>
                  <w:tcW w:w="918" w:type="pct"/>
                  <w:tcBorders>
                    <w:tl2br w:val="nil"/>
                    <w:tr2bl w:val="nil"/>
                  </w:tcBorders>
                  <w:shd w:val="clear" w:color="auto" w:fill="auto"/>
                  <w:vAlign w:val="center"/>
                </w:tcPr>
                <w:p w14:paraId="538BFE6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74F127B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7FE9564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≤1</w:t>
                  </w:r>
                </w:p>
              </w:tc>
            </w:tr>
            <w:tr w14:paraId="68570B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3EA8AA9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30</w:t>
                  </w:r>
                </w:p>
              </w:tc>
              <w:tc>
                <w:tcPr>
                  <w:tcW w:w="2004" w:type="pct"/>
                  <w:tcBorders>
                    <w:tl2br w:val="nil"/>
                    <w:tr2bl w:val="nil"/>
                  </w:tcBorders>
                  <w:shd w:val="clear" w:color="auto" w:fill="auto"/>
                  <w:vAlign w:val="center"/>
                </w:tcPr>
                <w:p w14:paraId="7876728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砷（μg/L）</w:t>
                  </w:r>
                </w:p>
              </w:tc>
              <w:tc>
                <w:tcPr>
                  <w:tcW w:w="918" w:type="pct"/>
                  <w:tcBorders>
                    <w:tl2br w:val="nil"/>
                    <w:tr2bl w:val="nil"/>
                  </w:tcBorders>
                  <w:shd w:val="clear" w:color="auto" w:fill="auto"/>
                  <w:vAlign w:val="center"/>
                </w:tcPr>
                <w:p w14:paraId="35C5493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107B341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284E22A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≤10</w:t>
                  </w:r>
                </w:p>
              </w:tc>
            </w:tr>
            <w:tr w14:paraId="277103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26A2FAA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31</w:t>
                  </w:r>
                </w:p>
              </w:tc>
              <w:tc>
                <w:tcPr>
                  <w:tcW w:w="2004" w:type="pct"/>
                  <w:tcBorders>
                    <w:tl2br w:val="nil"/>
                    <w:tr2bl w:val="nil"/>
                  </w:tcBorders>
                  <w:shd w:val="clear" w:color="auto" w:fill="auto"/>
                  <w:vAlign w:val="center"/>
                </w:tcPr>
                <w:p w14:paraId="04CFE5E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硒（μg</w:t>
                  </w:r>
                  <w:r>
                    <w:rPr>
                      <w:rFonts w:hint="eastAsia"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L）</w:t>
                  </w:r>
                </w:p>
              </w:tc>
              <w:tc>
                <w:tcPr>
                  <w:tcW w:w="918" w:type="pct"/>
                  <w:tcBorders>
                    <w:tl2br w:val="nil"/>
                    <w:tr2bl w:val="nil"/>
                  </w:tcBorders>
                  <w:shd w:val="clear" w:color="auto" w:fill="auto"/>
                  <w:vAlign w:val="center"/>
                </w:tcPr>
                <w:p w14:paraId="3F01185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34EABB1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7D81E80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≤10</w:t>
                  </w:r>
                </w:p>
              </w:tc>
            </w:tr>
            <w:tr w14:paraId="7CC6BE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53D788B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32</w:t>
                  </w:r>
                </w:p>
              </w:tc>
              <w:tc>
                <w:tcPr>
                  <w:tcW w:w="2004" w:type="pct"/>
                  <w:tcBorders>
                    <w:tl2br w:val="nil"/>
                    <w:tr2bl w:val="nil"/>
                  </w:tcBorders>
                  <w:shd w:val="clear" w:color="auto" w:fill="auto"/>
                  <w:vAlign w:val="center"/>
                </w:tcPr>
                <w:p w14:paraId="35D2899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铅（μg</w:t>
                  </w:r>
                  <w:r>
                    <w:rPr>
                      <w:rFonts w:hint="eastAsia"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L）</w:t>
                  </w:r>
                </w:p>
              </w:tc>
              <w:tc>
                <w:tcPr>
                  <w:tcW w:w="918" w:type="pct"/>
                  <w:tcBorders>
                    <w:tl2br w:val="nil"/>
                    <w:tr2bl w:val="nil"/>
                  </w:tcBorders>
                  <w:shd w:val="clear" w:color="auto" w:fill="auto"/>
                  <w:vAlign w:val="center"/>
                </w:tcPr>
                <w:p w14:paraId="05669B8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6E00678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5784ADA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≤10</w:t>
                  </w:r>
                </w:p>
              </w:tc>
            </w:tr>
            <w:tr w14:paraId="4AD609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074D50C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33</w:t>
                  </w:r>
                </w:p>
              </w:tc>
              <w:tc>
                <w:tcPr>
                  <w:tcW w:w="2004" w:type="pct"/>
                  <w:tcBorders>
                    <w:tl2br w:val="nil"/>
                    <w:tr2bl w:val="nil"/>
                  </w:tcBorders>
                  <w:shd w:val="clear" w:color="auto" w:fill="auto"/>
                  <w:vAlign w:val="center"/>
                </w:tcPr>
                <w:p w14:paraId="5FD0285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镉（μg</w:t>
                  </w:r>
                  <w:r>
                    <w:rPr>
                      <w:rFonts w:hint="eastAsia"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L）</w:t>
                  </w:r>
                </w:p>
              </w:tc>
              <w:tc>
                <w:tcPr>
                  <w:tcW w:w="918" w:type="pct"/>
                  <w:tcBorders>
                    <w:tl2br w:val="nil"/>
                    <w:tr2bl w:val="nil"/>
                  </w:tcBorders>
                  <w:shd w:val="clear" w:color="auto" w:fill="auto"/>
                  <w:vAlign w:val="center"/>
                </w:tcPr>
                <w:p w14:paraId="67BB6FA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62F01AF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0489544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≤5</w:t>
                  </w:r>
                </w:p>
              </w:tc>
            </w:tr>
            <w:tr w14:paraId="47FF2C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007E162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34</w:t>
                  </w:r>
                </w:p>
              </w:tc>
              <w:tc>
                <w:tcPr>
                  <w:tcW w:w="2004" w:type="pct"/>
                  <w:tcBorders>
                    <w:tl2br w:val="nil"/>
                    <w:tr2bl w:val="nil"/>
                  </w:tcBorders>
                  <w:shd w:val="clear" w:color="auto" w:fill="auto"/>
                  <w:vAlign w:val="center"/>
                </w:tcPr>
                <w:p w14:paraId="2233752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六价铬（mg/L）</w:t>
                  </w:r>
                </w:p>
              </w:tc>
              <w:tc>
                <w:tcPr>
                  <w:tcW w:w="918" w:type="pct"/>
                  <w:tcBorders>
                    <w:tl2br w:val="nil"/>
                    <w:tr2bl w:val="nil"/>
                  </w:tcBorders>
                  <w:shd w:val="clear" w:color="auto" w:fill="auto"/>
                  <w:vAlign w:val="center"/>
                </w:tcPr>
                <w:p w14:paraId="58C9AA2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786D96D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644EC21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≤0.05</w:t>
                  </w:r>
                </w:p>
              </w:tc>
            </w:tr>
            <w:tr w14:paraId="7F31B5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12897A2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35</w:t>
                  </w:r>
                </w:p>
              </w:tc>
              <w:tc>
                <w:tcPr>
                  <w:tcW w:w="2004" w:type="pct"/>
                  <w:tcBorders>
                    <w:tl2br w:val="nil"/>
                    <w:tr2bl w:val="nil"/>
                  </w:tcBorders>
                  <w:shd w:val="clear" w:color="auto" w:fill="auto"/>
                  <w:vAlign w:val="center"/>
                </w:tcPr>
                <w:p w14:paraId="2754708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三氯甲烷（μg/L）</w:t>
                  </w:r>
                </w:p>
              </w:tc>
              <w:tc>
                <w:tcPr>
                  <w:tcW w:w="918" w:type="pct"/>
                  <w:tcBorders>
                    <w:tl2br w:val="nil"/>
                    <w:tr2bl w:val="nil"/>
                  </w:tcBorders>
                  <w:shd w:val="clear" w:color="auto" w:fill="auto"/>
                  <w:vAlign w:val="center"/>
                </w:tcPr>
                <w:p w14:paraId="3108EB4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1F8E4B9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1C9A066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≤60</w:t>
                  </w:r>
                </w:p>
              </w:tc>
            </w:tr>
            <w:tr w14:paraId="1DCD51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7963F42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36</w:t>
                  </w:r>
                </w:p>
              </w:tc>
              <w:tc>
                <w:tcPr>
                  <w:tcW w:w="2004" w:type="pct"/>
                  <w:tcBorders>
                    <w:tl2br w:val="nil"/>
                    <w:tr2bl w:val="nil"/>
                  </w:tcBorders>
                  <w:shd w:val="clear" w:color="auto" w:fill="auto"/>
                  <w:vAlign w:val="center"/>
                </w:tcPr>
                <w:p w14:paraId="72F4C2B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四氯化碳（μg/L）</w:t>
                  </w:r>
                </w:p>
              </w:tc>
              <w:tc>
                <w:tcPr>
                  <w:tcW w:w="918" w:type="pct"/>
                  <w:tcBorders>
                    <w:tl2br w:val="nil"/>
                    <w:tr2bl w:val="nil"/>
                  </w:tcBorders>
                  <w:shd w:val="clear" w:color="auto" w:fill="auto"/>
                  <w:vAlign w:val="center"/>
                </w:tcPr>
                <w:p w14:paraId="39193CC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4CB4F18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23B7915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≤2.0</w:t>
                  </w:r>
                </w:p>
              </w:tc>
            </w:tr>
            <w:tr w14:paraId="65813E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2EE8ECD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37</w:t>
                  </w:r>
                </w:p>
              </w:tc>
              <w:tc>
                <w:tcPr>
                  <w:tcW w:w="2004" w:type="pct"/>
                  <w:tcBorders>
                    <w:tl2br w:val="nil"/>
                    <w:tr2bl w:val="nil"/>
                  </w:tcBorders>
                  <w:shd w:val="clear" w:color="auto" w:fill="auto"/>
                  <w:vAlign w:val="center"/>
                </w:tcPr>
                <w:p w14:paraId="3E0E844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苯（μgL）</w:t>
                  </w:r>
                </w:p>
              </w:tc>
              <w:tc>
                <w:tcPr>
                  <w:tcW w:w="918" w:type="pct"/>
                  <w:tcBorders>
                    <w:tl2br w:val="nil"/>
                    <w:tr2bl w:val="nil"/>
                  </w:tcBorders>
                  <w:shd w:val="clear" w:color="auto" w:fill="auto"/>
                  <w:vAlign w:val="center"/>
                </w:tcPr>
                <w:p w14:paraId="67E468D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2A27733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5B2D702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≤10.0</w:t>
                  </w:r>
                </w:p>
              </w:tc>
            </w:tr>
            <w:tr w14:paraId="6D692C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61DB821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38</w:t>
                  </w:r>
                </w:p>
              </w:tc>
              <w:tc>
                <w:tcPr>
                  <w:tcW w:w="2004" w:type="pct"/>
                  <w:tcBorders>
                    <w:tl2br w:val="nil"/>
                    <w:tr2bl w:val="nil"/>
                  </w:tcBorders>
                  <w:shd w:val="clear" w:color="auto" w:fill="auto"/>
                  <w:vAlign w:val="center"/>
                </w:tcPr>
                <w:p w14:paraId="15406D5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甲苯（μg/L）</w:t>
                  </w:r>
                </w:p>
              </w:tc>
              <w:tc>
                <w:tcPr>
                  <w:tcW w:w="918" w:type="pct"/>
                  <w:tcBorders>
                    <w:tl2br w:val="nil"/>
                    <w:tr2bl w:val="nil"/>
                  </w:tcBorders>
                  <w:shd w:val="clear" w:color="auto" w:fill="auto"/>
                  <w:vAlign w:val="center"/>
                </w:tcPr>
                <w:p w14:paraId="7054E54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59E2BDB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268FEBD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≤700</w:t>
                  </w:r>
                </w:p>
              </w:tc>
            </w:tr>
            <w:tr w14:paraId="470925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3475A7A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39</w:t>
                  </w:r>
                </w:p>
              </w:tc>
              <w:tc>
                <w:tcPr>
                  <w:tcW w:w="2004" w:type="pct"/>
                  <w:tcBorders>
                    <w:tl2br w:val="nil"/>
                    <w:tr2bl w:val="nil"/>
                  </w:tcBorders>
                  <w:shd w:val="clear" w:color="auto" w:fill="auto"/>
                  <w:vAlign w:val="center"/>
                </w:tcPr>
                <w:p w14:paraId="434516D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碳酸根（mg/L）</w:t>
                  </w:r>
                </w:p>
              </w:tc>
              <w:tc>
                <w:tcPr>
                  <w:tcW w:w="918" w:type="pct"/>
                  <w:tcBorders>
                    <w:tl2br w:val="nil"/>
                    <w:tr2bl w:val="nil"/>
                  </w:tcBorders>
                  <w:shd w:val="clear" w:color="auto" w:fill="auto"/>
                  <w:vAlign w:val="center"/>
                </w:tcPr>
                <w:p w14:paraId="404785F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790D594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6E313EE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r>
            <w:tr w14:paraId="293921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2EB8D23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40</w:t>
                  </w:r>
                </w:p>
              </w:tc>
              <w:tc>
                <w:tcPr>
                  <w:tcW w:w="2004" w:type="pct"/>
                  <w:tcBorders>
                    <w:tl2br w:val="nil"/>
                    <w:tr2bl w:val="nil"/>
                  </w:tcBorders>
                  <w:shd w:val="clear" w:color="auto" w:fill="auto"/>
                  <w:vAlign w:val="center"/>
                </w:tcPr>
                <w:p w14:paraId="3543C76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重碳酸根（mg/L）</w:t>
                  </w:r>
                </w:p>
              </w:tc>
              <w:tc>
                <w:tcPr>
                  <w:tcW w:w="918" w:type="pct"/>
                  <w:tcBorders>
                    <w:tl2br w:val="nil"/>
                    <w:tr2bl w:val="nil"/>
                  </w:tcBorders>
                  <w:shd w:val="clear" w:color="auto" w:fill="auto"/>
                  <w:vAlign w:val="center"/>
                </w:tcPr>
                <w:p w14:paraId="64320AB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31A99D6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1D615DD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r>
            <w:tr w14:paraId="2334B9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36FBA26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41</w:t>
                  </w:r>
                </w:p>
              </w:tc>
              <w:tc>
                <w:tcPr>
                  <w:tcW w:w="2004" w:type="pct"/>
                  <w:tcBorders>
                    <w:tl2br w:val="nil"/>
                    <w:tr2bl w:val="nil"/>
                  </w:tcBorders>
                  <w:shd w:val="clear" w:color="auto" w:fill="auto"/>
                  <w:vAlign w:val="center"/>
                </w:tcPr>
                <w:p w14:paraId="793F51F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石油类（mg/L）</w:t>
                  </w:r>
                </w:p>
              </w:tc>
              <w:tc>
                <w:tcPr>
                  <w:tcW w:w="918" w:type="pct"/>
                  <w:tcBorders>
                    <w:tl2br w:val="nil"/>
                    <w:tr2bl w:val="nil"/>
                  </w:tcBorders>
                  <w:shd w:val="clear" w:color="auto" w:fill="auto"/>
                  <w:vAlign w:val="center"/>
                </w:tcPr>
                <w:p w14:paraId="12016A4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5654919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2CEB38E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≤0.05</w:t>
                  </w:r>
                </w:p>
              </w:tc>
            </w:tr>
            <w:tr w14:paraId="1B0F13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1E1A6E4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42</w:t>
                  </w:r>
                </w:p>
              </w:tc>
              <w:tc>
                <w:tcPr>
                  <w:tcW w:w="2004" w:type="pct"/>
                  <w:tcBorders>
                    <w:tl2br w:val="nil"/>
                    <w:tr2bl w:val="nil"/>
                  </w:tcBorders>
                  <w:shd w:val="clear" w:color="auto" w:fill="auto"/>
                  <w:vAlign w:val="center"/>
                </w:tcPr>
                <w:p w14:paraId="7065AE1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总大肠菌群（MPN/100mL）</w:t>
                  </w:r>
                </w:p>
              </w:tc>
              <w:tc>
                <w:tcPr>
                  <w:tcW w:w="918" w:type="pct"/>
                  <w:tcBorders>
                    <w:tl2br w:val="nil"/>
                    <w:tr2bl w:val="nil"/>
                  </w:tcBorders>
                  <w:shd w:val="clear" w:color="auto" w:fill="auto"/>
                  <w:vAlign w:val="center"/>
                </w:tcPr>
                <w:p w14:paraId="6BEA429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2E35E93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471DCC7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≤3.0</w:t>
                  </w:r>
                </w:p>
              </w:tc>
            </w:tr>
            <w:tr w14:paraId="66691F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4E173F9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43</w:t>
                  </w:r>
                </w:p>
              </w:tc>
              <w:tc>
                <w:tcPr>
                  <w:tcW w:w="2004" w:type="pct"/>
                  <w:tcBorders>
                    <w:tl2br w:val="nil"/>
                    <w:tr2bl w:val="nil"/>
                  </w:tcBorders>
                  <w:shd w:val="clear" w:color="auto" w:fill="auto"/>
                  <w:vAlign w:val="center"/>
                </w:tcPr>
                <w:p w14:paraId="03F4A63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菌落总数（CFU/mL）</w:t>
                  </w:r>
                </w:p>
              </w:tc>
              <w:tc>
                <w:tcPr>
                  <w:tcW w:w="918" w:type="pct"/>
                  <w:tcBorders>
                    <w:tl2br w:val="nil"/>
                    <w:tr2bl w:val="nil"/>
                  </w:tcBorders>
                  <w:shd w:val="clear" w:color="auto" w:fill="auto"/>
                  <w:vAlign w:val="center"/>
                </w:tcPr>
                <w:p w14:paraId="11D8C14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0.69</w:t>
                  </w:r>
                </w:p>
              </w:tc>
              <w:tc>
                <w:tcPr>
                  <w:tcW w:w="931" w:type="pct"/>
                  <w:tcBorders>
                    <w:tl2br w:val="nil"/>
                    <w:tr2bl w:val="nil"/>
                  </w:tcBorders>
                  <w:shd w:val="clear" w:color="auto" w:fill="auto"/>
                  <w:vAlign w:val="center"/>
                </w:tcPr>
                <w:p w14:paraId="64623F0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0.73</w:t>
                  </w:r>
                </w:p>
              </w:tc>
              <w:tc>
                <w:tcPr>
                  <w:tcW w:w="631" w:type="pct"/>
                  <w:tcBorders>
                    <w:tl2br w:val="nil"/>
                    <w:tr2bl w:val="nil"/>
                  </w:tcBorders>
                  <w:shd w:val="clear" w:color="auto" w:fill="auto"/>
                  <w:vAlign w:val="center"/>
                </w:tcPr>
                <w:p w14:paraId="154374D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≤100</w:t>
                  </w:r>
                </w:p>
              </w:tc>
            </w:tr>
            <w:tr w14:paraId="41A03A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50F8248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44</w:t>
                  </w:r>
                </w:p>
              </w:tc>
              <w:tc>
                <w:tcPr>
                  <w:tcW w:w="2004" w:type="pct"/>
                  <w:tcBorders>
                    <w:tl2br w:val="nil"/>
                    <w:tr2bl w:val="nil"/>
                  </w:tcBorders>
                  <w:shd w:val="clear" w:color="auto" w:fill="auto"/>
                  <w:vAlign w:val="center"/>
                </w:tcPr>
                <w:p w14:paraId="35727D2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*铂</w:t>
                  </w:r>
                </w:p>
              </w:tc>
              <w:tc>
                <w:tcPr>
                  <w:tcW w:w="918" w:type="pct"/>
                  <w:tcBorders>
                    <w:tl2br w:val="nil"/>
                    <w:tr2bl w:val="nil"/>
                  </w:tcBorders>
                  <w:shd w:val="clear" w:color="auto" w:fill="auto"/>
                  <w:vAlign w:val="center"/>
                </w:tcPr>
                <w:p w14:paraId="7D11F91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39410F3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10E4CBC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r>
            <w:tr w14:paraId="40BF20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5B2F3D4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45</w:t>
                  </w:r>
                </w:p>
              </w:tc>
              <w:tc>
                <w:tcPr>
                  <w:tcW w:w="2004" w:type="pct"/>
                  <w:tcBorders>
                    <w:tl2br w:val="nil"/>
                    <w:tr2bl w:val="nil"/>
                  </w:tcBorders>
                  <w:shd w:val="clear" w:color="auto" w:fill="auto"/>
                  <w:vAlign w:val="center"/>
                </w:tcPr>
                <w:p w14:paraId="3E9DA18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*钯</w:t>
                  </w:r>
                </w:p>
              </w:tc>
              <w:tc>
                <w:tcPr>
                  <w:tcW w:w="918" w:type="pct"/>
                  <w:tcBorders>
                    <w:tl2br w:val="nil"/>
                    <w:tr2bl w:val="nil"/>
                  </w:tcBorders>
                  <w:shd w:val="clear" w:color="auto" w:fill="auto"/>
                  <w:vAlign w:val="center"/>
                </w:tcPr>
                <w:p w14:paraId="2C129CE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0AE7683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20BBC0F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r>
            <w:tr w14:paraId="6B9C2C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3F7560C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46</w:t>
                  </w:r>
                </w:p>
              </w:tc>
              <w:tc>
                <w:tcPr>
                  <w:tcW w:w="2004" w:type="pct"/>
                  <w:tcBorders>
                    <w:tl2br w:val="nil"/>
                    <w:tr2bl w:val="nil"/>
                  </w:tcBorders>
                  <w:shd w:val="clear" w:color="auto" w:fill="auto"/>
                  <w:vAlign w:val="center"/>
                </w:tcPr>
                <w:p w14:paraId="2FA39CE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钒</w:t>
                  </w:r>
                </w:p>
              </w:tc>
              <w:tc>
                <w:tcPr>
                  <w:tcW w:w="918" w:type="pct"/>
                  <w:tcBorders>
                    <w:tl2br w:val="nil"/>
                    <w:tr2bl w:val="nil"/>
                  </w:tcBorders>
                  <w:shd w:val="clear" w:color="auto" w:fill="auto"/>
                  <w:vAlign w:val="center"/>
                </w:tcPr>
                <w:p w14:paraId="296C10A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931" w:type="pct"/>
                  <w:tcBorders>
                    <w:tl2br w:val="nil"/>
                    <w:tr2bl w:val="nil"/>
                  </w:tcBorders>
                  <w:shd w:val="clear" w:color="auto" w:fill="auto"/>
                  <w:vAlign w:val="center"/>
                </w:tcPr>
                <w:p w14:paraId="2C0853F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c>
                <w:tcPr>
                  <w:tcW w:w="631" w:type="pct"/>
                  <w:tcBorders>
                    <w:tl2br w:val="nil"/>
                    <w:tr2bl w:val="nil"/>
                  </w:tcBorders>
                  <w:shd w:val="clear" w:color="auto" w:fill="auto"/>
                  <w:vAlign w:val="center"/>
                </w:tcPr>
                <w:p w14:paraId="0891EC6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p>
              </w:tc>
            </w:tr>
            <w:tr w14:paraId="1F4A61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0E4B75C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执行标准</w:t>
                  </w:r>
                </w:p>
              </w:tc>
              <w:tc>
                <w:tcPr>
                  <w:tcW w:w="4485" w:type="pct"/>
                  <w:gridSpan w:val="4"/>
                  <w:tcBorders>
                    <w:tl2br w:val="nil"/>
                    <w:tr2bl w:val="nil"/>
                  </w:tcBorders>
                  <w:shd w:val="clear" w:color="auto" w:fill="auto"/>
                  <w:vAlign w:val="center"/>
                </w:tcPr>
                <w:p w14:paraId="186AFA3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《地下水质量标准》GB/T14848-2017中Ⅲ类</w:t>
                  </w: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石油类执行《地表水环境质量标准》（GB3838-2002）中Ⅲ类</w:t>
                  </w:r>
                </w:p>
              </w:tc>
            </w:tr>
            <w:tr w14:paraId="15BFA5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14" w:type="pct"/>
                  <w:tcBorders>
                    <w:tl2br w:val="nil"/>
                    <w:tr2bl w:val="nil"/>
                  </w:tcBorders>
                  <w:shd w:val="clear" w:color="auto" w:fill="auto"/>
                  <w:vAlign w:val="center"/>
                </w:tcPr>
                <w:p w14:paraId="55AC41C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备注</w:t>
                  </w:r>
                </w:p>
              </w:tc>
              <w:tc>
                <w:tcPr>
                  <w:tcW w:w="4485" w:type="pct"/>
                  <w:gridSpan w:val="4"/>
                  <w:tcBorders>
                    <w:tl2br w:val="nil"/>
                    <w:tr2bl w:val="nil"/>
                  </w:tcBorders>
                  <w:shd w:val="clear" w:color="auto" w:fill="auto"/>
                  <w:vAlign w:val="center"/>
                </w:tcPr>
                <w:p w14:paraId="0D387C6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both"/>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1.标“*”铂、钯内容为本公司分包项目，承包方的资质认定许可编号是232712050020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2.标“*”钒内容为本公司分包项目，承包方的资质认定许可编号是221120341379</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3.高锰酸盐指数在《地下水质量标准》GB/T14848-2017中又名耗氧量（CODMn</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以O₂计）。</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4.结果低于方法检出限使用“&lt;”加方法检出限表示报出结果。</w:t>
                  </w:r>
                </w:p>
              </w:tc>
            </w:tr>
          </w:tbl>
          <w:p w14:paraId="1D5C99AB">
            <w:pPr>
              <w:pStyle w:val="20"/>
              <w:bidi w:val="0"/>
              <w:jc w:val="both"/>
              <w:rPr>
                <w:rFonts w:hint="default"/>
                <w:color w:val="000000" w:themeColor="text1"/>
                <w:highlight w:val="none"/>
                <w14:textFill>
                  <w14:solidFill>
                    <w14:schemeClr w14:val="tx1"/>
                  </w14:solidFill>
                </w14:textFill>
              </w:rPr>
            </w:pPr>
          </w:p>
          <w:p w14:paraId="310CCEE3">
            <w:pPr>
              <w:rPr>
                <w:color w:val="000000" w:themeColor="text1"/>
                <w:highlight w:val="none"/>
                <w:vertAlign w:val="baseline"/>
                <w14:textFill>
                  <w14:solidFill>
                    <w14:schemeClr w14:val="tx1"/>
                  </w14:solidFill>
                </w14:textFill>
              </w:rPr>
            </w:pPr>
          </w:p>
        </w:tc>
      </w:tr>
    </w:tbl>
    <w:p w14:paraId="6CDA4DE2">
      <w:pPr>
        <w:rPr>
          <w:color w:val="000000" w:themeColor="text1"/>
          <w:highlight w:val="none"/>
          <w14:textFill>
            <w14:solidFill>
              <w14:schemeClr w14:val="tx1"/>
            </w14:solidFill>
          </w14:textFill>
        </w:rPr>
        <w:sectPr>
          <w:pgSz w:w="16840" w:h="11907" w:orient="landscape"/>
          <w:pgMar w:top="1440" w:right="1797" w:bottom="1440" w:left="1797"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1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82"/>
        <w:gridCol w:w="8579"/>
      </w:tblGrid>
      <w:tr w14:paraId="7553D5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noWrap w:val="0"/>
            <w:vAlign w:val="center"/>
          </w:tcPr>
          <w:p w14:paraId="3E417E2A">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环境</w:t>
            </w:r>
          </w:p>
          <w:p w14:paraId="655FBF57">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保护</w:t>
            </w:r>
          </w:p>
          <w:p w14:paraId="509302BC">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目标</w:t>
            </w:r>
          </w:p>
        </w:tc>
        <w:tc>
          <w:tcPr>
            <w:tcW w:w="8196" w:type="dxa"/>
            <w:noWrap w:val="0"/>
            <w:vAlign w:val="center"/>
          </w:tcPr>
          <w:p w14:paraId="55CE0E89">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b/>
                <w:bCs/>
                <w:color w:val="000000" w:themeColor="text1"/>
                <w:kern w:val="0"/>
                <w:szCs w:val="21"/>
                <w:highlight w:val="none"/>
                <w14:textFill>
                  <w14:solidFill>
                    <w14:schemeClr w14:val="tx1"/>
                  </w14:solidFill>
                </w14:textFill>
              </w:rPr>
            </w:pPr>
            <w:r>
              <w:rPr>
                <w:rFonts w:hint="default" w:ascii="Times New Roman" w:hAnsi="Times New Roman" w:cs="Times New Roman"/>
                <w:b/>
                <w:bCs/>
                <w:color w:val="000000" w:themeColor="text1"/>
                <w:kern w:val="0"/>
                <w:szCs w:val="21"/>
                <w:highlight w:val="none"/>
                <w:lang w:val="en-US" w:eastAsia="zh-CN"/>
                <w14:textFill>
                  <w14:solidFill>
                    <w14:schemeClr w14:val="tx1"/>
                  </w14:solidFill>
                </w14:textFill>
              </w:rPr>
              <w:t>1、</w:t>
            </w:r>
            <w:r>
              <w:rPr>
                <w:rFonts w:hint="default" w:ascii="Times New Roman" w:hAnsi="Times New Roman" w:cs="Times New Roman"/>
                <w:b/>
                <w:bCs/>
                <w:color w:val="000000" w:themeColor="text1"/>
                <w:kern w:val="0"/>
                <w:szCs w:val="21"/>
                <w:highlight w:val="none"/>
                <w14:textFill>
                  <w14:solidFill>
                    <w14:schemeClr w14:val="tx1"/>
                  </w14:solidFill>
                </w14:textFill>
              </w:rPr>
              <w:t>大气环境保护目标</w:t>
            </w:r>
          </w:p>
          <w:p w14:paraId="384321A8">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本项目厂界外500米范围内无自然保护区、风景名胜区，文物保护单位等特殊环境敏感区，仅存在散居居民点，详见表3-</w:t>
            </w:r>
            <w:r>
              <w:rPr>
                <w:rFonts w:hint="default" w:ascii="Times New Roman" w:hAnsi="Times New Roman" w:cs="Times New Roman"/>
                <w:color w:val="000000" w:themeColor="text1"/>
                <w:kern w:val="0"/>
                <w:szCs w:val="21"/>
                <w:highlight w:val="none"/>
                <w:lang w:val="en-US" w:eastAsia="zh-CN"/>
                <w14:textFill>
                  <w14:solidFill>
                    <w14:schemeClr w14:val="tx1"/>
                  </w14:solidFill>
                </w14:textFill>
              </w:rPr>
              <w:t>2</w:t>
            </w:r>
            <w:r>
              <w:rPr>
                <w:rFonts w:hint="default" w:ascii="Times New Roman" w:hAnsi="Times New Roman" w:cs="Times New Roman"/>
                <w:color w:val="000000" w:themeColor="text1"/>
                <w:kern w:val="0"/>
                <w:szCs w:val="21"/>
                <w:highlight w:val="none"/>
                <w14:textFill>
                  <w14:solidFill>
                    <w14:schemeClr w14:val="tx1"/>
                  </w14:solidFill>
                </w14:textFill>
              </w:rPr>
              <w:t>。</w:t>
            </w:r>
          </w:p>
          <w:p w14:paraId="59B6A642">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b/>
                <w:bCs/>
                <w:color w:val="000000" w:themeColor="text1"/>
                <w:kern w:val="0"/>
                <w:szCs w:val="21"/>
                <w:highlight w:val="none"/>
                <w14:textFill>
                  <w14:solidFill>
                    <w14:schemeClr w14:val="tx1"/>
                  </w14:solidFill>
                </w14:textFill>
              </w:rPr>
            </w:pPr>
            <w:r>
              <w:rPr>
                <w:rFonts w:hint="default" w:ascii="Times New Roman" w:hAnsi="Times New Roman" w:cs="Times New Roman"/>
                <w:b/>
                <w:bCs/>
                <w:color w:val="000000" w:themeColor="text1"/>
                <w:kern w:val="0"/>
                <w:szCs w:val="21"/>
                <w:highlight w:val="none"/>
                <w:lang w:val="en-US" w:eastAsia="zh-CN"/>
                <w14:textFill>
                  <w14:solidFill>
                    <w14:schemeClr w14:val="tx1"/>
                  </w14:solidFill>
                </w14:textFill>
              </w:rPr>
              <w:t>2</w:t>
            </w:r>
            <w:r>
              <w:rPr>
                <w:rFonts w:hint="default" w:ascii="Times New Roman" w:hAnsi="Times New Roman" w:cs="Times New Roman"/>
                <w:b/>
                <w:bCs/>
                <w:color w:val="000000" w:themeColor="text1"/>
                <w:kern w:val="0"/>
                <w:szCs w:val="21"/>
                <w:highlight w:val="none"/>
                <w14:textFill>
                  <w14:solidFill>
                    <w14:schemeClr w14:val="tx1"/>
                  </w14:solidFill>
                </w14:textFill>
              </w:rPr>
              <w:t>、地下水环境保护目标</w:t>
            </w:r>
          </w:p>
          <w:p w14:paraId="320A31BC">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项目厂界外500米范围内无地下水集中式饮用水水源和热水、矿泉水、温泉等特殊地下水资源，无地下水环境保护目标。</w:t>
            </w:r>
          </w:p>
          <w:p w14:paraId="5CD170E6">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b/>
                <w:bCs/>
                <w:color w:val="000000" w:themeColor="text1"/>
                <w:kern w:val="0"/>
                <w:szCs w:val="21"/>
                <w:highlight w:val="none"/>
                <w14:textFill>
                  <w14:solidFill>
                    <w14:schemeClr w14:val="tx1"/>
                  </w14:solidFill>
                </w14:textFill>
              </w:rPr>
            </w:pPr>
            <w:r>
              <w:rPr>
                <w:rFonts w:hint="default" w:ascii="Times New Roman" w:hAnsi="Times New Roman" w:cs="Times New Roman"/>
                <w:b/>
                <w:bCs/>
                <w:color w:val="000000" w:themeColor="text1"/>
                <w:kern w:val="0"/>
                <w:szCs w:val="21"/>
                <w:highlight w:val="none"/>
                <w:lang w:val="en-US" w:eastAsia="zh-CN"/>
                <w14:textFill>
                  <w14:solidFill>
                    <w14:schemeClr w14:val="tx1"/>
                  </w14:solidFill>
                </w14:textFill>
              </w:rPr>
              <w:t>3</w:t>
            </w:r>
            <w:r>
              <w:rPr>
                <w:rFonts w:hint="default" w:ascii="Times New Roman" w:hAnsi="Times New Roman" w:cs="Times New Roman"/>
                <w:b/>
                <w:bCs/>
                <w:color w:val="000000" w:themeColor="text1"/>
                <w:kern w:val="0"/>
                <w:szCs w:val="21"/>
                <w:highlight w:val="none"/>
                <w14:textFill>
                  <w14:solidFill>
                    <w14:schemeClr w14:val="tx1"/>
                  </w14:solidFill>
                </w14:textFill>
              </w:rPr>
              <w:t>、声环境保护目标</w:t>
            </w:r>
          </w:p>
          <w:p w14:paraId="24910254">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项目厂界外50米范围内</w:t>
            </w:r>
            <w:r>
              <w:rPr>
                <w:rFonts w:hint="default" w:ascii="Times New Roman" w:hAnsi="Times New Roman" w:cs="Times New Roman"/>
                <w:color w:val="000000" w:themeColor="text1"/>
                <w:kern w:val="0"/>
                <w:szCs w:val="21"/>
                <w:highlight w:val="none"/>
                <w:lang w:val="en-US" w:eastAsia="zh-CN"/>
                <w14:textFill>
                  <w14:solidFill>
                    <w14:schemeClr w14:val="tx1"/>
                  </w14:solidFill>
                </w14:textFill>
              </w:rPr>
              <w:t>无声环境保护目标</w:t>
            </w:r>
            <w:r>
              <w:rPr>
                <w:rFonts w:hint="default" w:ascii="Times New Roman" w:hAnsi="Times New Roman" w:cs="Times New Roman"/>
                <w:color w:val="000000" w:themeColor="text1"/>
                <w:kern w:val="0"/>
                <w:szCs w:val="21"/>
                <w:highlight w:val="none"/>
                <w14:textFill>
                  <w14:solidFill>
                    <w14:schemeClr w14:val="tx1"/>
                  </w14:solidFill>
                </w14:textFill>
              </w:rPr>
              <w:t>。</w:t>
            </w:r>
          </w:p>
          <w:p w14:paraId="1D486174">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b/>
                <w:bCs/>
                <w:color w:val="000000" w:themeColor="text1"/>
                <w:kern w:val="0"/>
                <w:szCs w:val="21"/>
                <w:highlight w:val="none"/>
                <w14:textFill>
                  <w14:solidFill>
                    <w14:schemeClr w14:val="tx1"/>
                  </w14:solidFill>
                </w14:textFill>
              </w:rPr>
            </w:pPr>
            <w:r>
              <w:rPr>
                <w:rFonts w:hint="default" w:ascii="Times New Roman" w:hAnsi="Times New Roman" w:cs="Times New Roman"/>
                <w:b/>
                <w:bCs/>
                <w:color w:val="000000" w:themeColor="text1"/>
                <w:kern w:val="0"/>
                <w:szCs w:val="21"/>
                <w:highlight w:val="none"/>
                <w:lang w:val="en-US" w:eastAsia="zh-CN"/>
                <w14:textFill>
                  <w14:solidFill>
                    <w14:schemeClr w14:val="tx1"/>
                  </w14:solidFill>
                </w14:textFill>
              </w:rPr>
              <w:t>4</w:t>
            </w:r>
            <w:r>
              <w:rPr>
                <w:rFonts w:hint="default" w:ascii="Times New Roman" w:hAnsi="Times New Roman" w:cs="Times New Roman"/>
                <w:b/>
                <w:bCs/>
                <w:color w:val="000000" w:themeColor="text1"/>
                <w:kern w:val="0"/>
                <w:szCs w:val="21"/>
                <w:highlight w:val="none"/>
                <w14:textFill>
                  <w14:solidFill>
                    <w14:schemeClr w14:val="tx1"/>
                  </w14:solidFill>
                </w14:textFill>
              </w:rPr>
              <w:t>、生态环境保护目标</w:t>
            </w:r>
          </w:p>
          <w:p w14:paraId="2FE6D7D1">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项目区域</w:t>
            </w:r>
            <w:r>
              <w:rPr>
                <w:rFonts w:hint="eastAsia" w:cs="Times New Roman"/>
                <w:color w:val="000000" w:themeColor="text1"/>
                <w:kern w:val="0"/>
                <w:szCs w:val="21"/>
                <w:highlight w:val="none"/>
                <w:lang w:val="en-US" w:eastAsia="zh-CN"/>
                <w14:textFill>
                  <w14:solidFill>
                    <w14:schemeClr w14:val="tx1"/>
                  </w14:solidFill>
                </w14:textFill>
              </w:rPr>
              <w:t>位于磴口县补隆淖镇</w:t>
            </w:r>
            <w:r>
              <w:rPr>
                <w:rFonts w:hint="default" w:ascii="Times New Roman" w:hAnsi="Times New Roman" w:cs="Times New Roman"/>
                <w:color w:val="000000" w:themeColor="text1"/>
                <w:kern w:val="0"/>
                <w:szCs w:val="21"/>
                <w:highlight w:val="none"/>
                <w14:textFill>
                  <w14:solidFill>
                    <w14:schemeClr w14:val="tx1"/>
                  </w14:solidFill>
                </w14:textFill>
              </w:rPr>
              <w:t>，</w:t>
            </w:r>
            <w:r>
              <w:rPr>
                <w:rFonts w:hint="eastAsia" w:cs="Times New Roman"/>
                <w:color w:val="000000" w:themeColor="text1"/>
                <w:kern w:val="0"/>
                <w:szCs w:val="21"/>
                <w:highlight w:val="none"/>
                <w:lang w:val="en-US" w:eastAsia="zh-CN"/>
                <w14:textFill>
                  <w14:solidFill>
                    <w14:schemeClr w14:val="tx1"/>
                  </w14:solidFill>
                </w14:textFill>
              </w:rPr>
              <w:t>项目周边</w:t>
            </w:r>
            <w:r>
              <w:rPr>
                <w:rFonts w:hint="default" w:ascii="Times New Roman" w:hAnsi="Times New Roman" w:cs="Times New Roman"/>
                <w:color w:val="000000" w:themeColor="text1"/>
                <w:kern w:val="0"/>
                <w:szCs w:val="21"/>
                <w:highlight w:val="none"/>
                <w14:textFill>
                  <w14:solidFill>
                    <w14:schemeClr w14:val="tx1"/>
                  </w14:solidFill>
                </w14:textFill>
              </w:rPr>
              <w:t>无特殊生态环境保护目标。</w:t>
            </w:r>
          </w:p>
          <w:p w14:paraId="2266AE8B">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表3-6  污水处理厂环境保护目标一览表</w:t>
            </w:r>
          </w:p>
          <w:tbl>
            <w:tblPr>
              <w:tblStyle w:val="13"/>
              <w:tblW w:w="0" w:type="auto"/>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2084"/>
              <w:gridCol w:w="691"/>
              <w:gridCol w:w="1296"/>
              <w:gridCol w:w="1327"/>
              <w:gridCol w:w="2088"/>
            </w:tblGrid>
            <w:tr w14:paraId="39A67C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dxa"/>
                  <w:tcBorders>
                    <w:tl2br w:val="nil"/>
                    <w:tr2bl w:val="nil"/>
                  </w:tcBorders>
                  <w:noWrap w:val="0"/>
                  <w:vAlign w:val="center"/>
                </w:tcPr>
                <w:p w14:paraId="7DE1206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环境要素</w:t>
                  </w:r>
                </w:p>
              </w:tc>
              <w:tc>
                <w:tcPr>
                  <w:tcW w:w="2084" w:type="dxa"/>
                  <w:tcBorders>
                    <w:tl2br w:val="nil"/>
                    <w:tr2bl w:val="nil"/>
                  </w:tcBorders>
                  <w:noWrap w:val="0"/>
                  <w:vAlign w:val="center"/>
                </w:tcPr>
                <w:p w14:paraId="0979435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保护目标</w:t>
                  </w:r>
                </w:p>
              </w:tc>
              <w:tc>
                <w:tcPr>
                  <w:tcW w:w="691" w:type="dxa"/>
                  <w:tcBorders>
                    <w:tl2br w:val="nil"/>
                    <w:tr2bl w:val="nil"/>
                  </w:tcBorders>
                  <w:noWrap w:val="0"/>
                  <w:vAlign w:val="center"/>
                </w:tcPr>
                <w:p w14:paraId="5A15DC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方位</w:t>
                  </w:r>
                </w:p>
              </w:tc>
              <w:tc>
                <w:tcPr>
                  <w:tcW w:w="1296" w:type="dxa"/>
                  <w:tcBorders>
                    <w:tl2br w:val="nil"/>
                    <w:tr2bl w:val="nil"/>
                  </w:tcBorders>
                  <w:noWrap w:val="0"/>
                  <w:vAlign w:val="center"/>
                </w:tcPr>
                <w:p w14:paraId="0D4AFD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距厂界距离</w:t>
                  </w:r>
                </w:p>
              </w:tc>
              <w:tc>
                <w:tcPr>
                  <w:tcW w:w="1327" w:type="dxa"/>
                  <w:tcBorders>
                    <w:tl2br w:val="nil"/>
                    <w:tr2bl w:val="nil"/>
                  </w:tcBorders>
                  <w:noWrap w:val="0"/>
                  <w:vAlign w:val="center"/>
                </w:tcPr>
                <w:p w14:paraId="4CB418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保护目标概况</w:t>
                  </w:r>
                </w:p>
              </w:tc>
              <w:tc>
                <w:tcPr>
                  <w:tcW w:w="1838" w:type="dxa"/>
                  <w:tcBorders>
                    <w:tl2br w:val="nil"/>
                    <w:tr2bl w:val="nil"/>
                  </w:tcBorders>
                  <w:noWrap w:val="0"/>
                  <w:vAlign w:val="center"/>
                </w:tcPr>
                <w:p w14:paraId="63FCF2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环境保护目标要求</w:t>
                  </w:r>
                </w:p>
              </w:tc>
            </w:tr>
            <w:tr w14:paraId="24896A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dxa"/>
                  <w:vMerge w:val="restart"/>
                  <w:tcBorders>
                    <w:tl2br w:val="nil"/>
                    <w:tr2bl w:val="nil"/>
                  </w:tcBorders>
                  <w:noWrap w:val="0"/>
                  <w:vAlign w:val="center"/>
                </w:tcPr>
                <w:p w14:paraId="579DB1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环境空气</w:t>
                  </w:r>
                </w:p>
              </w:tc>
              <w:tc>
                <w:tcPr>
                  <w:tcW w:w="2084" w:type="dxa"/>
                  <w:tcBorders>
                    <w:tl2br w:val="nil"/>
                    <w:tr2bl w:val="nil"/>
                  </w:tcBorders>
                  <w:noWrap w:val="0"/>
                  <w:vAlign w:val="center"/>
                </w:tcPr>
                <w:p w14:paraId="7303D7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补隆淖镇</w:t>
                  </w: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居民点1</w:t>
                  </w:r>
                </w:p>
              </w:tc>
              <w:tc>
                <w:tcPr>
                  <w:tcW w:w="691" w:type="dxa"/>
                  <w:tcBorders>
                    <w:tl2br w:val="nil"/>
                    <w:tr2bl w:val="nil"/>
                  </w:tcBorders>
                  <w:noWrap w:val="0"/>
                  <w:vAlign w:val="center"/>
                </w:tcPr>
                <w:p w14:paraId="75C261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EN</w:t>
                  </w:r>
                </w:p>
              </w:tc>
              <w:tc>
                <w:tcPr>
                  <w:tcW w:w="1296" w:type="dxa"/>
                  <w:tcBorders>
                    <w:tl2br w:val="nil"/>
                    <w:tr2bl w:val="nil"/>
                  </w:tcBorders>
                  <w:noWrap w:val="0"/>
                  <w:vAlign w:val="center"/>
                </w:tcPr>
                <w:p w14:paraId="020B8B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553m</w:t>
                  </w:r>
                </w:p>
              </w:tc>
              <w:tc>
                <w:tcPr>
                  <w:tcW w:w="1327" w:type="dxa"/>
                  <w:tcBorders>
                    <w:tl2br w:val="nil"/>
                    <w:tr2bl w:val="nil"/>
                  </w:tcBorders>
                  <w:noWrap w:val="0"/>
                  <w:vAlign w:val="center"/>
                </w:tcPr>
                <w:p w14:paraId="4D8133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1户，4人</w:t>
                  </w:r>
                </w:p>
              </w:tc>
              <w:tc>
                <w:tcPr>
                  <w:tcW w:w="1838" w:type="dxa"/>
                  <w:vMerge w:val="restart"/>
                  <w:tcBorders>
                    <w:tl2br w:val="nil"/>
                    <w:tr2bl w:val="nil"/>
                  </w:tcBorders>
                  <w:noWrap w:val="0"/>
                  <w:vAlign w:val="center"/>
                </w:tcPr>
                <w:p w14:paraId="4F4680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14:textFill>
                        <w14:solidFill>
                          <w14:schemeClr w14:val="tx1"/>
                        </w14:solidFill>
                      </w14:textFill>
                    </w:rPr>
                    <w:t>《环境空气质量标准》</w:t>
                  </w:r>
                  <w:r>
                    <w:rPr>
                      <w:rFonts w:hint="eastAsia" w:eastAsia="宋体" w:cs="Times New Roman"/>
                      <w:color w:val="000000" w:themeColor="text1"/>
                      <w:kern w:val="0"/>
                      <w:sz w:val="21"/>
                      <w:szCs w:val="21"/>
                      <w:highlight w:val="none"/>
                      <w:vertAlign w:val="baseline"/>
                      <w:lang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vertAlign w:val="baseline"/>
                      <w14:textFill>
                        <w14:solidFill>
                          <w14:schemeClr w14:val="tx1"/>
                        </w14:solidFill>
                      </w14:textFill>
                    </w:rPr>
                    <w:t>GB3095-20</w:t>
                  </w:r>
                  <w:r>
                    <w:rPr>
                      <w:rFonts w:hint="eastAsia" w:cs="Times New Roman"/>
                      <w:color w:val="000000" w:themeColor="text1"/>
                      <w:kern w:val="0"/>
                      <w:sz w:val="21"/>
                      <w:szCs w:val="21"/>
                      <w:highlight w:val="none"/>
                      <w:vertAlign w:val="baseline"/>
                      <w:lang w:val="en-US" w:eastAsia="zh-CN"/>
                      <w14:textFill>
                        <w14:solidFill>
                          <w14:schemeClr w14:val="tx1"/>
                        </w14:solidFill>
                      </w14:textFill>
                    </w:rPr>
                    <w:t>26</w:t>
                  </w:r>
                  <w:r>
                    <w:rPr>
                      <w:rFonts w:hint="eastAsia" w:eastAsia="宋体" w:cs="Times New Roman"/>
                      <w:color w:val="000000" w:themeColor="text1"/>
                      <w:kern w:val="0"/>
                      <w:sz w:val="21"/>
                      <w:szCs w:val="21"/>
                      <w:highlight w:val="none"/>
                      <w:vertAlign w:val="baseline"/>
                      <w:lang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vertAlign w:val="baseline"/>
                      <w14:textFill>
                        <w14:solidFill>
                          <w14:schemeClr w14:val="tx1"/>
                        </w14:solidFill>
                      </w14:textFill>
                    </w:rPr>
                    <w:t>二级</w:t>
                  </w:r>
                </w:p>
              </w:tc>
            </w:tr>
            <w:tr w14:paraId="60EFB5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dxa"/>
                  <w:vMerge w:val="continue"/>
                  <w:tcBorders>
                    <w:tl2br w:val="nil"/>
                    <w:tr2bl w:val="nil"/>
                  </w:tcBorders>
                  <w:noWrap w:val="0"/>
                  <w:vAlign w:val="center"/>
                </w:tcPr>
                <w:p w14:paraId="3857658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14:textFill>
                        <w14:solidFill>
                          <w14:schemeClr w14:val="tx1"/>
                        </w14:solidFill>
                      </w14:textFill>
                    </w:rPr>
                  </w:pPr>
                </w:p>
              </w:tc>
              <w:tc>
                <w:tcPr>
                  <w:tcW w:w="2084" w:type="dxa"/>
                  <w:tcBorders>
                    <w:tl2br w:val="nil"/>
                    <w:tr2bl w:val="nil"/>
                  </w:tcBorders>
                  <w:noWrap w:val="0"/>
                  <w:vAlign w:val="center"/>
                </w:tcPr>
                <w:p w14:paraId="2A55AD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补隆淖镇</w:t>
                  </w: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居民点2</w:t>
                  </w:r>
                </w:p>
              </w:tc>
              <w:tc>
                <w:tcPr>
                  <w:tcW w:w="691" w:type="dxa"/>
                  <w:tcBorders>
                    <w:tl2br w:val="nil"/>
                    <w:tr2bl w:val="nil"/>
                  </w:tcBorders>
                  <w:noWrap w:val="0"/>
                  <w:vAlign w:val="center"/>
                </w:tcPr>
                <w:p w14:paraId="49BC36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EN</w:t>
                  </w:r>
                </w:p>
              </w:tc>
              <w:tc>
                <w:tcPr>
                  <w:tcW w:w="1296" w:type="dxa"/>
                  <w:tcBorders>
                    <w:tl2br w:val="nil"/>
                    <w:tr2bl w:val="nil"/>
                  </w:tcBorders>
                  <w:noWrap w:val="0"/>
                  <w:vAlign w:val="center"/>
                </w:tcPr>
                <w:p w14:paraId="782C8F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417m</w:t>
                  </w:r>
                </w:p>
              </w:tc>
              <w:tc>
                <w:tcPr>
                  <w:tcW w:w="1327" w:type="dxa"/>
                  <w:tcBorders>
                    <w:tl2br w:val="nil"/>
                    <w:tr2bl w:val="nil"/>
                  </w:tcBorders>
                  <w:noWrap w:val="0"/>
                  <w:vAlign w:val="center"/>
                </w:tcPr>
                <w:p w14:paraId="3CEA6D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1户，3人</w:t>
                  </w:r>
                </w:p>
              </w:tc>
              <w:tc>
                <w:tcPr>
                  <w:tcW w:w="1838" w:type="dxa"/>
                  <w:vMerge w:val="continue"/>
                  <w:tcBorders>
                    <w:tl2br w:val="nil"/>
                    <w:tr2bl w:val="nil"/>
                  </w:tcBorders>
                  <w:noWrap w:val="0"/>
                  <w:vAlign w:val="center"/>
                </w:tcPr>
                <w:p w14:paraId="264899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14:textFill>
                        <w14:solidFill>
                          <w14:schemeClr w14:val="tx1"/>
                        </w14:solidFill>
                      </w14:textFill>
                    </w:rPr>
                  </w:pPr>
                </w:p>
              </w:tc>
            </w:tr>
            <w:tr w14:paraId="11455F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4" w:type="dxa"/>
                  <w:vMerge w:val="continue"/>
                  <w:tcBorders>
                    <w:tl2br w:val="nil"/>
                    <w:tr2bl w:val="nil"/>
                  </w:tcBorders>
                  <w:noWrap w:val="0"/>
                  <w:vAlign w:val="center"/>
                </w:tcPr>
                <w:p w14:paraId="648B76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14:textFill>
                        <w14:solidFill>
                          <w14:schemeClr w14:val="tx1"/>
                        </w14:solidFill>
                      </w14:textFill>
                    </w:rPr>
                  </w:pPr>
                </w:p>
              </w:tc>
              <w:tc>
                <w:tcPr>
                  <w:tcW w:w="2084" w:type="dxa"/>
                  <w:tcBorders>
                    <w:tl2br w:val="nil"/>
                    <w:tr2bl w:val="nil"/>
                  </w:tcBorders>
                  <w:noWrap w:val="0"/>
                  <w:vAlign w:val="center"/>
                </w:tcPr>
                <w:p w14:paraId="64FA5A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补隆淖镇</w:t>
                  </w: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居民点</w:t>
                  </w:r>
                  <w:r>
                    <w:rPr>
                      <w:rFonts w:hint="eastAsia" w:cs="Times New Roman"/>
                      <w:color w:val="000000" w:themeColor="text1"/>
                      <w:kern w:val="0"/>
                      <w:sz w:val="21"/>
                      <w:szCs w:val="21"/>
                      <w:highlight w:val="none"/>
                      <w:vertAlign w:val="baseline"/>
                      <w:lang w:val="en-US" w:eastAsia="zh-CN"/>
                      <w14:textFill>
                        <w14:solidFill>
                          <w14:schemeClr w14:val="tx1"/>
                        </w14:solidFill>
                      </w14:textFill>
                    </w:rPr>
                    <w:t>3</w:t>
                  </w:r>
                </w:p>
              </w:tc>
              <w:tc>
                <w:tcPr>
                  <w:tcW w:w="691" w:type="dxa"/>
                  <w:tcBorders>
                    <w:tl2br w:val="nil"/>
                    <w:tr2bl w:val="nil"/>
                  </w:tcBorders>
                  <w:noWrap w:val="0"/>
                  <w:vAlign w:val="center"/>
                </w:tcPr>
                <w:p w14:paraId="3A0E99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WN</w:t>
                  </w:r>
                </w:p>
              </w:tc>
              <w:tc>
                <w:tcPr>
                  <w:tcW w:w="1296" w:type="dxa"/>
                  <w:tcBorders>
                    <w:tl2br w:val="nil"/>
                    <w:tr2bl w:val="nil"/>
                  </w:tcBorders>
                  <w:noWrap w:val="0"/>
                  <w:vAlign w:val="center"/>
                </w:tcPr>
                <w:p w14:paraId="57B065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296m</w:t>
                  </w:r>
                </w:p>
              </w:tc>
              <w:tc>
                <w:tcPr>
                  <w:tcW w:w="1327" w:type="dxa"/>
                  <w:tcBorders>
                    <w:tl2br w:val="nil"/>
                    <w:tr2bl w:val="nil"/>
                  </w:tcBorders>
                  <w:noWrap w:val="0"/>
                  <w:vAlign w:val="center"/>
                </w:tcPr>
                <w:p w14:paraId="427E39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1户，4人</w:t>
                  </w:r>
                </w:p>
              </w:tc>
              <w:tc>
                <w:tcPr>
                  <w:tcW w:w="1838" w:type="dxa"/>
                  <w:vMerge w:val="continue"/>
                  <w:tcBorders>
                    <w:tl2br w:val="nil"/>
                    <w:tr2bl w:val="nil"/>
                  </w:tcBorders>
                  <w:noWrap w:val="0"/>
                  <w:vAlign w:val="center"/>
                </w:tcPr>
                <w:p w14:paraId="461597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14:textFill>
                        <w14:solidFill>
                          <w14:schemeClr w14:val="tx1"/>
                        </w14:solidFill>
                      </w14:textFill>
                    </w:rPr>
                  </w:pPr>
                </w:p>
              </w:tc>
            </w:tr>
          </w:tbl>
          <w:p w14:paraId="56B3F6B7">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cs="Times New Roman"/>
                <w:color w:val="000000" w:themeColor="text1"/>
                <w:kern w:val="0"/>
                <w:szCs w:val="21"/>
                <w:highlight w:val="none"/>
                <w14:textFill>
                  <w14:solidFill>
                    <w14:schemeClr w14:val="tx1"/>
                  </w14:solidFill>
                </w14:textFill>
              </w:rPr>
            </w:pPr>
          </w:p>
          <w:p w14:paraId="130AA231">
            <w:pPr>
              <w:keepNext w:val="0"/>
              <w:keepLines w:val="0"/>
              <w:pageBreakBefore w:val="0"/>
              <w:widowControl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drawing>
                <wp:inline distT="0" distB="0" distL="114300" distR="114300">
                  <wp:extent cx="5055235" cy="3577590"/>
                  <wp:effectExtent l="0" t="0" r="12065" b="3810"/>
                  <wp:docPr id="11" name="图片 11" descr="保护目标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保护目标图"/>
                          <pic:cNvPicPr>
                            <a:picLocks noChangeAspect="1"/>
                          </pic:cNvPicPr>
                        </pic:nvPicPr>
                        <pic:blipFill>
                          <a:blip r:embed="rId40"/>
                          <a:stretch>
                            <a:fillRect/>
                          </a:stretch>
                        </pic:blipFill>
                        <pic:spPr>
                          <a:xfrm>
                            <a:off x="0" y="0"/>
                            <a:ext cx="5055235" cy="3577590"/>
                          </a:xfrm>
                          <a:prstGeom prst="rect">
                            <a:avLst/>
                          </a:prstGeom>
                        </pic:spPr>
                      </pic:pic>
                    </a:graphicData>
                  </a:graphic>
                </wp:inline>
              </w:drawing>
            </w:r>
          </w:p>
          <w:p w14:paraId="6C876CEA">
            <w:pPr>
              <w:pStyle w:val="19"/>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图3-2  污水处理厂保护目标图</w:t>
            </w:r>
          </w:p>
          <w:p w14:paraId="236C5BD7">
            <w:pPr>
              <w:adjustRightInd w:val="0"/>
              <w:snapToGrid w:val="0"/>
              <w:jc w:val="both"/>
              <w:rPr>
                <w:rFonts w:ascii="宋体" w:hAnsi="宋体" w:cs="宋体"/>
                <w:color w:val="000000" w:themeColor="text1"/>
                <w:kern w:val="0"/>
                <w:szCs w:val="21"/>
                <w:highlight w:val="none"/>
                <w14:textFill>
                  <w14:solidFill>
                    <w14:schemeClr w14:val="tx1"/>
                  </w14:solidFill>
                </w14:textFill>
              </w:rPr>
            </w:pPr>
          </w:p>
        </w:tc>
      </w:tr>
      <w:tr w14:paraId="5AD173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800" w:type="dxa"/>
            <w:noWrap w:val="0"/>
            <w:tcMar>
              <w:left w:w="28" w:type="dxa"/>
              <w:right w:w="28" w:type="dxa"/>
            </w:tcMar>
            <w:vAlign w:val="center"/>
          </w:tcPr>
          <w:p w14:paraId="3ABE001E">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污染</w:t>
            </w:r>
          </w:p>
          <w:p w14:paraId="37F55016">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物排</w:t>
            </w:r>
          </w:p>
          <w:p w14:paraId="7DFD78D2">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放控</w:t>
            </w:r>
          </w:p>
          <w:p w14:paraId="08C20FD8">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制标</w:t>
            </w:r>
          </w:p>
          <w:p w14:paraId="5CDC8EE9">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准</w:t>
            </w:r>
          </w:p>
        </w:tc>
        <w:tc>
          <w:tcPr>
            <w:tcW w:w="8196" w:type="dxa"/>
            <w:noWrap w:val="0"/>
            <w:vAlign w:val="center"/>
          </w:tcPr>
          <w:p w14:paraId="27A4E812">
            <w:pPr>
              <w:keepNext w:val="0"/>
              <w:keepLines w:val="0"/>
              <w:pageBreakBefore w:val="0"/>
              <w:widowControl w:val="0"/>
              <w:kinsoku/>
              <w:wordWrap/>
              <w:overflowPunct/>
              <w:topLinePunct w:val="0"/>
              <w:autoSpaceDE/>
              <w:autoSpaceDN/>
              <w:bidi w:val="0"/>
              <w:adjustRightInd w:val="0"/>
              <w:snapToGrid w:val="0"/>
              <w:jc w:val="both"/>
              <w:textAlignment w:val="auto"/>
              <w:rPr>
                <w:rFonts w:ascii="宋体" w:hAnsi="宋体" w:cs="宋体"/>
                <w:b/>
                <w:bCs/>
                <w:color w:val="000000" w:themeColor="text1"/>
                <w:kern w:val="0"/>
                <w:szCs w:val="21"/>
                <w:highlight w:val="none"/>
                <w14:textFill>
                  <w14:solidFill>
                    <w14:schemeClr w14:val="tx1"/>
                  </w14:solidFill>
                </w14:textFill>
              </w:rPr>
            </w:pPr>
            <w:r>
              <w:rPr>
                <w:rFonts w:hint="eastAsia" w:ascii="宋体" w:hAnsi="宋体" w:cs="宋体"/>
                <w:b/>
                <w:bCs/>
                <w:color w:val="000000" w:themeColor="text1"/>
                <w:kern w:val="0"/>
                <w:szCs w:val="21"/>
                <w:highlight w:val="none"/>
                <w:lang w:val="en-US" w:eastAsia="zh-CN"/>
                <w14:textFill>
                  <w14:solidFill>
                    <w14:schemeClr w14:val="tx1"/>
                  </w14:solidFill>
                </w14:textFill>
              </w:rPr>
              <w:t>1</w:t>
            </w:r>
            <w:r>
              <w:rPr>
                <w:rFonts w:hint="eastAsia" w:ascii="宋体" w:hAnsi="宋体" w:cs="宋体"/>
                <w:b/>
                <w:bCs/>
                <w:color w:val="000000" w:themeColor="text1"/>
                <w:kern w:val="0"/>
                <w:szCs w:val="21"/>
                <w:highlight w:val="none"/>
                <w14:textFill>
                  <w14:solidFill>
                    <w14:schemeClr w14:val="tx1"/>
                  </w14:solidFill>
                </w14:textFill>
              </w:rPr>
              <w:t>、大气污染物排放标准</w:t>
            </w:r>
          </w:p>
          <w:p w14:paraId="22A8F2B8">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（1）施工期</w:t>
            </w:r>
          </w:p>
          <w:p w14:paraId="0400F556">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施工期施工扬尘排放执行《大气污染物综合排放标准》</w:t>
            </w:r>
            <w:r>
              <w:rPr>
                <w:rFonts w:hint="eastAsia"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cs="Times New Roman"/>
                <w:color w:val="000000" w:themeColor="text1"/>
                <w:kern w:val="0"/>
                <w:szCs w:val="21"/>
                <w:highlight w:val="none"/>
                <w14:textFill>
                  <w14:solidFill>
                    <w14:schemeClr w14:val="tx1"/>
                  </w14:solidFill>
                </w14:textFill>
              </w:rPr>
              <w:t>GB16297-1996</w:t>
            </w:r>
            <w:r>
              <w:rPr>
                <w:rFonts w:hint="eastAsia"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cs="Times New Roman"/>
                <w:color w:val="000000" w:themeColor="text1"/>
                <w:kern w:val="0"/>
                <w:szCs w:val="21"/>
                <w:highlight w:val="none"/>
                <w14:textFill>
                  <w14:solidFill>
                    <w14:schemeClr w14:val="tx1"/>
                  </w14:solidFill>
                </w14:textFill>
              </w:rPr>
              <w:t>表2“无组织排放监控浓度限值”（1.0mg/m</w:t>
            </w:r>
            <w:r>
              <w:rPr>
                <w:rFonts w:hint="default" w:ascii="Times New Roman" w:hAnsi="Times New Roman" w:cs="Times New Roman"/>
                <w:color w:val="000000" w:themeColor="text1"/>
                <w:kern w:val="0"/>
                <w:szCs w:val="21"/>
                <w:highlight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kern w:val="0"/>
                <w:szCs w:val="21"/>
                <w:highlight w:val="none"/>
                <w14:textFill>
                  <w14:solidFill>
                    <w14:schemeClr w14:val="tx1"/>
                  </w14:solidFill>
                </w14:textFill>
              </w:rPr>
              <w:t>），见表</w:t>
            </w:r>
            <w:r>
              <w:rPr>
                <w:rFonts w:hint="default" w:ascii="Times New Roman" w:hAnsi="Times New Roman" w:cs="Times New Roman"/>
                <w:color w:val="000000" w:themeColor="text1"/>
                <w:kern w:val="0"/>
                <w:szCs w:val="21"/>
                <w:highlight w:val="none"/>
                <w:lang w:val="en-US" w:eastAsia="zh-CN"/>
                <w14:textFill>
                  <w14:solidFill>
                    <w14:schemeClr w14:val="tx1"/>
                  </w14:solidFill>
                </w14:textFill>
              </w:rPr>
              <w:t>3-</w:t>
            </w:r>
            <w:r>
              <w:rPr>
                <w:rFonts w:hint="eastAsia" w:cs="Times New Roman"/>
                <w:color w:val="000000" w:themeColor="text1"/>
                <w:kern w:val="0"/>
                <w:szCs w:val="21"/>
                <w:highlight w:val="none"/>
                <w:lang w:val="en-US" w:eastAsia="zh-CN"/>
                <w14:textFill>
                  <w14:solidFill>
                    <w14:schemeClr w14:val="tx1"/>
                  </w14:solidFill>
                </w14:textFill>
              </w:rPr>
              <w:t>7</w:t>
            </w:r>
            <w:r>
              <w:rPr>
                <w:rFonts w:hint="default" w:ascii="Times New Roman" w:hAnsi="Times New Roman" w:cs="Times New Roman"/>
                <w:color w:val="000000" w:themeColor="text1"/>
                <w:kern w:val="0"/>
                <w:szCs w:val="21"/>
                <w:highlight w:val="none"/>
                <w14:textFill>
                  <w14:solidFill>
                    <w14:schemeClr w14:val="tx1"/>
                  </w14:solidFill>
                </w14:textFill>
              </w:rPr>
              <w:t>。</w:t>
            </w:r>
          </w:p>
          <w:p w14:paraId="57E24848">
            <w:pPr>
              <w:pStyle w:val="20"/>
              <w:bidi w:val="0"/>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表3-7  项目施工期废气排放执行标准</w:t>
            </w:r>
          </w:p>
          <w:tbl>
            <w:tblPr>
              <w:tblStyle w:val="12"/>
              <w:tblW w:w="4998" w:type="pct"/>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548"/>
              <w:gridCol w:w="3561"/>
              <w:gridCol w:w="3221"/>
            </w:tblGrid>
            <w:tr w14:paraId="49015C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29" w:type="pct"/>
                  <w:tcBorders>
                    <w:tl2br w:val="nil"/>
                    <w:tr2bl w:val="nil"/>
                  </w:tcBorders>
                  <w:noWrap w:val="0"/>
                  <w:vAlign w:val="center"/>
                </w:tcPr>
                <w:p w14:paraId="0992268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污染物名称</w:t>
                  </w:r>
                </w:p>
              </w:tc>
              <w:tc>
                <w:tcPr>
                  <w:tcW w:w="2137" w:type="pct"/>
                  <w:tcBorders>
                    <w:tl2br w:val="nil"/>
                    <w:tr2bl w:val="nil"/>
                  </w:tcBorders>
                  <w:noWrap w:val="0"/>
                  <w:vAlign w:val="center"/>
                </w:tcPr>
                <w:p w14:paraId="00A4F0F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企业边界监控点浓度限值</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mg/m³</w:t>
                  </w:r>
                  <w:r>
                    <w:rPr>
                      <w:rFonts w:hint="eastAsia" w:eastAsia="宋体" w:cs="Times New Roman"/>
                      <w:color w:val="000000" w:themeColor="text1"/>
                      <w:sz w:val="21"/>
                      <w:szCs w:val="21"/>
                      <w:highlight w:val="none"/>
                      <w:lang w:val="en-US" w:eastAsia="zh-CN" w:bidi="ar"/>
                      <w14:textFill>
                        <w14:solidFill>
                          <w14:schemeClr w14:val="tx1"/>
                        </w14:solidFill>
                      </w14:textFill>
                    </w:rPr>
                    <w:t>）</w:t>
                  </w:r>
                </w:p>
              </w:tc>
              <w:tc>
                <w:tcPr>
                  <w:tcW w:w="1933" w:type="pct"/>
                  <w:tcBorders>
                    <w:tl2br w:val="nil"/>
                    <w:tr2bl w:val="nil"/>
                  </w:tcBorders>
                  <w:noWrap w:val="0"/>
                  <w:vAlign w:val="center"/>
                </w:tcPr>
                <w:p w14:paraId="4FD3ED5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执行标准</w:t>
                  </w:r>
                </w:p>
              </w:tc>
            </w:tr>
            <w:tr w14:paraId="04F406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29" w:type="pct"/>
                  <w:tcBorders>
                    <w:tl2br w:val="nil"/>
                    <w:tr2bl w:val="nil"/>
                  </w:tcBorders>
                  <w:noWrap w:val="0"/>
                  <w:vAlign w:val="center"/>
                </w:tcPr>
                <w:p w14:paraId="5DC2F0C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颗粒物</w:t>
                  </w:r>
                </w:p>
              </w:tc>
              <w:tc>
                <w:tcPr>
                  <w:tcW w:w="2137" w:type="pct"/>
                  <w:tcBorders>
                    <w:tl2br w:val="nil"/>
                    <w:tr2bl w:val="nil"/>
                  </w:tcBorders>
                  <w:noWrap w:val="0"/>
                  <w:vAlign w:val="center"/>
                </w:tcPr>
                <w:p w14:paraId="6893340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1933" w:type="pct"/>
                  <w:tcBorders>
                    <w:tl2br w:val="nil"/>
                    <w:tr2bl w:val="nil"/>
                  </w:tcBorders>
                  <w:noWrap w:val="0"/>
                  <w:vAlign w:val="center"/>
                </w:tcPr>
                <w:p w14:paraId="60534B5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《大气污染物综合排放标准》</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GB16297-1996</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表2标准</w:t>
                  </w:r>
                </w:p>
              </w:tc>
            </w:tr>
          </w:tbl>
          <w:p w14:paraId="34AE5AAB">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000000" w:themeColor="text1"/>
                <w:kern w:val="0"/>
                <w:szCs w:val="21"/>
                <w:highlight w:val="none"/>
                <w14:textFill>
                  <w14:solidFill>
                    <w14:schemeClr w14:val="tx1"/>
                  </w14:solidFill>
                </w14:textFill>
              </w:rPr>
            </w:pPr>
          </w:p>
          <w:p w14:paraId="7F7A1393">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（2）运营期</w:t>
            </w:r>
          </w:p>
          <w:p w14:paraId="0D7F5872">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无组织恶臭污染物执行《城镇污水处理厂污染物排放标准》</w:t>
            </w:r>
            <w:r>
              <w:rPr>
                <w:rFonts w:hint="eastAsia"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cs="Times New Roman"/>
                <w:color w:val="000000" w:themeColor="text1"/>
                <w:kern w:val="0"/>
                <w:szCs w:val="21"/>
                <w:highlight w:val="none"/>
                <w14:textFill>
                  <w14:solidFill>
                    <w14:schemeClr w14:val="tx1"/>
                  </w14:solidFill>
                </w14:textFill>
              </w:rPr>
              <w:t>GB18918-2002</w:t>
            </w:r>
            <w:r>
              <w:rPr>
                <w:rFonts w:hint="eastAsia" w:cs="Times New Roman"/>
                <w:color w:val="000000" w:themeColor="text1"/>
                <w:kern w:val="0"/>
                <w:szCs w:val="21"/>
                <w:highlight w:val="none"/>
                <w:lang w:eastAsia="zh-CN"/>
                <w14:textFill>
                  <w14:solidFill>
                    <w14:schemeClr w14:val="tx1"/>
                  </w14:solidFill>
                </w14:textFill>
              </w:rPr>
              <w:t>）</w:t>
            </w:r>
            <w:r>
              <w:rPr>
                <w:rFonts w:hint="eastAsia" w:cs="Times New Roman"/>
                <w:color w:val="000000" w:themeColor="text1"/>
                <w:kern w:val="0"/>
                <w:szCs w:val="21"/>
                <w:highlight w:val="none"/>
                <w:lang w:val="en-US" w:eastAsia="zh-CN"/>
                <w14:textFill>
                  <w14:solidFill>
                    <w14:schemeClr w14:val="tx1"/>
                  </w14:solidFill>
                </w14:textFill>
              </w:rPr>
              <w:t>（含2006年、2025年修改单）中</w:t>
            </w:r>
            <w:r>
              <w:rPr>
                <w:rFonts w:hint="default" w:ascii="Times New Roman" w:hAnsi="Times New Roman" w:cs="Times New Roman"/>
                <w:color w:val="000000" w:themeColor="text1"/>
                <w:kern w:val="0"/>
                <w:szCs w:val="21"/>
                <w:highlight w:val="none"/>
                <w14:textFill>
                  <w14:solidFill>
                    <w14:schemeClr w14:val="tx1"/>
                  </w14:solidFill>
                </w14:textFill>
              </w:rPr>
              <w:t>表</w:t>
            </w:r>
            <w:r>
              <w:rPr>
                <w:rFonts w:hint="eastAsia" w:cs="Times New Roman"/>
                <w:color w:val="000000" w:themeColor="text1"/>
                <w:kern w:val="0"/>
                <w:szCs w:val="21"/>
                <w:highlight w:val="none"/>
                <w:lang w:val="en-US" w:eastAsia="zh-CN"/>
                <w14:textFill>
                  <w14:solidFill>
                    <w14:schemeClr w14:val="tx1"/>
                  </w14:solidFill>
                </w14:textFill>
              </w:rPr>
              <w:t>6</w:t>
            </w:r>
            <w:r>
              <w:rPr>
                <w:rFonts w:hint="default" w:ascii="Times New Roman" w:hAnsi="Times New Roman" w:cs="Times New Roman"/>
                <w:color w:val="000000" w:themeColor="text1"/>
                <w:kern w:val="0"/>
                <w:szCs w:val="21"/>
                <w:highlight w:val="none"/>
                <w14:textFill>
                  <w14:solidFill>
                    <w14:schemeClr w14:val="tx1"/>
                  </w14:solidFill>
                </w14:textFill>
              </w:rPr>
              <w:t>中二级标准，具体见表3-</w:t>
            </w:r>
            <w:r>
              <w:rPr>
                <w:rFonts w:hint="eastAsia" w:cs="Times New Roman"/>
                <w:color w:val="000000" w:themeColor="text1"/>
                <w:kern w:val="0"/>
                <w:szCs w:val="21"/>
                <w:highlight w:val="none"/>
                <w:lang w:val="en-US" w:eastAsia="zh-CN"/>
                <w14:textFill>
                  <w14:solidFill>
                    <w14:schemeClr w14:val="tx1"/>
                  </w14:solidFill>
                </w14:textFill>
              </w:rPr>
              <w:t>8</w:t>
            </w:r>
            <w:r>
              <w:rPr>
                <w:rFonts w:hint="default" w:ascii="Times New Roman" w:hAnsi="Times New Roman" w:cs="Times New Roman"/>
                <w:color w:val="000000" w:themeColor="text1"/>
                <w:kern w:val="0"/>
                <w:szCs w:val="21"/>
                <w:highlight w:val="none"/>
                <w14:textFill>
                  <w14:solidFill>
                    <w14:schemeClr w14:val="tx1"/>
                  </w14:solidFill>
                </w14:textFill>
              </w:rPr>
              <w:t>。</w:t>
            </w:r>
          </w:p>
          <w:p w14:paraId="07B55973">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表3-8  厂界（边缘防护带）废气排放最高允许浓度单位：mg/m</w:t>
            </w:r>
            <w:r>
              <w:rPr>
                <w:rFonts w:hint="eastAsia"/>
                <w:color w:val="000000" w:themeColor="text1"/>
                <w:highlight w:val="none"/>
                <w:vertAlign w:val="superscript"/>
                <w:lang w:val="en-US" w:eastAsia="zh-CN"/>
                <w14:textFill>
                  <w14:solidFill>
                    <w14:schemeClr w14:val="tx1"/>
                  </w14:solidFill>
                </w14:textFill>
              </w:rPr>
              <w:t>3</w:t>
            </w:r>
          </w:p>
          <w:tbl>
            <w:tblPr>
              <w:tblStyle w:val="12"/>
              <w:tblW w:w="4998" w:type="pct"/>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543"/>
              <w:gridCol w:w="3685"/>
              <w:gridCol w:w="3102"/>
            </w:tblGrid>
            <w:tr w14:paraId="619524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26" w:type="pct"/>
                  <w:tcBorders>
                    <w:tl2br w:val="nil"/>
                    <w:tr2bl w:val="nil"/>
                  </w:tcBorders>
                  <w:noWrap w:val="0"/>
                  <w:vAlign w:val="center"/>
                </w:tcPr>
                <w:p w14:paraId="1A4C26C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序号</w:t>
                  </w:r>
                </w:p>
              </w:tc>
              <w:tc>
                <w:tcPr>
                  <w:tcW w:w="2211" w:type="pct"/>
                  <w:tcBorders>
                    <w:tl2br w:val="nil"/>
                    <w:tr2bl w:val="nil"/>
                  </w:tcBorders>
                  <w:noWrap w:val="0"/>
                  <w:vAlign w:val="center"/>
                </w:tcPr>
                <w:p w14:paraId="081B1A8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控制项目</w:t>
                  </w:r>
                </w:p>
              </w:tc>
              <w:tc>
                <w:tcPr>
                  <w:tcW w:w="1861" w:type="pct"/>
                  <w:tcBorders>
                    <w:tl2br w:val="nil"/>
                    <w:tr2bl w:val="nil"/>
                  </w:tcBorders>
                  <w:noWrap w:val="0"/>
                  <w:vAlign w:val="center"/>
                </w:tcPr>
                <w:p w14:paraId="5C5FBD6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二级标准</w:t>
                  </w:r>
                </w:p>
              </w:tc>
            </w:tr>
            <w:tr w14:paraId="2B7C05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26" w:type="pct"/>
                  <w:tcBorders>
                    <w:tl2br w:val="nil"/>
                    <w:tr2bl w:val="nil"/>
                  </w:tcBorders>
                  <w:noWrap w:val="0"/>
                  <w:vAlign w:val="top"/>
                </w:tcPr>
                <w:p w14:paraId="179CAEB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2211" w:type="pct"/>
                  <w:tcBorders>
                    <w:tl2br w:val="nil"/>
                    <w:tr2bl w:val="nil"/>
                  </w:tcBorders>
                  <w:noWrap w:val="0"/>
                  <w:vAlign w:val="center"/>
                </w:tcPr>
                <w:p w14:paraId="4DE3139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氨</w:t>
                  </w:r>
                </w:p>
              </w:tc>
              <w:tc>
                <w:tcPr>
                  <w:tcW w:w="1861" w:type="pct"/>
                  <w:tcBorders>
                    <w:tl2br w:val="nil"/>
                    <w:tr2bl w:val="nil"/>
                  </w:tcBorders>
                  <w:noWrap w:val="0"/>
                  <w:vAlign w:val="top"/>
                </w:tcPr>
                <w:p w14:paraId="2DDF0AA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w:t>
                  </w:r>
                </w:p>
              </w:tc>
            </w:tr>
            <w:tr w14:paraId="202C40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26" w:type="pct"/>
                  <w:tcBorders>
                    <w:tl2br w:val="nil"/>
                    <w:tr2bl w:val="nil"/>
                  </w:tcBorders>
                  <w:noWrap w:val="0"/>
                  <w:vAlign w:val="top"/>
                </w:tcPr>
                <w:p w14:paraId="246E1DF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2211" w:type="pct"/>
                  <w:tcBorders>
                    <w:tl2br w:val="nil"/>
                    <w:tr2bl w:val="nil"/>
                  </w:tcBorders>
                  <w:noWrap w:val="0"/>
                  <w:vAlign w:val="center"/>
                </w:tcPr>
                <w:p w14:paraId="79F269D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硫化氢</w:t>
                  </w:r>
                </w:p>
              </w:tc>
              <w:tc>
                <w:tcPr>
                  <w:tcW w:w="1861" w:type="pct"/>
                  <w:tcBorders>
                    <w:tl2br w:val="nil"/>
                    <w:tr2bl w:val="nil"/>
                  </w:tcBorders>
                  <w:noWrap w:val="0"/>
                  <w:vAlign w:val="top"/>
                </w:tcPr>
                <w:p w14:paraId="09D9E45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0.06</w:t>
                  </w:r>
                </w:p>
              </w:tc>
            </w:tr>
            <w:tr w14:paraId="6BCEBF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26" w:type="pct"/>
                  <w:tcBorders>
                    <w:tl2br w:val="nil"/>
                    <w:tr2bl w:val="nil"/>
                  </w:tcBorders>
                  <w:noWrap w:val="0"/>
                  <w:vAlign w:val="top"/>
                </w:tcPr>
                <w:p w14:paraId="56C9080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2211" w:type="pct"/>
                  <w:tcBorders>
                    <w:tl2br w:val="nil"/>
                    <w:tr2bl w:val="nil"/>
                  </w:tcBorders>
                  <w:noWrap w:val="0"/>
                  <w:vAlign w:val="center"/>
                </w:tcPr>
                <w:p w14:paraId="7D58F48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臭气浓度（无量纲）</w:t>
                  </w:r>
                </w:p>
              </w:tc>
              <w:tc>
                <w:tcPr>
                  <w:tcW w:w="1861" w:type="pct"/>
                  <w:tcBorders>
                    <w:tl2br w:val="nil"/>
                    <w:tr2bl w:val="nil"/>
                  </w:tcBorders>
                  <w:noWrap w:val="0"/>
                  <w:vAlign w:val="top"/>
                </w:tcPr>
                <w:p w14:paraId="6E75088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w:t>
                  </w:r>
                </w:p>
              </w:tc>
            </w:tr>
            <w:tr w14:paraId="1306E4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926" w:type="pct"/>
                  <w:tcBorders>
                    <w:tl2br w:val="nil"/>
                    <w:tr2bl w:val="nil"/>
                  </w:tcBorders>
                  <w:noWrap w:val="0"/>
                  <w:vAlign w:val="top"/>
                </w:tcPr>
                <w:p w14:paraId="4403F9B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2211" w:type="pct"/>
                  <w:tcBorders>
                    <w:tl2br w:val="nil"/>
                    <w:tr2bl w:val="nil"/>
                  </w:tcBorders>
                  <w:noWrap w:val="0"/>
                  <w:vAlign w:val="center"/>
                </w:tcPr>
                <w:p w14:paraId="0FF3978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甲烷（厂区最高体积浓度）</w:t>
                  </w:r>
                </w:p>
              </w:tc>
              <w:tc>
                <w:tcPr>
                  <w:tcW w:w="1861" w:type="pct"/>
                  <w:tcBorders>
                    <w:tl2br w:val="nil"/>
                    <w:tr2bl w:val="nil"/>
                  </w:tcBorders>
                  <w:noWrap w:val="0"/>
                  <w:vAlign w:val="top"/>
                </w:tcPr>
                <w:p w14:paraId="5B3600D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r>
          </w:tbl>
          <w:p w14:paraId="0D13A976">
            <w:pPr>
              <w:keepNext w:val="0"/>
              <w:keepLines w:val="0"/>
              <w:pageBreakBefore w:val="0"/>
              <w:widowControl w:val="0"/>
              <w:kinsoku/>
              <w:wordWrap/>
              <w:overflowPunct/>
              <w:topLinePunct w:val="0"/>
              <w:autoSpaceDE/>
              <w:autoSpaceDN/>
              <w:bidi w:val="0"/>
              <w:adjustRightInd w:val="0"/>
              <w:snapToGrid w:val="0"/>
              <w:jc w:val="both"/>
              <w:textAlignment w:val="auto"/>
              <w:rPr>
                <w:rFonts w:hint="eastAsia" w:cs="Times New Roman"/>
                <w:b/>
                <w:bCs/>
                <w:color w:val="000000" w:themeColor="text1"/>
                <w:kern w:val="0"/>
                <w:szCs w:val="21"/>
                <w:highlight w:val="none"/>
                <w:lang w:val="en-US" w:eastAsia="zh-CN"/>
                <w14:textFill>
                  <w14:solidFill>
                    <w14:schemeClr w14:val="tx1"/>
                  </w14:solidFill>
                </w14:textFill>
              </w:rPr>
            </w:pPr>
          </w:p>
          <w:p w14:paraId="3C00A38E">
            <w:pPr>
              <w:keepNext w:val="0"/>
              <w:keepLines w:val="0"/>
              <w:pageBreakBefore w:val="0"/>
              <w:widowControl w:val="0"/>
              <w:kinsoku/>
              <w:wordWrap/>
              <w:overflowPunct/>
              <w:topLinePunct w:val="0"/>
              <w:autoSpaceDE/>
              <w:autoSpaceDN/>
              <w:bidi w:val="0"/>
              <w:adjustRightInd w:val="0"/>
              <w:snapToGrid w:val="0"/>
              <w:jc w:val="both"/>
              <w:textAlignment w:val="auto"/>
              <w:rPr>
                <w:rFonts w:hint="default" w:cs="Times New Roman"/>
                <w:b/>
                <w:bCs/>
                <w:color w:val="000000" w:themeColor="text1"/>
                <w:kern w:val="0"/>
                <w:szCs w:val="21"/>
                <w:highlight w:val="none"/>
                <w:lang w:val="en-US" w:eastAsia="zh-CN"/>
                <w14:textFill>
                  <w14:solidFill>
                    <w14:schemeClr w14:val="tx1"/>
                  </w14:solidFill>
                </w14:textFill>
              </w:rPr>
            </w:pPr>
            <w:r>
              <w:rPr>
                <w:rFonts w:hint="eastAsia" w:cs="Times New Roman"/>
                <w:b/>
                <w:bCs/>
                <w:color w:val="000000" w:themeColor="text1"/>
                <w:kern w:val="0"/>
                <w:szCs w:val="21"/>
                <w:highlight w:val="none"/>
                <w:lang w:val="en-US" w:eastAsia="zh-CN"/>
                <w14:textFill>
                  <w14:solidFill>
                    <w14:schemeClr w14:val="tx1"/>
                  </w14:solidFill>
                </w14:textFill>
              </w:rPr>
              <w:t>2、废水排放标准</w:t>
            </w:r>
          </w:p>
          <w:p w14:paraId="3177AB64">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eastAsia" w:cs="Times New Roman"/>
                <w:color w:val="000000" w:themeColor="text1"/>
                <w:kern w:val="0"/>
                <w:szCs w:val="21"/>
                <w:highlight w:val="none"/>
                <w:lang w:val="en-US" w:eastAsia="zh-CN"/>
                <w14:textFill>
                  <w14:solidFill>
                    <w14:schemeClr w14:val="tx1"/>
                  </w14:solidFill>
                </w14:textFill>
              </w:rPr>
              <w:t>一期工程</w:t>
            </w:r>
            <w:r>
              <w:rPr>
                <w:rFonts w:hint="default" w:ascii="Times New Roman" w:hAnsi="Times New Roman" w:cs="Times New Roman"/>
                <w:color w:val="000000" w:themeColor="text1"/>
                <w:kern w:val="0"/>
                <w:szCs w:val="21"/>
                <w:highlight w:val="none"/>
                <w14:textFill>
                  <w14:solidFill>
                    <w14:schemeClr w14:val="tx1"/>
                  </w14:solidFill>
                </w14:textFill>
              </w:rPr>
              <w:t>污水经处理后尾水部分</w:t>
            </w:r>
            <w:r>
              <w:rPr>
                <w:rFonts w:hint="eastAsia" w:cs="Times New Roman"/>
                <w:color w:val="000000" w:themeColor="text1"/>
                <w:kern w:val="0"/>
                <w:szCs w:val="21"/>
                <w:highlight w:val="none"/>
                <w:lang w:val="en-US" w:eastAsia="zh-CN"/>
                <w14:textFill>
                  <w14:solidFill>
                    <w14:schemeClr w14:val="tx1"/>
                  </w14:solidFill>
                </w14:textFill>
              </w:rPr>
              <w:t>进入中水厂，经深化处理后回用于园区企业用水及城市园林绿化</w:t>
            </w:r>
            <w:r>
              <w:rPr>
                <w:rFonts w:hint="default" w:ascii="Times New Roman" w:hAnsi="Times New Roman" w:cs="Times New Roman"/>
                <w:color w:val="000000" w:themeColor="text1"/>
                <w:kern w:val="0"/>
                <w:szCs w:val="21"/>
                <w:highlight w:val="none"/>
                <w14:textFill>
                  <w14:solidFill>
                    <w14:schemeClr w14:val="tx1"/>
                  </w14:solidFill>
                </w14:textFill>
              </w:rPr>
              <w:t>，</w:t>
            </w:r>
            <w:r>
              <w:rPr>
                <w:rFonts w:hint="eastAsia" w:cs="Times New Roman"/>
                <w:color w:val="000000" w:themeColor="text1"/>
                <w:kern w:val="0"/>
                <w:szCs w:val="21"/>
                <w:highlight w:val="none"/>
                <w:lang w:val="en-US" w:eastAsia="zh-CN"/>
                <w14:textFill>
                  <w14:solidFill>
                    <w14:schemeClr w14:val="tx1"/>
                  </w14:solidFill>
                </w14:textFill>
              </w:rPr>
              <w:t>剩余部分全部进入后续人工湿地系统进一步净化，湿地净化后的尾水，通过入河排污口最终排入二排干。</w:t>
            </w:r>
          </w:p>
          <w:p w14:paraId="254465E2">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eastAsia" w:cs="Times New Roman"/>
                <w:color w:val="000000" w:themeColor="text1"/>
                <w:kern w:val="0"/>
                <w:szCs w:val="21"/>
                <w:highlight w:val="none"/>
                <w:lang w:val="en-US" w:eastAsia="zh-CN"/>
                <w14:textFill>
                  <w14:solidFill>
                    <w14:schemeClr w14:val="tx1"/>
                  </w14:solidFill>
                </w14:textFill>
              </w:rPr>
              <w:t>结合《</w:t>
            </w:r>
            <w:r>
              <w:rPr>
                <w:rFonts w:hint="default" w:ascii="Times New Roman" w:hAnsi="Times New Roman" w:cs="Times New Roman"/>
                <w:color w:val="000000" w:themeColor="text1"/>
                <w:kern w:val="0"/>
                <w:szCs w:val="21"/>
                <w:highlight w:val="none"/>
                <w14:textFill>
                  <w14:solidFill>
                    <w14:schemeClr w14:val="tx1"/>
                  </w14:solidFill>
                </w14:textFill>
              </w:rPr>
              <w:t>巴彦淖尔市城镇污水处理厂出水排入湿地要求及湿地建设指导意见</w:t>
            </w:r>
            <w:r>
              <w:rPr>
                <w:rFonts w:hint="eastAsia" w:cs="Times New Roman"/>
                <w:color w:val="000000" w:themeColor="text1"/>
                <w:kern w:val="0"/>
                <w:szCs w:val="21"/>
                <w:highlight w:val="none"/>
                <w:lang w:val="en-US" w:eastAsia="zh-CN"/>
                <w14:textFill>
                  <w14:solidFill>
                    <w14:schemeClr w14:val="tx1"/>
                  </w14:solidFill>
                </w14:textFill>
              </w:rPr>
              <w:t>》，</w:t>
            </w:r>
            <w:r>
              <w:rPr>
                <w:rFonts w:hint="default" w:ascii="Times New Roman" w:hAnsi="Times New Roman" w:cs="Times New Roman"/>
                <w:color w:val="000000" w:themeColor="text1"/>
                <w:kern w:val="0"/>
                <w:szCs w:val="21"/>
                <w:highlight w:val="none"/>
                <w14:textFill>
                  <w14:solidFill>
                    <w14:schemeClr w14:val="tx1"/>
                  </w14:solidFill>
                </w14:textFill>
              </w:rPr>
              <w:t>本次设计污水处理厂的尾水排放</w:t>
            </w:r>
            <w:r>
              <w:rPr>
                <w:rFonts w:hint="eastAsia" w:cs="Times New Roman"/>
                <w:color w:val="000000" w:themeColor="text1"/>
                <w:kern w:val="0"/>
                <w:szCs w:val="21"/>
                <w:highlight w:val="none"/>
                <w:lang w:val="en-US" w:eastAsia="zh-CN"/>
                <w14:textFill>
                  <w14:solidFill>
                    <w14:schemeClr w14:val="tx1"/>
                  </w14:solidFill>
                </w14:textFill>
              </w:rPr>
              <w:t>满足</w:t>
            </w:r>
            <w:r>
              <w:rPr>
                <w:rFonts w:hint="default" w:ascii="Times New Roman" w:hAnsi="Times New Roman" w:cs="Times New Roman"/>
                <w:color w:val="000000" w:themeColor="text1"/>
                <w:kern w:val="0"/>
                <w:szCs w:val="21"/>
                <w:highlight w:val="none"/>
                <w14:textFill>
                  <w14:solidFill>
                    <w14:schemeClr w14:val="tx1"/>
                  </w14:solidFill>
                </w14:textFill>
              </w:rPr>
              <w:t>《城镇污水处理厂污染物排放标准》</w:t>
            </w:r>
            <w:r>
              <w:rPr>
                <w:rFonts w:hint="eastAsia"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cs="Times New Roman"/>
                <w:color w:val="000000" w:themeColor="text1"/>
                <w:kern w:val="0"/>
                <w:szCs w:val="21"/>
                <w:highlight w:val="none"/>
                <w14:textFill>
                  <w14:solidFill>
                    <w14:schemeClr w14:val="tx1"/>
                  </w14:solidFill>
                </w14:textFill>
              </w:rPr>
              <w:t>GB18918-2002</w:t>
            </w:r>
            <w:r>
              <w:rPr>
                <w:rFonts w:hint="eastAsia" w:cs="Times New Roman"/>
                <w:color w:val="000000" w:themeColor="text1"/>
                <w:kern w:val="0"/>
                <w:szCs w:val="21"/>
                <w:highlight w:val="none"/>
                <w:lang w:eastAsia="zh-CN"/>
                <w14:textFill>
                  <w14:solidFill>
                    <w14:schemeClr w14:val="tx1"/>
                  </w14:solidFill>
                </w14:textFill>
              </w:rPr>
              <w:t>）（含2006年、2025年修改单）</w:t>
            </w:r>
            <w:r>
              <w:rPr>
                <w:rFonts w:hint="default" w:ascii="Times New Roman" w:hAnsi="Times New Roman" w:cs="Times New Roman"/>
                <w:color w:val="000000" w:themeColor="text1"/>
                <w:kern w:val="0"/>
                <w:szCs w:val="21"/>
                <w:highlight w:val="none"/>
                <w14:textFill>
                  <w14:solidFill>
                    <w14:schemeClr w14:val="tx1"/>
                  </w14:solidFill>
                </w14:textFill>
              </w:rPr>
              <w:t>中一级A排放标准。具体标准限值详见表3-</w:t>
            </w:r>
            <w:r>
              <w:rPr>
                <w:rFonts w:hint="eastAsia" w:cs="Times New Roman"/>
                <w:color w:val="000000" w:themeColor="text1"/>
                <w:kern w:val="0"/>
                <w:szCs w:val="21"/>
                <w:highlight w:val="none"/>
                <w:lang w:val="en-US" w:eastAsia="zh-CN"/>
                <w14:textFill>
                  <w14:solidFill>
                    <w14:schemeClr w14:val="tx1"/>
                  </w14:solidFill>
                </w14:textFill>
              </w:rPr>
              <w:t>9</w:t>
            </w:r>
            <w:r>
              <w:rPr>
                <w:rFonts w:hint="default" w:ascii="Times New Roman" w:hAnsi="Times New Roman" w:cs="Times New Roman"/>
                <w:color w:val="000000" w:themeColor="text1"/>
                <w:kern w:val="0"/>
                <w:szCs w:val="21"/>
                <w:highlight w:val="none"/>
                <w14:textFill>
                  <w14:solidFill>
                    <w14:schemeClr w14:val="tx1"/>
                  </w14:solidFill>
                </w14:textFill>
              </w:rPr>
              <w:t>。</w:t>
            </w:r>
          </w:p>
          <w:p w14:paraId="526F8389">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表3-9  项目污水处理厂废水排放标准</w:t>
            </w:r>
          </w:p>
          <w:tbl>
            <w:tblPr>
              <w:tblStyle w:val="12"/>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575"/>
              <w:gridCol w:w="1027"/>
              <w:gridCol w:w="1027"/>
              <w:gridCol w:w="1027"/>
              <w:gridCol w:w="1027"/>
              <w:gridCol w:w="1027"/>
              <w:gridCol w:w="1027"/>
              <w:gridCol w:w="596"/>
            </w:tblGrid>
            <w:tr w14:paraId="5F79CA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840" w:type="pct"/>
                  <w:tcBorders>
                    <w:tl2br w:val="nil"/>
                    <w:tr2bl w:val="nil"/>
                  </w:tcBorders>
                  <w:noWrap w:val="0"/>
                  <w:vAlign w:val="center"/>
                </w:tcPr>
                <w:p w14:paraId="0A2582C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污染物</w:t>
                  </w:r>
                </w:p>
              </w:tc>
              <w:tc>
                <w:tcPr>
                  <w:tcW w:w="607" w:type="pct"/>
                  <w:tcBorders>
                    <w:tl2br w:val="nil"/>
                    <w:tr2bl w:val="nil"/>
                  </w:tcBorders>
                  <w:noWrap w:val="0"/>
                  <w:vAlign w:val="center"/>
                </w:tcPr>
                <w:p w14:paraId="7D03228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CODcr</w:t>
                  </w:r>
                  <w:r>
                    <w:rPr>
                      <w:rFonts w:hint="eastAsia" w:eastAsia="宋体" w:cs="Times New Roman"/>
                      <w:i w:val="0"/>
                      <w:iCs w:val="0"/>
                      <w:color w:val="000000" w:themeColor="text1"/>
                      <w:kern w:val="0"/>
                      <w:sz w:val="18"/>
                      <w:szCs w:val="18"/>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mg/L</w:t>
                  </w:r>
                  <w:r>
                    <w:rPr>
                      <w:rFonts w:hint="eastAsia" w:eastAsia="宋体" w:cs="Times New Roman"/>
                      <w:i w:val="0"/>
                      <w:iCs w:val="0"/>
                      <w:color w:val="000000" w:themeColor="text1"/>
                      <w:kern w:val="0"/>
                      <w:sz w:val="18"/>
                      <w:szCs w:val="18"/>
                      <w:highlight w:val="none"/>
                      <w:u w:val="none"/>
                      <w:lang w:val="en-US" w:eastAsia="zh-CN" w:bidi="ar"/>
                      <w14:textFill>
                        <w14:solidFill>
                          <w14:schemeClr w14:val="tx1"/>
                        </w14:solidFill>
                      </w14:textFill>
                    </w:rPr>
                    <w:t>）</w:t>
                  </w:r>
                </w:p>
              </w:tc>
              <w:tc>
                <w:tcPr>
                  <w:tcW w:w="607" w:type="pct"/>
                  <w:tcBorders>
                    <w:tl2br w:val="nil"/>
                    <w:tr2bl w:val="nil"/>
                  </w:tcBorders>
                  <w:noWrap w:val="0"/>
                  <w:vAlign w:val="center"/>
                </w:tcPr>
                <w:p w14:paraId="5E0ABCA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BOD</w:t>
                  </w:r>
                  <w:r>
                    <w:rPr>
                      <w:rFonts w:hint="eastAsia" w:eastAsia="宋体" w:cs="Times New Roman"/>
                      <w:i w:val="0"/>
                      <w:iCs w:val="0"/>
                      <w:color w:val="000000" w:themeColor="text1"/>
                      <w:kern w:val="0"/>
                      <w:sz w:val="18"/>
                      <w:szCs w:val="18"/>
                      <w:highlight w:val="none"/>
                      <w:u w:val="none"/>
                      <w:vertAlign w:val="subscript"/>
                      <w:lang w:val="en-US" w:eastAsia="zh-CN" w:bidi="ar"/>
                      <w14:textFill>
                        <w14:solidFill>
                          <w14:schemeClr w14:val="tx1"/>
                        </w14:solidFill>
                      </w14:textFill>
                    </w:rPr>
                    <w:t>5</w:t>
                  </w:r>
                  <w:r>
                    <w:rPr>
                      <w:rFonts w:hint="eastAsia" w:eastAsia="宋体" w:cs="Times New Roman"/>
                      <w:i w:val="0"/>
                      <w:iCs w:val="0"/>
                      <w:color w:val="000000" w:themeColor="text1"/>
                      <w:kern w:val="0"/>
                      <w:sz w:val="18"/>
                      <w:szCs w:val="18"/>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mg/L</w:t>
                  </w:r>
                  <w:r>
                    <w:rPr>
                      <w:rFonts w:hint="eastAsia" w:eastAsia="宋体" w:cs="Times New Roman"/>
                      <w:i w:val="0"/>
                      <w:iCs w:val="0"/>
                      <w:color w:val="000000" w:themeColor="text1"/>
                      <w:kern w:val="0"/>
                      <w:sz w:val="18"/>
                      <w:szCs w:val="18"/>
                      <w:highlight w:val="none"/>
                      <w:u w:val="none"/>
                      <w:lang w:val="en-US" w:eastAsia="zh-CN" w:bidi="ar"/>
                      <w14:textFill>
                        <w14:solidFill>
                          <w14:schemeClr w14:val="tx1"/>
                        </w14:solidFill>
                      </w14:textFill>
                    </w:rPr>
                    <w:t>）</w:t>
                  </w:r>
                </w:p>
              </w:tc>
              <w:tc>
                <w:tcPr>
                  <w:tcW w:w="607" w:type="pct"/>
                  <w:tcBorders>
                    <w:tl2br w:val="nil"/>
                    <w:tr2bl w:val="nil"/>
                  </w:tcBorders>
                  <w:noWrap w:val="0"/>
                  <w:vAlign w:val="center"/>
                </w:tcPr>
                <w:p w14:paraId="7A57776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SS</w:t>
                  </w:r>
                  <w:r>
                    <w:rPr>
                      <w:rFonts w:hint="eastAsia" w:eastAsia="宋体" w:cs="Times New Roman"/>
                      <w:i w:val="0"/>
                      <w:iCs w:val="0"/>
                      <w:color w:val="000000" w:themeColor="text1"/>
                      <w:kern w:val="0"/>
                      <w:sz w:val="18"/>
                      <w:szCs w:val="18"/>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mg/L</w:t>
                  </w:r>
                  <w:r>
                    <w:rPr>
                      <w:rFonts w:hint="eastAsia" w:eastAsia="宋体" w:cs="Times New Roman"/>
                      <w:i w:val="0"/>
                      <w:iCs w:val="0"/>
                      <w:color w:val="000000" w:themeColor="text1"/>
                      <w:kern w:val="0"/>
                      <w:sz w:val="18"/>
                      <w:szCs w:val="18"/>
                      <w:highlight w:val="none"/>
                      <w:u w:val="none"/>
                      <w:lang w:val="en-US" w:eastAsia="zh-CN" w:bidi="ar"/>
                      <w14:textFill>
                        <w14:solidFill>
                          <w14:schemeClr w14:val="tx1"/>
                        </w14:solidFill>
                      </w14:textFill>
                    </w:rPr>
                    <w:t>）</w:t>
                  </w:r>
                </w:p>
              </w:tc>
              <w:tc>
                <w:tcPr>
                  <w:tcW w:w="609" w:type="pct"/>
                  <w:tcBorders>
                    <w:tl2br w:val="nil"/>
                    <w:tr2bl w:val="nil"/>
                  </w:tcBorders>
                  <w:noWrap w:val="0"/>
                  <w:vAlign w:val="center"/>
                </w:tcPr>
                <w:p w14:paraId="19C0C24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TN</w:t>
                  </w:r>
                  <w:r>
                    <w:rPr>
                      <w:rFonts w:hint="eastAsia" w:eastAsia="宋体" w:cs="Times New Roman"/>
                      <w:color w:val="000000" w:themeColor="text1"/>
                      <w:sz w:val="18"/>
                      <w:szCs w:val="18"/>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mg/L</w:t>
                  </w:r>
                  <w:r>
                    <w:rPr>
                      <w:rFonts w:hint="eastAsia" w:eastAsia="宋体" w:cs="Times New Roman"/>
                      <w:color w:val="000000" w:themeColor="text1"/>
                      <w:sz w:val="18"/>
                      <w:szCs w:val="18"/>
                      <w:highlight w:val="none"/>
                      <w:lang w:val="en-US" w:eastAsia="zh-CN" w:bidi="ar"/>
                      <w14:textFill>
                        <w14:solidFill>
                          <w14:schemeClr w14:val="tx1"/>
                        </w14:solidFill>
                      </w14:textFill>
                    </w:rPr>
                    <w:t>）</w:t>
                  </w:r>
                </w:p>
              </w:tc>
              <w:tc>
                <w:tcPr>
                  <w:tcW w:w="616" w:type="pct"/>
                  <w:tcBorders>
                    <w:tl2br w:val="nil"/>
                    <w:tr2bl w:val="nil"/>
                  </w:tcBorders>
                  <w:noWrap w:val="0"/>
                  <w:vAlign w:val="center"/>
                </w:tcPr>
                <w:p w14:paraId="79016C8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NH₃-N</w:t>
                  </w:r>
                  <w:r>
                    <w:rPr>
                      <w:rFonts w:hint="eastAsia" w:eastAsia="宋体" w:cs="Times New Roman"/>
                      <w:i w:val="0"/>
                      <w:iCs w:val="0"/>
                      <w:color w:val="000000" w:themeColor="text1"/>
                      <w:kern w:val="0"/>
                      <w:sz w:val="18"/>
                      <w:szCs w:val="18"/>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mg/L</w:t>
                  </w:r>
                  <w:r>
                    <w:rPr>
                      <w:rFonts w:hint="eastAsia" w:eastAsia="宋体" w:cs="Times New Roman"/>
                      <w:i w:val="0"/>
                      <w:iCs w:val="0"/>
                      <w:color w:val="000000" w:themeColor="text1"/>
                      <w:kern w:val="0"/>
                      <w:sz w:val="18"/>
                      <w:szCs w:val="18"/>
                      <w:highlight w:val="none"/>
                      <w:u w:val="none"/>
                      <w:lang w:val="en-US" w:eastAsia="zh-CN" w:bidi="ar"/>
                      <w14:textFill>
                        <w14:solidFill>
                          <w14:schemeClr w14:val="tx1"/>
                        </w14:solidFill>
                      </w14:textFill>
                    </w:rPr>
                    <w:t>）</w:t>
                  </w:r>
                </w:p>
              </w:tc>
              <w:tc>
                <w:tcPr>
                  <w:tcW w:w="608" w:type="pct"/>
                  <w:tcBorders>
                    <w:tl2br w:val="nil"/>
                    <w:tr2bl w:val="nil"/>
                  </w:tcBorders>
                  <w:noWrap w:val="0"/>
                  <w:vAlign w:val="center"/>
                </w:tcPr>
                <w:p w14:paraId="40DB0CF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TP</w:t>
                  </w:r>
                  <w:r>
                    <w:rPr>
                      <w:rFonts w:hint="eastAsia" w:eastAsia="宋体" w:cs="Times New Roman"/>
                      <w:i w:val="0"/>
                      <w:iCs w:val="0"/>
                      <w:color w:val="000000" w:themeColor="text1"/>
                      <w:kern w:val="0"/>
                      <w:sz w:val="18"/>
                      <w:szCs w:val="18"/>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mg/L</w:t>
                  </w:r>
                  <w:r>
                    <w:rPr>
                      <w:rFonts w:hint="eastAsia" w:eastAsia="宋体" w:cs="Times New Roman"/>
                      <w:i w:val="0"/>
                      <w:iCs w:val="0"/>
                      <w:color w:val="000000" w:themeColor="text1"/>
                      <w:kern w:val="0"/>
                      <w:sz w:val="18"/>
                      <w:szCs w:val="18"/>
                      <w:highlight w:val="none"/>
                      <w:u w:val="none"/>
                      <w:lang w:val="en-US" w:eastAsia="zh-CN" w:bidi="ar"/>
                      <w14:textFill>
                        <w14:solidFill>
                          <w14:schemeClr w14:val="tx1"/>
                        </w14:solidFill>
                      </w14:textFill>
                    </w:rPr>
                    <w:t>）</w:t>
                  </w:r>
                </w:p>
              </w:tc>
              <w:tc>
                <w:tcPr>
                  <w:tcW w:w="502" w:type="pct"/>
                  <w:tcBorders>
                    <w:tl2br w:val="nil"/>
                    <w:tr2bl w:val="nil"/>
                  </w:tcBorders>
                  <w:noWrap w:val="0"/>
                  <w:vAlign w:val="center"/>
                </w:tcPr>
                <w:p w14:paraId="626AB1F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eastAsia" w:eastAsia="宋体" w:cs="Times New Roman"/>
                      <w:i w:val="0"/>
                      <w:iCs w:val="0"/>
                      <w:color w:val="000000" w:themeColor="text1"/>
                      <w:kern w:val="0"/>
                      <w:sz w:val="18"/>
                      <w:szCs w:val="18"/>
                      <w:highlight w:val="none"/>
                      <w:u w:val="none"/>
                      <w:lang w:val="en-US" w:eastAsia="zh-CN" w:bidi="ar"/>
                      <w14:textFill>
                        <w14:solidFill>
                          <w14:schemeClr w14:val="tx1"/>
                        </w14:solidFill>
                      </w14:textFill>
                    </w:rPr>
                    <w:t>pH（</w:t>
                  </w: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无量纲</w:t>
                  </w:r>
                  <w:r>
                    <w:rPr>
                      <w:rFonts w:hint="eastAsia" w:eastAsia="宋体" w:cs="Times New Roman"/>
                      <w:color w:val="000000" w:themeColor="text1"/>
                      <w:sz w:val="18"/>
                      <w:szCs w:val="18"/>
                      <w:highlight w:val="none"/>
                      <w:lang w:val="en-US" w:eastAsia="zh-CN" w:bidi="ar"/>
                      <w14:textFill>
                        <w14:solidFill>
                          <w14:schemeClr w14:val="tx1"/>
                        </w14:solidFill>
                      </w14:textFill>
                    </w:rPr>
                    <w:t>）</w:t>
                  </w:r>
                </w:p>
              </w:tc>
            </w:tr>
            <w:tr w14:paraId="44B07F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840" w:type="pct"/>
                  <w:tcBorders>
                    <w:tl2br w:val="nil"/>
                    <w:tr2bl w:val="nil"/>
                  </w:tcBorders>
                  <w:noWrap w:val="0"/>
                  <w:vAlign w:val="center"/>
                </w:tcPr>
                <w:p w14:paraId="3AEA94C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GB18918-2002</w:t>
                  </w:r>
                </w:p>
              </w:tc>
              <w:tc>
                <w:tcPr>
                  <w:tcW w:w="607" w:type="pct"/>
                  <w:tcBorders>
                    <w:tl2br w:val="nil"/>
                    <w:tr2bl w:val="nil"/>
                  </w:tcBorders>
                  <w:noWrap w:val="0"/>
                  <w:vAlign w:val="center"/>
                </w:tcPr>
                <w:p w14:paraId="4F29E36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50</w:t>
                  </w:r>
                </w:p>
              </w:tc>
              <w:tc>
                <w:tcPr>
                  <w:tcW w:w="607" w:type="pct"/>
                  <w:tcBorders>
                    <w:tl2br w:val="nil"/>
                    <w:tr2bl w:val="nil"/>
                  </w:tcBorders>
                  <w:noWrap w:val="0"/>
                  <w:vAlign w:val="center"/>
                </w:tcPr>
                <w:p w14:paraId="162CDC9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10</w:t>
                  </w:r>
                </w:p>
              </w:tc>
              <w:tc>
                <w:tcPr>
                  <w:tcW w:w="607" w:type="pct"/>
                  <w:tcBorders>
                    <w:tl2br w:val="nil"/>
                    <w:tr2bl w:val="nil"/>
                  </w:tcBorders>
                  <w:noWrap w:val="0"/>
                  <w:vAlign w:val="center"/>
                </w:tcPr>
                <w:p w14:paraId="2742FD0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10</w:t>
                  </w:r>
                </w:p>
              </w:tc>
              <w:tc>
                <w:tcPr>
                  <w:tcW w:w="609" w:type="pct"/>
                  <w:tcBorders>
                    <w:tl2br w:val="nil"/>
                    <w:tr2bl w:val="nil"/>
                  </w:tcBorders>
                  <w:noWrap w:val="0"/>
                  <w:vAlign w:val="center"/>
                </w:tcPr>
                <w:p w14:paraId="4912418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15</w:t>
                  </w:r>
                </w:p>
              </w:tc>
              <w:tc>
                <w:tcPr>
                  <w:tcW w:w="616" w:type="pct"/>
                  <w:tcBorders>
                    <w:tl2br w:val="nil"/>
                    <w:tr2bl w:val="nil"/>
                  </w:tcBorders>
                  <w:noWrap w:val="0"/>
                  <w:vAlign w:val="center"/>
                </w:tcPr>
                <w:p w14:paraId="5D0A5D2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5</w:t>
                  </w: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（8）</w:t>
                  </w:r>
                </w:p>
              </w:tc>
              <w:tc>
                <w:tcPr>
                  <w:tcW w:w="608" w:type="pct"/>
                  <w:tcBorders>
                    <w:tl2br w:val="nil"/>
                    <w:tr2bl w:val="nil"/>
                  </w:tcBorders>
                  <w:noWrap w:val="0"/>
                  <w:vAlign w:val="center"/>
                </w:tcPr>
                <w:p w14:paraId="5118C3B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0.5</w:t>
                  </w:r>
                </w:p>
              </w:tc>
              <w:tc>
                <w:tcPr>
                  <w:tcW w:w="502" w:type="pct"/>
                  <w:tcBorders>
                    <w:tl2br w:val="nil"/>
                    <w:tr2bl w:val="nil"/>
                  </w:tcBorders>
                  <w:noWrap w:val="0"/>
                  <w:vAlign w:val="center"/>
                </w:tcPr>
                <w:p w14:paraId="4FD33CB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6~9</w:t>
                  </w:r>
                </w:p>
              </w:tc>
            </w:tr>
            <w:tr w14:paraId="1475B9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840" w:type="pct"/>
                  <w:tcBorders>
                    <w:tl2br w:val="nil"/>
                    <w:tr2bl w:val="nil"/>
                  </w:tcBorders>
                  <w:noWrap w:val="0"/>
                  <w:vAlign w:val="center"/>
                </w:tcPr>
                <w:p w14:paraId="195F6CA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eastAsia" w:cs="Times New Roman"/>
                      <w:color w:val="000000" w:themeColor="text1"/>
                      <w:sz w:val="18"/>
                      <w:szCs w:val="18"/>
                      <w:highlight w:val="none"/>
                      <w:lang w:val="en-US" w:eastAsia="zh-CN" w:bidi="ar"/>
                      <w14:textFill>
                        <w14:solidFill>
                          <w14:schemeClr w14:val="tx1"/>
                        </w14:solidFill>
                      </w14:textFill>
                    </w:rPr>
                    <w:t>污水处理厂</w:t>
                  </w: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设计出水水质</w:t>
                  </w:r>
                </w:p>
              </w:tc>
              <w:tc>
                <w:tcPr>
                  <w:tcW w:w="607" w:type="pct"/>
                  <w:tcBorders>
                    <w:tl2br w:val="nil"/>
                    <w:tr2bl w:val="nil"/>
                  </w:tcBorders>
                  <w:noWrap w:val="0"/>
                  <w:vAlign w:val="center"/>
                </w:tcPr>
                <w:p w14:paraId="47875D2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lang w:val="en-US"/>
                      <w14:textFill>
                        <w14:solidFill>
                          <w14:schemeClr w14:val="tx1"/>
                        </w14:solidFill>
                      </w14:textFill>
                    </w:rPr>
                  </w:pPr>
                  <w:r>
                    <w:rPr>
                      <w:rFonts w:hint="eastAsia" w:eastAsia="宋体" w:cs="Times New Roman"/>
                      <w:i w:val="0"/>
                      <w:iCs w:val="0"/>
                      <w:color w:val="000000" w:themeColor="text1"/>
                      <w:kern w:val="0"/>
                      <w:sz w:val="18"/>
                      <w:szCs w:val="18"/>
                      <w:highlight w:val="none"/>
                      <w:u w:val="none"/>
                      <w:lang w:val="en-US" w:eastAsia="zh-CN" w:bidi="ar"/>
                      <w14:textFill>
                        <w14:solidFill>
                          <w14:schemeClr w14:val="tx1"/>
                        </w14:solidFill>
                      </w14:textFill>
                    </w:rPr>
                    <w:t>50</w:t>
                  </w:r>
                </w:p>
              </w:tc>
              <w:tc>
                <w:tcPr>
                  <w:tcW w:w="607" w:type="pct"/>
                  <w:tcBorders>
                    <w:tl2br w:val="nil"/>
                    <w:tr2bl w:val="nil"/>
                  </w:tcBorders>
                  <w:noWrap w:val="0"/>
                  <w:vAlign w:val="center"/>
                </w:tcPr>
                <w:p w14:paraId="557E327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lang w:val="en-US"/>
                      <w14:textFill>
                        <w14:solidFill>
                          <w14:schemeClr w14:val="tx1"/>
                        </w14:solidFill>
                      </w14:textFill>
                    </w:rPr>
                  </w:pPr>
                  <w:r>
                    <w:rPr>
                      <w:rFonts w:hint="eastAsia" w:eastAsia="宋体" w:cs="Times New Roman"/>
                      <w:i w:val="0"/>
                      <w:iCs w:val="0"/>
                      <w:color w:val="000000" w:themeColor="text1"/>
                      <w:kern w:val="0"/>
                      <w:sz w:val="18"/>
                      <w:szCs w:val="18"/>
                      <w:highlight w:val="none"/>
                      <w:u w:val="none"/>
                      <w:lang w:val="en-US" w:eastAsia="zh-CN" w:bidi="ar"/>
                      <w14:textFill>
                        <w14:solidFill>
                          <w14:schemeClr w14:val="tx1"/>
                        </w14:solidFill>
                      </w14:textFill>
                    </w:rPr>
                    <w:t>10</w:t>
                  </w:r>
                </w:p>
              </w:tc>
              <w:tc>
                <w:tcPr>
                  <w:tcW w:w="607" w:type="pct"/>
                  <w:tcBorders>
                    <w:tl2br w:val="nil"/>
                    <w:tr2bl w:val="nil"/>
                  </w:tcBorders>
                  <w:noWrap w:val="0"/>
                  <w:vAlign w:val="center"/>
                </w:tcPr>
                <w:p w14:paraId="156B0B3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10</w:t>
                  </w:r>
                </w:p>
              </w:tc>
              <w:tc>
                <w:tcPr>
                  <w:tcW w:w="609" w:type="pct"/>
                  <w:tcBorders>
                    <w:tl2br w:val="nil"/>
                    <w:tr2bl w:val="nil"/>
                  </w:tcBorders>
                  <w:noWrap w:val="0"/>
                  <w:vAlign w:val="center"/>
                </w:tcPr>
                <w:p w14:paraId="48490EC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lang w:val="en-US"/>
                      <w14:textFill>
                        <w14:solidFill>
                          <w14:schemeClr w14:val="tx1"/>
                        </w14:solidFill>
                      </w14:textFill>
                    </w:rPr>
                  </w:pPr>
                  <w:r>
                    <w:rPr>
                      <w:rFonts w:hint="eastAsia" w:eastAsia="宋体" w:cs="Times New Roman"/>
                      <w:i w:val="0"/>
                      <w:iCs w:val="0"/>
                      <w:color w:val="000000" w:themeColor="text1"/>
                      <w:kern w:val="0"/>
                      <w:sz w:val="18"/>
                      <w:szCs w:val="18"/>
                      <w:highlight w:val="none"/>
                      <w:u w:val="none"/>
                      <w:lang w:val="en-US" w:eastAsia="zh-CN" w:bidi="ar"/>
                      <w14:textFill>
                        <w14:solidFill>
                          <w14:schemeClr w14:val="tx1"/>
                        </w14:solidFill>
                      </w14:textFill>
                    </w:rPr>
                    <w:t>1</w:t>
                  </w: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5</w:t>
                  </w:r>
                </w:p>
              </w:tc>
              <w:tc>
                <w:tcPr>
                  <w:tcW w:w="616" w:type="pct"/>
                  <w:tcBorders>
                    <w:tl2br w:val="nil"/>
                    <w:tr2bl w:val="nil"/>
                  </w:tcBorders>
                  <w:noWrap w:val="0"/>
                  <w:vAlign w:val="center"/>
                </w:tcPr>
                <w:p w14:paraId="197083A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eastAsia" w:eastAsia="宋体" w:cs="Times New Roman"/>
                      <w:i w:val="0"/>
                      <w:iCs w:val="0"/>
                      <w:color w:val="000000" w:themeColor="text1"/>
                      <w:kern w:val="0"/>
                      <w:sz w:val="18"/>
                      <w:szCs w:val="18"/>
                      <w:highlight w:val="none"/>
                      <w:u w:val="none"/>
                      <w:lang w:val="en-US" w:eastAsia="zh-CN" w:bidi="ar"/>
                      <w14:textFill>
                        <w14:solidFill>
                          <w14:schemeClr w14:val="tx1"/>
                        </w14:solidFill>
                      </w14:textFill>
                    </w:rPr>
                    <w:t>5</w:t>
                  </w:r>
                </w:p>
              </w:tc>
              <w:tc>
                <w:tcPr>
                  <w:tcW w:w="608" w:type="pct"/>
                  <w:tcBorders>
                    <w:tl2br w:val="nil"/>
                    <w:tr2bl w:val="nil"/>
                  </w:tcBorders>
                  <w:noWrap w:val="0"/>
                  <w:vAlign w:val="center"/>
                </w:tcPr>
                <w:p w14:paraId="3A35BC0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0.</w:t>
                  </w:r>
                  <w:r>
                    <w:rPr>
                      <w:rFonts w:hint="eastAsia" w:eastAsia="宋体" w:cs="Times New Roman"/>
                      <w:i w:val="0"/>
                      <w:iCs w:val="0"/>
                      <w:color w:val="000000" w:themeColor="text1"/>
                      <w:kern w:val="0"/>
                      <w:sz w:val="18"/>
                      <w:szCs w:val="18"/>
                      <w:highlight w:val="none"/>
                      <w:u w:val="none"/>
                      <w:lang w:val="en-US" w:eastAsia="zh-CN" w:bidi="ar"/>
                      <w14:textFill>
                        <w14:solidFill>
                          <w14:schemeClr w14:val="tx1"/>
                        </w14:solidFill>
                      </w14:textFill>
                    </w:rPr>
                    <w:t>5</w:t>
                  </w:r>
                </w:p>
              </w:tc>
              <w:tc>
                <w:tcPr>
                  <w:tcW w:w="502" w:type="pct"/>
                  <w:tcBorders>
                    <w:tl2br w:val="nil"/>
                    <w:tr2bl w:val="nil"/>
                  </w:tcBorders>
                  <w:noWrap w:val="0"/>
                  <w:vAlign w:val="center"/>
                </w:tcPr>
                <w:p w14:paraId="671F68E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6~9</w:t>
                  </w:r>
                </w:p>
              </w:tc>
            </w:tr>
            <w:tr w14:paraId="2BA1C2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840" w:type="pct"/>
                  <w:tcBorders>
                    <w:tl2br w:val="nil"/>
                    <w:tr2bl w:val="nil"/>
                  </w:tcBorders>
                  <w:noWrap w:val="0"/>
                  <w:vAlign w:val="center"/>
                </w:tcPr>
                <w:p w14:paraId="3329171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cs="Times New Roman"/>
                      <w:color w:val="000000" w:themeColor="text1"/>
                      <w:sz w:val="18"/>
                      <w:szCs w:val="18"/>
                      <w:highlight w:val="none"/>
                      <w:lang w:val="en-US" w:eastAsia="zh-CN" w:bidi="ar"/>
                      <w14:textFill>
                        <w14:solidFill>
                          <w14:schemeClr w14:val="tx1"/>
                        </w14:solidFill>
                      </w14:textFill>
                    </w:rPr>
                  </w:pPr>
                  <w:r>
                    <w:rPr>
                      <w:rFonts w:hint="eastAsia" w:cs="Times New Roman"/>
                      <w:color w:val="000000" w:themeColor="text1"/>
                      <w:sz w:val="18"/>
                      <w:szCs w:val="18"/>
                      <w:highlight w:val="none"/>
                      <w:lang w:val="en-US" w:eastAsia="zh-CN" w:bidi="ar"/>
                      <w14:textFill>
                        <w14:solidFill>
                          <w14:schemeClr w14:val="tx1"/>
                        </w14:solidFill>
                      </w14:textFill>
                    </w:rPr>
                    <w:t>污染物</w:t>
                  </w:r>
                </w:p>
              </w:tc>
              <w:tc>
                <w:tcPr>
                  <w:tcW w:w="607" w:type="pct"/>
                  <w:tcBorders>
                    <w:tl2br w:val="nil"/>
                    <w:tr2bl w:val="nil"/>
                  </w:tcBorders>
                  <w:noWrap w:val="0"/>
                  <w:vAlign w:val="center"/>
                </w:tcPr>
                <w:p w14:paraId="0C3530F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动植物油</w:t>
                  </w:r>
                </w:p>
              </w:tc>
              <w:tc>
                <w:tcPr>
                  <w:tcW w:w="607" w:type="pct"/>
                  <w:tcBorders>
                    <w:tl2br w:val="nil"/>
                    <w:tr2bl w:val="nil"/>
                  </w:tcBorders>
                  <w:noWrap w:val="0"/>
                  <w:vAlign w:val="center"/>
                </w:tcPr>
                <w:p w14:paraId="1DBC6E6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石油类</w:t>
                  </w:r>
                </w:p>
              </w:tc>
              <w:tc>
                <w:tcPr>
                  <w:tcW w:w="1216" w:type="pct"/>
                  <w:gridSpan w:val="2"/>
                  <w:tcBorders>
                    <w:tl2br w:val="nil"/>
                    <w:tr2bl w:val="nil"/>
                  </w:tcBorders>
                  <w:noWrap w:val="0"/>
                  <w:vAlign w:val="center"/>
                </w:tcPr>
                <w:p w14:paraId="3AFFF39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阴离子表面活性剂</w:t>
                  </w:r>
                </w:p>
              </w:tc>
              <w:tc>
                <w:tcPr>
                  <w:tcW w:w="1727" w:type="pct"/>
                  <w:gridSpan w:val="3"/>
                  <w:vMerge w:val="restart"/>
                  <w:tcBorders>
                    <w:tl2br w:val="nil"/>
                    <w:tr2bl w:val="nil"/>
                  </w:tcBorders>
                  <w:noWrap w:val="0"/>
                  <w:vAlign w:val="center"/>
                </w:tcPr>
                <w:p w14:paraId="069DC0A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w:t>
                  </w:r>
                </w:p>
              </w:tc>
            </w:tr>
            <w:tr w14:paraId="35A4CC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840" w:type="pct"/>
                  <w:tcBorders>
                    <w:tl2br w:val="nil"/>
                    <w:tr2bl w:val="nil"/>
                  </w:tcBorders>
                  <w:shd w:val="clear" w:color="auto" w:fill="auto"/>
                  <w:noWrap w:val="0"/>
                  <w:vAlign w:val="center"/>
                </w:tcPr>
                <w:p w14:paraId="5A3A0C8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eastAsia" w:ascii="Times New Roman" w:hAnsi="Times New Roman" w:eastAsia="宋体" w:cs="Times New Roman"/>
                      <w:color w:val="000000" w:themeColor="text1"/>
                      <w:kern w:val="2"/>
                      <w:sz w:val="18"/>
                      <w:szCs w:val="18"/>
                      <w:highlight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GB18918-2002</w:t>
                  </w:r>
                </w:p>
              </w:tc>
              <w:tc>
                <w:tcPr>
                  <w:tcW w:w="607" w:type="pct"/>
                  <w:tcBorders>
                    <w:tl2br w:val="nil"/>
                    <w:tr2bl w:val="nil"/>
                  </w:tcBorders>
                  <w:noWrap w:val="0"/>
                  <w:vAlign w:val="center"/>
                </w:tcPr>
                <w:p w14:paraId="69C25B8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1</w:t>
                  </w:r>
                </w:p>
              </w:tc>
              <w:tc>
                <w:tcPr>
                  <w:tcW w:w="607" w:type="pct"/>
                  <w:tcBorders>
                    <w:tl2br w:val="nil"/>
                    <w:tr2bl w:val="nil"/>
                  </w:tcBorders>
                  <w:noWrap w:val="0"/>
                  <w:vAlign w:val="center"/>
                </w:tcPr>
                <w:p w14:paraId="57C767D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1</w:t>
                  </w:r>
                </w:p>
              </w:tc>
              <w:tc>
                <w:tcPr>
                  <w:tcW w:w="1216" w:type="pct"/>
                  <w:gridSpan w:val="2"/>
                  <w:tcBorders>
                    <w:tl2br w:val="nil"/>
                    <w:tr2bl w:val="nil"/>
                  </w:tcBorders>
                  <w:noWrap w:val="0"/>
                  <w:vAlign w:val="center"/>
                </w:tcPr>
                <w:p w14:paraId="4DD6B45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0.5</w:t>
                  </w:r>
                </w:p>
              </w:tc>
              <w:tc>
                <w:tcPr>
                  <w:tcW w:w="1727" w:type="pct"/>
                  <w:gridSpan w:val="3"/>
                  <w:vMerge w:val="continue"/>
                  <w:tcBorders>
                    <w:tl2br w:val="nil"/>
                    <w:tr2bl w:val="nil"/>
                  </w:tcBorders>
                  <w:noWrap w:val="0"/>
                  <w:vAlign w:val="center"/>
                </w:tcPr>
                <w:p w14:paraId="3469675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p>
              </w:tc>
            </w:tr>
            <w:tr w14:paraId="678434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840" w:type="pct"/>
                  <w:tcBorders>
                    <w:tl2br w:val="nil"/>
                    <w:tr2bl w:val="nil"/>
                  </w:tcBorders>
                  <w:shd w:val="clear" w:color="auto" w:fill="auto"/>
                  <w:noWrap w:val="0"/>
                  <w:vAlign w:val="center"/>
                </w:tcPr>
                <w:p w14:paraId="5F3CC25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2"/>
                      <w:sz w:val="18"/>
                      <w:szCs w:val="18"/>
                      <w:highlight w:val="none"/>
                      <w:lang w:val="en-US" w:eastAsia="zh-CN" w:bidi="ar"/>
                      <w14:textFill>
                        <w14:solidFill>
                          <w14:schemeClr w14:val="tx1"/>
                        </w14:solidFill>
                      </w14:textFill>
                    </w:rPr>
                  </w:pPr>
                  <w:r>
                    <w:rPr>
                      <w:rFonts w:hint="eastAsia" w:cs="Times New Roman"/>
                      <w:color w:val="000000" w:themeColor="text1"/>
                      <w:sz w:val="18"/>
                      <w:szCs w:val="18"/>
                      <w:highlight w:val="none"/>
                      <w:lang w:val="en-US" w:eastAsia="zh-CN" w:bidi="ar"/>
                      <w14:textFill>
                        <w14:solidFill>
                          <w14:schemeClr w14:val="tx1"/>
                        </w14:solidFill>
                      </w14:textFill>
                    </w:rPr>
                    <w:t>污水处理厂</w:t>
                  </w: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设计出水水质</w:t>
                  </w:r>
                </w:p>
              </w:tc>
              <w:tc>
                <w:tcPr>
                  <w:tcW w:w="607" w:type="pct"/>
                  <w:tcBorders>
                    <w:tl2br w:val="nil"/>
                    <w:tr2bl w:val="nil"/>
                  </w:tcBorders>
                  <w:noWrap w:val="0"/>
                  <w:vAlign w:val="center"/>
                </w:tcPr>
                <w:p w14:paraId="243CEF7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1</w:t>
                  </w:r>
                </w:p>
              </w:tc>
              <w:tc>
                <w:tcPr>
                  <w:tcW w:w="607" w:type="pct"/>
                  <w:tcBorders>
                    <w:tl2br w:val="nil"/>
                    <w:tr2bl w:val="nil"/>
                  </w:tcBorders>
                  <w:noWrap w:val="0"/>
                  <w:vAlign w:val="center"/>
                </w:tcPr>
                <w:p w14:paraId="4F6CB87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1</w:t>
                  </w:r>
                </w:p>
              </w:tc>
              <w:tc>
                <w:tcPr>
                  <w:tcW w:w="1216" w:type="pct"/>
                  <w:gridSpan w:val="2"/>
                  <w:tcBorders>
                    <w:tl2br w:val="nil"/>
                    <w:tr2bl w:val="nil"/>
                  </w:tcBorders>
                  <w:noWrap w:val="0"/>
                  <w:vAlign w:val="center"/>
                </w:tcPr>
                <w:p w14:paraId="4B8136E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0.5</w:t>
                  </w:r>
                </w:p>
              </w:tc>
              <w:tc>
                <w:tcPr>
                  <w:tcW w:w="1727" w:type="pct"/>
                  <w:gridSpan w:val="3"/>
                  <w:vMerge w:val="continue"/>
                  <w:tcBorders>
                    <w:tl2br w:val="nil"/>
                    <w:tr2bl w:val="nil"/>
                  </w:tcBorders>
                  <w:noWrap w:val="0"/>
                  <w:vAlign w:val="center"/>
                </w:tcPr>
                <w:p w14:paraId="4ED701B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p>
              </w:tc>
            </w:tr>
          </w:tbl>
          <w:p w14:paraId="7DCA5DE6">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cs="Times New Roman"/>
                <w:color w:val="000000" w:themeColor="text1"/>
                <w:kern w:val="0"/>
                <w:szCs w:val="21"/>
                <w:highlight w:val="none"/>
                <w14:textFill>
                  <w14:solidFill>
                    <w14:schemeClr w14:val="tx1"/>
                  </w14:solidFill>
                </w14:textFill>
              </w:rPr>
            </w:pPr>
          </w:p>
          <w:p w14:paraId="5D52541C">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b/>
                <w:bCs/>
                <w:color w:val="000000" w:themeColor="text1"/>
                <w:kern w:val="0"/>
                <w:szCs w:val="21"/>
                <w:highlight w:val="none"/>
                <w14:textFill>
                  <w14:solidFill>
                    <w14:schemeClr w14:val="tx1"/>
                  </w14:solidFill>
                </w14:textFill>
              </w:rPr>
            </w:pPr>
            <w:r>
              <w:rPr>
                <w:rFonts w:hint="eastAsia" w:cs="Times New Roman"/>
                <w:b/>
                <w:bCs/>
                <w:color w:val="000000" w:themeColor="text1"/>
                <w:kern w:val="0"/>
                <w:szCs w:val="21"/>
                <w:highlight w:val="none"/>
                <w:lang w:val="en-US" w:eastAsia="zh-CN"/>
                <w14:textFill>
                  <w14:solidFill>
                    <w14:schemeClr w14:val="tx1"/>
                  </w14:solidFill>
                </w14:textFill>
              </w:rPr>
              <w:t>3、</w:t>
            </w:r>
            <w:r>
              <w:rPr>
                <w:rFonts w:hint="eastAsia" w:ascii="Times New Roman" w:hAnsi="Times New Roman" w:eastAsia="宋体" w:cs="Times New Roman"/>
                <w:b/>
                <w:bCs/>
                <w:color w:val="000000" w:themeColor="text1"/>
                <w:kern w:val="0"/>
                <w:szCs w:val="21"/>
                <w:highlight w:val="none"/>
                <w:lang w:val="en-US" w:eastAsia="zh-CN"/>
                <w14:textFill>
                  <w14:solidFill>
                    <w14:schemeClr w14:val="tx1"/>
                  </w14:solidFill>
                </w14:textFill>
              </w:rPr>
              <w:t>噪声排放标准</w:t>
            </w:r>
          </w:p>
          <w:p w14:paraId="4CFE7B83">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项目施工场界噪声排放执行《建筑施工噪声排放标准》（GB12523-2</w:t>
            </w:r>
            <w:r>
              <w:rPr>
                <w:rFonts w:hint="eastAsia" w:cs="Times New Roman"/>
                <w:color w:val="000000" w:themeColor="text1"/>
                <w:kern w:val="0"/>
                <w:szCs w:val="21"/>
                <w:highlight w:val="none"/>
                <w:lang w:val="en-US" w:eastAsia="zh-CN"/>
                <w14:textFill>
                  <w14:solidFill>
                    <w14:schemeClr w14:val="tx1"/>
                  </w14:solidFill>
                </w14:textFill>
              </w:rPr>
              <w:t>025</w:t>
            </w:r>
            <w:r>
              <w:rPr>
                <w:rFonts w:hint="default" w:ascii="Times New Roman" w:hAnsi="Times New Roman" w:cs="Times New Roman"/>
                <w:color w:val="000000" w:themeColor="text1"/>
                <w:kern w:val="0"/>
                <w:szCs w:val="21"/>
                <w:highlight w:val="none"/>
                <w14:textFill>
                  <w14:solidFill>
                    <w14:schemeClr w14:val="tx1"/>
                  </w14:solidFill>
                </w14:textFill>
              </w:rPr>
              <w:t>）表1标准，见表3-</w:t>
            </w:r>
            <w:r>
              <w:rPr>
                <w:rFonts w:hint="eastAsia" w:cs="Times New Roman"/>
                <w:color w:val="000000" w:themeColor="text1"/>
                <w:kern w:val="0"/>
                <w:szCs w:val="21"/>
                <w:highlight w:val="none"/>
                <w:lang w:val="en-US" w:eastAsia="zh-CN"/>
                <w14:textFill>
                  <w14:solidFill>
                    <w14:schemeClr w14:val="tx1"/>
                  </w14:solidFill>
                </w14:textFill>
              </w:rPr>
              <w:t>10</w:t>
            </w:r>
            <w:r>
              <w:rPr>
                <w:rFonts w:hint="default" w:ascii="Times New Roman" w:hAnsi="Times New Roman" w:cs="Times New Roman"/>
                <w:color w:val="000000" w:themeColor="text1"/>
                <w:kern w:val="0"/>
                <w:szCs w:val="21"/>
                <w:highlight w:val="none"/>
                <w14:textFill>
                  <w14:solidFill>
                    <w14:schemeClr w14:val="tx1"/>
                  </w14:solidFill>
                </w14:textFill>
              </w:rPr>
              <w:t>。运营期噪声执行《工业企业厂界环境噪声排放标准》（GB12348-2008）2类标准</w:t>
            </w:r>
            <w:r>
              <w:rPr>
                <w:rFonts w:hint="eastAsia" w:cs="Times New Roman"/>
                <w:color w:val="000000" w:themeColor="text1"/>
                <w:kern w:val="0"/>
                <w:szCs w:val="21"/>
                <w:highlight w:val="none"/>
                <w:lang w:eastAsia="zh-CN"/>
                <w14:textFill>
                  <w14:solidFill>
                    <w14:schemeClr w14:val="tx1"/>
                  </w14:solidFill>
                </w14:textFill>
              </w:rPr>
              <w:t>，</w:t>
            </w:r>
            <w:r>
              <w:rPr>
                <w:rFonts w:hint="eastAsia" w:cs="Times New Roman"/>
                <w:color w:val="000000" w:themeColor="text1"/>
                <w:kern w:val="0"/>
                <w:szCs w:val="21"/>
                <w:highlight w:val="none"/>
                <w:lang w:val="en-US" w:eastAsia="zh-CN"/>
                <w14:textFill>
                  <w14:solidFill>
                    <w14:schemeClr w14:val="tx1"/>
                  </w14:solidFill>
                </w14:textFill>
              </w:rPr>
              <w:t>见表3-11</w:t>
            </w:r>
            <w:r>
              <w:rPr>
                <w:rFonts w:hint="default" w:ascii="Times New Roman" w:hAnsi="Times New Roman" w:cs="Times New Roman"/>
                <w:color w:val="000000" w:themeColor="text1"/>
                <w:kern w:val="0"/>
                <w:szCs w:val="21"/>
                <w:highlight w:val="none"/>
                <w14:textFill>
                  <w14:solidFill>
                    <w14:schemeClr w14:val="tx1"/>
                  </w14:solidFill>
                </w14:textFill>
              </w:rPr>
              <w:t>。</w:t>
            </w:r>
          </w:p>
          <w:p w14:paraId="7D2C5E5E">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表3-10  建筑施工场界噪声限值</w:t>
            </w:r>
          </w:p>
          <w:tbl>
            <w:tblPr>
              <w:tblStyle w:val="12"/>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329"/>
              <w:gridCol w:w="3060"/>
              <w:gridCol w:w="2942"/>
            </w:tblGrid>
            <w:tr w14:paraId="3EF342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398" w:type="pct"/>
                  <w:vMerge w:val="restart"/>
                  <w:tcBorders>
                    <w:tl2br w:val="nil"/>
                    <w:tr2bl w:val="nil"/>
                  </w:tcBorders>
                  <w:noWrap w:val="0"/>
                  <w:vAlign w:val="center"/>
                </w:tcPr>
                <w:p w14:paraId="615B6A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建筑施工场界</w:t>
                  </w:r>
                </w:p>
              </w:tc>
              <w:tc>
                <w:tcPr>
                  <w:tcW w:w="3601" w:type="pct"/>
                  <w:gridSpan w:val="2"/>
                  <w:tcBorders>
                    <w:tl2br w:val="nil"/>
                    <w:tr2bl w:val="nil"/>
                  </w:tcBorders>
                  <w:noWrap w:val="0"/>
                  <w:vAlign w:val="center"/>
                </w:tcPr>
                <w:p w14:paraId="37C936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噪声限值  dB（A）</w:t>
                  </w:r>
                </w:p>
              </w:tc>
            </w:tr>
            <w:tr w14:paraId="03C8DB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398" w:type="pct"/>
                  <w:vMerge w:val="continue"/>
                  <w:tcBorders>
                    <w:tl2br w:val="nil"/>
                    <w:tr2bl w:val="nil"/>
                  </w:tcBorders>
                  <w:noWrap w:val="0"/>
                  <w:vAlign w:val="center"/>
                </w:tcPr>
                <w:p w14:paraId="216470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836" w:type="pct"/>
                  <w:tcBorders>
                    <w:tl2br w:val="nil"/>
                    <w:tr2bl w:val="nil"/>
                  </w:tcBorders>
                  <w:noWrap w:val="0"/>
                  <w:vAlign w:val="center"/>
                </w:tcPr>
                <w:p w14:paraId="366111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昼间</w:t>
                  </w:r>
                </w:p>
              </w:tc>
              <w:tc>
                <w:tcPr>
                  <w:tcW w:w="1765" w:type="pct"/>
                  <w:tcBorders>
                    <w:tl2br w:val="nil"/>
                    <w:tr2bl w:val="nil"/>
                  </w:tcBorders>
                  <w:noWrap w:val="0"/>
                  <w:vAlign w:val="center"/>
                </w:tcPr>
                <w:p w14:paraId="779AFC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夜间</w:t>
                  </w:r>
                </w:p>
              </w:tc>
            </w:tr>
            <w:tr w14:paraId="00E14B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398" w:type="pct"/>
                  <w:vMerge w:val="continue"/>
                  <w:tcBorders>
                    <w:tl2br w:val="nil"/>
                    <w:tr2bl w:val="nil"/>
                  </w:tcBorders>
                  <w:noWrap w:val="0"/>
                  <w:vAlign w:val="center"/>
                </w:tcPr>
                <w:p w14:paraId="34068D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836" w:type="pct"/>
                  <w:tcBorders>
                    <w:tl2br w:val="nil"/>
                    <w:tr2bl w:val="nil"/>
                  </w:tcBorders>
                  <w:noWrap w:val="0"/>
                  <w:vAlign w:val="center"/>
                </w:tcPr>
                <w:p w14:paraId="63BF934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70</w:t>
                  </w:r>
                </w:p>
              </w:tc>
              <w:tc>
                <w:tcPr>
                  <w:tcW w:w="1765" w:type="pct"/>
                  <w:tcBorders>
                    <w:tl2br w:val="nil"/>
                    <w:tr2bl w:val="nil"/>
                  </w:tcBorders>
                  <w:noWrap w:val="0"/>
                  <w:vAlign w:val="center"/>
                </w:tcPr>
                <w:p w14:paraId="2B0457F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55</w:t>
                  </w:r>
                </w:p>
              </w:tc>
            </w:tr>
          </w:tbl>
          <w:p w14:paraId="5C51FB50">
            <w:pPr>
              <w:pStyle w:val="20"/>
              <w:bidi w:val="0"/>
              <w:rPr>
                <w:rFonts w:hint="eastAsia" w:eastAsia="宋体"/>
                <w:color w:val="000000" w:themeColor="text1"/>
                <w:highlight w:val="none"/>
                <w:lang w:eastAsia="zh-CN"/>
                <w14:textFill>
                  <w14:solidFill>
                    <w14:schemeClr w14:val="tx1"/>
                  </w14:solidFill>
                </w14:textFill>
              </w:rPr>
            </w:pPr>
            <w:r>
              <w:rPr>
                <w:rFonts w:hint="default"/>
                <w:color w:val="000000" w:themeColor="text1"/>
                <w:highlight w:val="none"/>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 xml:space="preserve">3-11  </w:t>
            </w:r>
            <w:r>
              <w:rPr>
                <w:rFonts w:hint="default"/>
                <w:color w:val="000000" w:themeColor="text1"/>
                <w:highlight w:val="none"/>
                <w14:textFill>
                  <w14:solidFill>
                    <w14:schemeClr w14:val="tx1"/>
                  </w14:solidFill>
                </w14:textFill>
              </w:rPr>
              <w:t>工业企业厂界环境噪声排放标准   单位：dB</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A</w:t>
            </w:r>
            <w:r>
              <w:rPr>
                <w:rFonts w:hint="eastAsia"/>
                <w:color w:val="000000" w:themeColor="text1"/>
                <w:highlight w:val="none"/>
                <w:lang w:eastAsia="zh-CN"/>
                <w14:textFill>
                  <w14:solidFill>
                    <w14:schemeClr w14:val="tx1"/>
                  </w14:solidFill>
                </w14:textFill>
              </w:rPr>
              <w:t>）</w:t>
            </w:r>
          </w:p>
          <w:tbl>
            <w:tblPr>
              <w:tblStyle w:val="12"/>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188"/>
              <w:gridCol w:w="2570"/>
              <w:gridCol w:w="2573"/>
            </w:tblGrid>
            <w:tr w14:paraId="2D2025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913" w:type="pct"/>
                  <w:vMerge w:val="restart"/>
                  <w:tcBorders>
                    <w:tl2br w:val="nil"/>
                    <w:tr2bl w:val="nil"/>
                  </w:tcBorders>
                  <w:noWrap w:val="0"/>
                  <w:vAlign w:val="center"/>
                </w:tcPr>
                <w:p w14:paraId="64C8060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《工业企业厂界环境噪声排放标准》（GB12348-2008）</w:t>
                  </w:r>
                </w:p>
              </w:tc>
              <w:tc>
                <w:tcPr>
                  <w:tcW w:w="3086" w:type="pct"/>
                  <w:gridSpan w:val="2"/>
                  <w:tcBorders>
                    <w:tl2br w:val="nil"/>
                    <w:tr2bl w:val="nil"/>
                  </w:tcBorders>
                  <w:noWrap w:val="0"/>
                  <w:vAlign w:val="center"/>
                </w:tcPr>
                <w:p w14:paraId="31C182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标准限值</w:t>
                  </w:r>
                </w:p>
              </w:tc>
            </w:tr>
            <w:tr w14:paraId="591B1B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913" w:type="pct"/>
                  <w:vMerge w:val="continue"/>
                  <w:tcBorders>
                    <w:tl2br w:val="nil"/>
                    <w:tr2bl w:val="nil"/>
                  </w:tcBorders>
                  <w:noWrap w:val="0"/>
                  <w:vAlign w:val="center"/>
                </w:tcPr>
                <w:p w14:paraId="3E84F5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542" w:type="pct"/>
                  <w:tcBorders>
                    <w:tl2br w:val="nil"/>
                    <w:tr2bl w:val="nil"/>
                  </w:tcBorders>
                  <w:noWrap w:val="0"/>
                  <w:vAlign w:val="center"/>
                </w:tcPr>
                <w:p w14:paraId="1005E6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昼间</w:t>
                  </w:r>
                </w:p>
              </w:tc>
              <w:tc>
                <w:tcPr>
                  <w:tcW w:w="1544" w:type="pct"/>
                  <w:tcBorders>
                    <w:tl2br w:val="nil"/>
                    <w:tr2bl w:val="nil"/>
                  </w:tcBorders>
                  <w:noWrap w:val="0"/>
                  <w:vAlign w:val="center"/>
                </w:tcPr>
                <w:p w14:paraId="7C69D50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夜间</w:t>
                  </w:r>
                </w:p>
              </w:tc>
            </w:tr>
            <w:tr w14:paraId="450492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913" w:type="pct"/>
                  <w:tcBorders>
                    <w:tl2br w:val="nil"/>
                    <w:tr2bl w:val="nil"/>
                  </w:tcBorders>
                  <w:noWrap w:val="0"/>
                  <w:vAlign w:val="center"/>
                </w:tcPr>
                <w:p w14:paraId="60EC341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类</w:t>
                  </w:r>
                </w:p>
              </w:tc>
              <w:tc>
                <w:tcPr>
                  <w:tcW w:w="1542" w:type="pct"/>
                  <w:tcBorders>
                    <w:tl2br w:val="nil"/>
                    <w:tr2bl w:val="nil"/>
                  </w:tcBorders>
                  <w:noWrap w:val="0"/>
                  <w:vAlign w:val="center"/>
                </w:tcPr>
                <w:p w14:paraId="3573EF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60</w:t>
                  </w:r>
                </w:p>
              </w:tc>
              <w:tc>
                <w:tcPr>
                  <w:tcW w:w="1544" w:type="pct"/>
                  <w:tcBorders>
                    <w:tl2br w:val="nil"/>
                    <w:tr2bl w:val="nil"/>
                  </w:tcBorders>
                  <w:noWrap w:val="0"/>
                  <w:vAlign w:val="center"/>
                </w:tcPr>
                <w:p w14:paraId="72A78A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50</w:t>
                  </w:r>
                </w:p>
              </w:tc>
            </w:tr>
          </w:tbl>
          <w:p w14:paraId="23FC9929">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cs="Times New Roman"/>
                <w:color w:val="000000" w:themeColor="text1"/>
                <w:kern w:val="0"/>
                <w:szCs w:val="21"/>
                <w:highlight w:val="none"/>
                <w14:textFill>
                  <w14:solidFill>
                    <w14:schemeClr w14:val="tx1"/>
                  </w14:solidFill>
                </w14:textFill>
              </w:rPr>
            </w:pPr>
          </w:p>
          <w:p w14:paraId="234BC998">
            <w:pPr>
              <w:keepNext w:val="0"/>
              <w:keepLines w:val="0"/>
              <w:pageBreakBefore w:val="0"/>
              <w:widowControl w:val="0"/>
              <w:kinsoku/>
              <w:wordWrap/>
              <w:overflowPunct/>
              <w:topLinePunct w:val="0"/>
              <w:autoSpaceDE/>
              <w:autoSpaceDN/>
              <w:bidi w:val="0"/>
              <w:adjustRightInd w:val="0"/>
              <w:snapToGrid w:val="0"/>
              <w:jc w:val="both"/>
              <w:textAlignment w:val="auto"/>
              <w:rPr>
                <w:rFonts w:hint="default" w:cs="Times New Roman"/>
                <w:b/>
                <w:bCs/>
                <w:color w:val="000000" w:themeColor="text1"/>
                <w:kern w:val="0"/>
                <w:szCs w:val="21"/>
                <w:highlight w:val="none"/>
                <w:lang w:val="en-US" w:eastAsia="zh-CN"/>
                <w14:textFill>
                  <w14:solidFill>
                    <w14:schemeClr w14:val="tx1"/>
                  </w14:solidFill>
                </w14:textFill>
              </w:rPr>
            </w:pPr>
            <w:r>
              <w:rPr>
                <w:rFonts w:hint="eastAsia" w:cs="Times New Roman"/>
                <w:b/>
                <w:bCs/>
                <w:color w:val="000000" w:themeColor="text1"/>
                <w:kern w:val="0"/>
                <w:szCs w:val="21"/>
                <w:highlight w:val="none"/>
                <w:lang w:val="en-US" w:eastAsia="zh-CN"/>
                <w14:textFill>
                  <w14:solidFill>
                    <w14:schemeClr w14:val="tx1"/>
                  </w14:solidFill>
                </w14:textFill>
              </w:rPr>
              <w:t>4、固体废物</w:t>
            </w:r>
          </w:p>
          <w:p w14:paraId="663226E1">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（1）一般固体废弃物：执行《一般工业固体废物贮存和填埋污染控制标准》（GB18599-2020）。</w:t>
            </w:r>
          </w:p>
          <w:p w14:paraId="73F54D35">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（2）污泥：根据《城镇污水处理厂污染物排放标准》（GB18918-2002）</w:t>
            </w:r>
            <w:r>
              <w:rPr>
                <w:rFonts w:hint="eastAsia" w:cs="Times New Roman"/>
                <w:color w:val="000000" w:themeColor="text1"/>
                <w:kern w:val="0"/>
                <w:szCs w:val="21"/>
                <w:highlight w:val="none"/>
                <w:lang w:val="en-US" w:eastAsia="zh-CN"/>
                <w14:textFill>
                  <w14:solidFill>
                    <w14:schemeClr w14:val="tx1"/>
                  </w14:solidFill>
                </w14:textFill>
              </w:rPr>
              <w:t>（含2006年、2025年修改单）</w:t>
            </w:r>
            <w:r>
              <w:rPr>
                <w:rFonts w:hint="default" w:ascii="Times New Roman" w:hAnsi="Times New Roman" w:cs="Times New Roman"/>
                <w:color w:val="000000" w:themeColor="text1"/>
                <w:kern w:val="0"/>
                <w:szCs w:val="21"/>
                <w:highlight w:val="none"/>
                <w14:textFill>
                  <w14:solidFill>
                    <w14:schemeClr w14:val="tx1"/>
                  </w14:solidFill>
                </w14:textFill>
              </w:rPr>
              <w:t>，污水站污泥应进行稳定化处理，稳定化处理后应达到表3-</w:t>
            </w:r>
            <w:r>
              <w:rPr>
                <w:rFonts w:hint="eastAsia" w:cs="Times New Roman"/>
                <w:color w:val="000000" w:themeColor="text1"/>
                <w:kern w:val="0"/>
                <w:szCs w:val="21"/>
                <w:highlight w:val="none"/>
                <w:lang w:val="en-US" w:eastAsia="zh-CN"/>
                <w14:textFill>
                  <w14:solidFill>
                    <w14:schemeClr w14:val="tx1"/>
                  </w14:solidFill>
                </w14:textFill>
              </w:rPr>
              <w:t>8</w:t>
            </w:r>
            <w:r>
              <w:rPr>
                <w:rFonts w:hint="default" w:ascii="Times New Roman" w:hAnsi="Times New Roman" w:cs="Times New Roman"/>
                <w:color w:val="000000" w:themeColor="text1"/>
                <w:kern w:val="0"/>
                <w:szCs w:val="21"/>
                <w:highlight w:val="none"/>
                <w14:textFill>
                  <w14:solidFill>
                    <w14:schemeClr w14:val="tx1"/>
                  </w14:solidFill>
                </w14:textFill>
              </w:rPr>
              <w:t>所列指标。此外，城镇污水处理厂的污泥应进行污泥脱水处理，脱水后污泥含水率小于80%。污泥脱水后</w:t>
            </w:r>
            <w:r>
              <w:rPr>
                <w:rFonts w:hint="eastAsia" w:cs="Times New Roman"/>
                <w:color w:val="000000" w:themeColor="text1"/>
                <w:kern w:val="0"/>
                <w:szCs w:val="21"/>
                <w:highlight w:val="none"/>
                <w:lang w:val="en-US" w:eastAsia="zh-CN"/>
                <w14:textFill>
                  <w14:solidFill>
                    <w14:schemeClr w14:val="tx1"/>
                  </w14:solidFill>
                </w14:textFill>
              </w:rPr>
              <w:t>运至蚯蚓厂，实现污泥资源化利用</w:t>
            </w:r>
            <w:r>
              <w:rPr>
                <w:rFonts w:hint="default" w:ascii="Times New Roman" w:hAnsi="Times New Roman" w:cs="Times New Roman"/>
                <w:color w:val="000000" w:themeColor="text1"/>
                <w:kern w:val="0"/>
                <w:szCs w:val="21"/>
                <w:highlight w:val="none"/>
                <w14:textFill>
                  <w14:solidFill>
                    <w14:schemeClr w14:val="tx1"/>
                  </w14:solidFill>
                </w14:textFill>
              </w:rPr>
              <w:t>。</w:t>
            </w:r>
          </w:p>
          <w:p w14:paraId="030304BD">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eastAsia" w:cs="Times New Roman"/>
                <w:color w:val="000000" w:themeColor="text1"/>
                <w:kern w:val="0"/>
                <w:szCs w:val="21"/>
                <w:highlight w:val="none"/>
                <w:lang w:eastAsia="zh-CN"/>
                <w14:textFill>
                  <w14:solidFill>
                    <w14:schemeClr w14:val="tx1"/>
                  </w14:solidFill>
                </w14:textFill>
              </w:rPr>
              <w:t>（</w:t>
            </w:r>
            <w:r>
              <w:rPr>
                <w:rFonts w:hint="eastAsia" w:cs="Times New Roman"/>
                <w:color w:val="000000" w:themeColor="text1"/>
                <w:kern w:val="0"/>
                <w:szCs w:val="21"/>
                <w:highlight w:val="none"/>
                <w:lang w:val="en-US" w:eastAsia="zh-CN"/>
                <w14:textFill>
                  <w14:solidFill>
                    <w14:schemeClr w14:val="tx1"/>
                  </w14:solidFill>
                </w14:textFill>
              </w:rPr>
              <w:t>3</w:t>
            </w:r>
            <w:r>
              <w:rPr>
                <w:rFonts w:hint="eastAsia"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cs="Times New Roman"/>
                <w:color w:val="000000" w:themeColor="text1"/>
                <w:kern w:val="0"/>
                <w:szCs w:val="21"/>
                <w:highlight w:val="none"/>
                <w14:textFill>
                  <w14:solidFill>
                    <w14:schemeClr w14:val="tx1"/>
                  </w14:solidFill>
                </w14:textFill>
              </w:rPr>
              <w:t>危险废物执行《危险废物贮存污染控制标准》（GB18597-2023）相关要求</w:t>
            </w:r>
            <w:r>
              <w:rPr>
                <w:rFonts w:hint="eastAsia" w:cs="Times New Roman"/>
                <w:color w:val="000000" w:themeColor="text1"/>
                <w:kern w:val="0"/>
                <w:szCs w:val="21"/>
                <w:highlight w:val="none"/>
                <w:lang w:eastAsia="zh-CN"/>
                <w14:textFill>
                  <w14:solidFill>
                    <w14:schemeClr w14:val="tx1"/>
                  </w14:solidFill>
                </w14:textFill>
              </w:rPr>
              <w:t>。</w:t>
            </w:r>
          </w:p>
          <w:p w14:paraId="35737C12">
            <w:pPr>
              <w:pStyle w:val="20"/>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 xml:space="preserve">3-12  </w:t>
            </w:r>
            <w:r>
              <w:rPr>
                <w:rFonts w:hint="default"/>
                <w:color w:val="000000" w:themeColor="text1"/>
                <w:highlight w:val="none"/>
                <w14:textFill>
                  <w14:solidFill>
                    <w14:schemeClr w14:val="tx1"/>
                  </w14:solidFill>
                </w14:textFill>
              </w:rPr>
              <w:t>污泥稳定化控制指标</w:t>
            </w:r>
          </w:p>
          <w:tbl>
            <w:tblPr>
              <w:tblStyle w:val="12"/>
              <w:tblW w:w="4998" w:type="pct"/>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2940"/>
              <w:gridCol w:w="2500"/>
              <w:gridCol w:w="2890"/>
            </w:tblGrid>
            <w:tr w14:paraId="0D1A69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765" w:type="pct"/>
                  <w:tcBorders>
                    <w:tl2br w:val="nil"/>
                    <w:tr2bl w:val="nil"/>
                  </w:tcBorders>
                  <w:noWrap w:val="0"/>
                  <w:vAlign w:val="center"/>
                </w:tcPr>
                <w:p w14:paraId="65BF454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稳定化方法</w:t>
                  </w:r>
                </w:p>
              </w:tc>
              <w:tc>
                <w:tcPr>
                  <w:tcW w:w="1500" w:type="pct"/>
                  <w:tcBorders>
                    <w:tl2br w:val="nil"/>
                    <w:tr2bl w:val="nil"/>
                  </w:tcBorders>
                  <w:noWrap w:val="0"/>
                  <w:vAlign w:val="center"/>
                </w:tcPr>
                <w:p w14:paraId="649BF37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控制项目</w:t>
                  </w:r>
                </w:p>
              </w:tc>
              <w:tc>
                <w:tcPr>
                  <w:tcW w:w="1734" w:type="pct"/>
                  <w:tcBorders>
                    <w:tl2br w:val="nil"/>
                    <w:tr2bl w:val="nil"/>
                  </w:tcBorders>
                  <w:noWrap w:val="0"/>
                  <w:vAlign w:val="center"/>
                </w:tcPr>
                <w:p w14:paraId="500BF9E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控制指标</w:t>
                  </w:r>
                </w:p>
              </w:tc>
            </w:tr>
            <w:tr w14:paraId="3AF334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765" w:type="pct"/>
                  <w:tcBorders>
                    <w:tl2br w:val="nil"/>
                    <w:tr2bl w:val="nil"/>
                  </w:tcBorders>
                  <w:noWrap w:val="0"/>
                  <w:vAlign w:val="center"/>
                </w:tcPr>
                <w:p w14:paraId="72265B6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厌氧消化</w:t>
                  </w:r>
                </w:p>
              </w:tc>
              <w:tc>
                <w:tcPr>
                  <w:tcW w:w="1500" w:type="pct"/>
                  <w:tcBorders>
                    <w:tl2br w:val="nil"/>
                    <w:tr2bl w:val="nil"/>
                  </w:tcBorders>
                  <w:noWrap w:val="0"/>
                  <w:vAlign w:val="center"/>
                </w:tcPr>
                <w:p w14:paraId="729F989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有机物降解率</w:t>
                  </w:r>
                  <w:r>
                    <w:rPr>
                      <w:rFonts w:hint="eastAsia" w:cs="Times New Roman"/>
                      <w:b w:val="0"/>
                      <w:bCs w:val="0"/>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r>
                    <w:rPr>
                      <w:rFonts w:hint="eastAsia" w:cs="Times New Roman"/>
                      <w:b w:val="0"/>
                      <w:bCs w:val="0"/>
                      <w:color w:val="000000" w:themeColor="text1"/>
                      <w:sz w:val="21"/>
                      <w:szCs w:val="21"/>
                      <w:highlight w:val="none"/>
                      <w:lang w:val="en-US" w:eastAsia="zh-CN" w:bidi="ar"/>
                      <w14:textFill>
                        <w14:solidFill>
                          <w14:schemeClr w14:val="tx1"/>
                        </w14:solidFill>
                      </w14:textFill>
                    </w:rPr>
                    <w:t>）</w:t>
                  </w:r>
                </w:p>
              </w:tc>
              <w:tc>
                <w:tcPr>
                  <w:tcW w:w="1734" w:type="pct"/>
                  <w:tcBorders>
                    <w:tl2br w:val="nil"/>
                    <w:tr2bl w:val="nil"/>
                  </w:tcBorders>
                  <w:noWrap w:val="0"/>
                  <w:vAlign w:val="top"/>
                </w:tcPr>
                <w:p w14:paraId="2682C36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&gt;40</w:t>
                  </w:r>
                </w:p>
              </w:tc>
            </w:tr>
            <w:tr w14:paraId="1EE33D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765" w:type="pct"/>
                  <w:tcBorders>
                    <w:tl2br w:val="nil"/>
                    <w:tr2bl w:val="nil"/>
                  </w:tcBorders>
                  <w:noWrap w:val="0"/>
                  <w:vAlign w:val="center"/>
                </w:tcPr>
                <w:p w14:paraId="508C6C8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好氧消化</w:t>
                  </w:r>
                </w:p>
              </w:tc>
              <w:tc>
                <w:tcPr>
                  <w:tcW w:w="1500" w:type="pct"/>
                  <w:tcBorders>
                    <w:tl2br w:val="nil"/>
                    <w:tr2bl w:val="nil"/>
                  </w:tcBorders>
                  <w:noWrap w:val="0"/>
                  <w:vAlign w:val="center"/>
                </w:tcPr>
                <w:p w14:paraId="6ED06E1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有机物降解率</w:t>
                  </w:r>
                  <w:r>
                    <w:rPr>
                      <w:rFonts w:hint="eastAsia" w:cs="Times New Roman"/>
                      <w:b w:val="0"/>
                      <w:bCs w:val="0"/>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r>
                    <w:rPr>
                      <w:rFonts w:hint="eastAsia" w:cs="Times New Roman"/>
                      <w:b w:val="0"/>
                      <w:bCs w:val="0"/>
                      <w:color w:val="000000" w:themeColor="text1"/>
                      <w:sz w:val="21"/>
                      <w:szCs w:val="21"/>
                      <w:highlight w:val="none"/>
                      <w:lang w:val="en-US" w:eastAsia="zh-CN" w:bidi="ar"/>
                      <w14:textFill>
                        <w14:solidFill>
                          <w14:schemeClr w14:val="tx1"/>
                        </w14:solidFill>
                      </w14:textFill>
                    </w:rPr>
                    <w:t>）</w:t>
                  </w:r>
                </w:p>
              </w:tc>
              <w:tc>
                <w:tcPr>
                  <w:tcW w:w="1734" w:type="pct"/>
                  <w:tcBorders>
                    <w:tl2br w:val="nil"/>
                    <w:tr2bl w:val="nil"/>
                  </w:tcBorders>
                  <w:noWrap w:val="0"/>
                  <w:vAlign w:val="top"/>
                </w:tcPr>
                <w:p w14:paraId="70491B3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&gt;40</w:t>
                  </w:r>
                </w:p>
              </w:tc>
            </w:tr>
            <w:tr w14:paraId="501462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765" w:type="pct"/>
                  <w:vMerge w:val="restart"/>
                  <w:tcBorders>
                    <w:tl2br w:val="nil"/>
                    <w:tr2bl w:val="nil"/>
                  </w:tcBorders>
                  <w:noWrap w:val="0"/>
                  <w:vAlign w:val="center"/>
                </w:tcPr>
                <w:p w14:paraId="121BE40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好氧堆肥</w:t>
                  </w:r>
                </w:p>
              </w:tc>
              <w:tc>
                <w:tcPr>
                  <w:tcW w:w="1500" w:type="pct"/>
                  <w:tcBorders>
                    <w:tl2br w:val="nil"/>
                    <w:tr2bl w:val="nil"/>
                  </w:tcBorders>
                  <w:noWrap w:val="0"/>
                  <w:vAlign w:val="center"/>
                </w:tcPr>
                <w:p w14:paraId="71B93D7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含水率</w:t>
                  </w:r>
                  <w:r>
                    <w:rPr>
                      <w:rFonts w:hint="eastAsia" w:cs="Times New Roman"/>
                      <w:b w:val="0"/>
                      <w:bCs w:val="0"/>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r>
                    <w:rPr>
                      <w:rFonts w:hint="eastAsia" w:cs="Times New Roman"/>
                      <w:b w:val="0"/>
                      <w:bCs w:val="0"/>
                      <w:color w:val="000000" w:themeColor="text1"/>
                      <w:sz w:val="21"/>
                      <w:szCs w:val="21"/>
                      <w:highlight w:val="none"/>
                      <w:lang w:val="en-US" w:eastAsia="zh-CN" w:bidi="ar"/>
                      <w14:textFill>
                        <w14:solidFill>
                          <w14:schemeClr w14:val="tx1"/>
                        </w14:solidFill>
                      </w14:textFill>
                    </w:rPr>
                    <w:t>）</w:t>
                  </w:r>
                </w:p>
              </w:tc>
              <w:tc>
                <w:tcPr>
                  <w:tcW w:w="1734" w:type="pct"/>
                  <w:tcBorders>
                    <w:tl2br w:val="nil"/>
                    <w:tr2bl w:val="nil"/>
                  </w:tcBorders>
                  <w:noWrap w:val="0"/>
                  <w:vAlign w:val="top"/>
                </w:tcPr>
                <w:p w14:paraId="77B2F3E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&lt;65</w:t>
                  </w:r>
                </w:p>
              </w:tc>
            </w:tr>
            <w:tr w14:paraId="4A4DD1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765" w:type="pct"/>
                  <w:vMerge w:val="continue"/>
                  <w:tcBorders>
                    <w:tl2br w:val="nil"/>
                    <w:tr2bl w:val="nil"/>
                  </w:tcBorders>
                  <w:noWrap w:val="0"/>
                  <w:vAlign w:val="center"/>
                </w:tcPr>
                <w:p w14:paraId="5DA28F90">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c>
                <w:tcPr>
                  <w:tcW w:w="1500" w:type="pct"/>
                  <w:tcBorders>
                    <w:tl2br w:val="nil"/>
                    <w:tr2bl w:val="nil"/>
                  </w:tcBorders>
                  <w:noWrap w:val="0"/>
                  <w:vAlign w:val="center"/>
                </w:tcPr>
                <w:p w14:paraId="53B6377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有机物降解率</w:t>
                  </w:r>
                  <w:r>
                    <w:rPr>
                      <w:rFonts w:hint="eastAsia" w:cs="Times New Roman"/>
                      <w:b w:val="0"/>
                      <w:bCs w:val="0"/>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r>
                    <w:rPr>
                      <w:rFonts w:hint="eastAsia" w:cs="Times New Roman"/>
                      <w:b w:val="0"/>
                      <w:bCs w:val="0"/>
                      <w:color w:val="000000" w:themeColor="text1"/>
                      <w:sz w:val="21"/>
                      <w:szCs w:val="21"/>
                      <w:highlight w:val="none"/>
                      <w:lang w:val="en-US" w:eastAsia="zh-CN" w:bidi="ar"/>
                      <w14:textFill>
                        <w14:solidFill>
                          <w14:schemeClr w14:val="tx1"/>
                        </w14:solidFill>
                      </w14:textFill>
                    </w:rPr>
                    <w:t>）</w:t>
                  </w:r>
                </w:p>
              </w:tc>
              <w:tc>
                <w:tcPr>
                  <w:tcW w:w="1734" w:type="pct"/>
                  <w:tcBorders>
                    <w:tl2br w:val="nil"/>
                    <w:tr2bl w:val="nil"/>
                  </w:tcBorders>
                  <w:noWrap w:val="0"/>
                  <w:vAlign w:val="top"/>
                </w:tcPr>
                <w:p w14:paraId="303640E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&gt;50</w:t>
                  </w:r>
                </w:p>
              </w:tc>
            </w:tr>
            <w:tr w14:paraId="4E01D8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765" w:type="pct"/>
                  <w:vMerge w:val="continue"/>
                  <w:tcBorders>
                    <w:tl2br w:val="nil"/>
                    <w:tr2bl w:val="nil"/>
                  </w:tcBorders>
                  <w:noWrap w:val="0"/>
                  <w:vAlign w:val="center"/>
                </w:tcPr>
                <w:p w14:paraId="7B9FEE4F">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c>
                <w:tcPr>
                  <w:tcW w:w="1500" w:type="pct"/>
                  <w:tcBorders>
                    <w:tl2br w:val="nil"/>
                    <w:tr2bl w:val="nil"/>
                  </w:tcBorders>
                  <w:noWrap w:val="0"/>
                  <w:vAlign w:val="center"/>
                </w:tcPr>
                <w:p w14:paraId="60B1197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蠕虫卵死亡率</w:t>
                  </w:r>
                  <w:r>
                    <w:rPr>
                      <w:rFonts w:hint="eastAsia" w:cs="Times New Roman"/>
                      <w:b w:val="0"/>
                      <w:bCs w:val="0"/>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r>
                    <w:rPr>
                      <w:rFonts w:hint="eastAsia" w:cs="Times New Roman"/>
                      <w:b w:val="0"/>
                      <w:bCs w:val="0"/>
                      <w:color w:val="000000" w:themeColor="text1"/>
                      <w:sz w:val="21"/>
                      <w:szCs w:val="21"/>
                      <w:highlight w:val="none"/>
                      <w:lang w:val="en-US" w:eastAsia="zh-CN" w:bidi="ar"/>
                      <w14:textFill>
                        <w14:solidFill>
                          <w14:schemeClr w14:val="tx1"/>
                        </w14:solidFill>
                      </w14:textFill>
                    </w:rPr>
                    <w:t>）</w:t>
                  </w:r>
                </w:p>
              </w:tc>
              <w:tc>
                <w:tcPr>
                  <w:tcW w:w="1734" w:type="pct"/>
                  <w:tcBorders>
                    <w:tl2br w:val="nil"/>
                    <w:tr2bl w:val="nil"/>
                  </w:tcBorders>
                  <w:noWrap w:val="0"/>
                  <w:vAlign w:val="top"/>
                </w:tcPr>
                <w:p w14:paraId="5804C5A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&gt;95</w:t>
                  </w:r>
                </w:p>
              </w:tc>
            </w:tr>
            <w:tr w14:paraId="1EE7EF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765" w:type="pct"/>
                  <w:vMerge w:val="continue"/>
                  <w:tcBorders>
                    <w:tl2br w:val="nil"/>
                    <w:tr2bl w:val="nil"/>
                  </w:tcBorders>
                  <w:noWrap w:val="0"/>
                  <w:vAlign w:val="center"/>
                </w:tcPr>
                <w:p w14:paraId="280DC1EE">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c>
                <w:tcPr>
                  <w:tcW w:w="1500" w:type="pct"/>
                  <w:tcBorders>
                    <w:tl2br w:val="nil"/>
                    <w:tr2bl w:val="nil"/>
                  </w:tcBorders>
                  <w:noWrap w:val="0"/>
                  <w:vAlign w:val="center"/>
                </w:tcPr>
                <w:p w14:paraId="3E804D0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粪大肠菌群菌值</w:t>
                  </w:r>
                </w:p>
              </w:tc>
              <w:tc>
                <w:tcPr>
                  <w:tcW w:w="1734" w:type="pct"/>
                  <w:tcBorders>
                    <w:tl2br w:val="nil"/>
                    <w:tr2bl w:val="nil"/>
                  </w:tcBorders>
                  <w:noWrap w:val="0"/>
                  <w:vAlign w:val="top"/>
                </w:tcPr>
                <w:p w14:paraId="2643E7C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&gt;0.01</w:t>
                  </w:r>
                </w:p>
              </w:tc>
            </w:tr>
          </w:tbl>
          <w:p w14:paraId="5AECC838">
            <w:pPr>
              <w:keepNext w:val="0"/>
              <w:keepLines w:val="0"/>
              <w:pageBreakBefore w:val="0"/>
              <w:widowControl w:val="0"/>
              <w:kinsoku/>
              <w:wordWrap/>
              <w:overflowPunct/>
              <w:topLinePunct w:val="0"/>
              <w:autoSpaceDE/>
              <w:autoSpaceDN/>
              <w:bidi w:val="0"/>
              <w:adjustRightInd w:val="0"/>
              <w:snapToGrid w:val="0"/>
              <w:jc w:val="both"/>
              <w:textAlignment w:val="auto"/>
              <w:rPr>
                <w:rFonts w:ascii="宋体" w:hAnsi="宋体" w:cs="宋体"/>
                <w:color w:val="000000" w:themeColor="text1"/>
                <w:kern w:val="0"/>
                <w:szCs w:val="21"/>
                <w:highlight w:val="none"/>
                <w14:textFill>
                  <w14:solidFill>
                    <w14:schemeClr w14:val="tx1"/>
                  </w14:solidFill>
                </w14:textFill>
              </w:rPr>
            </w:pPr>
          </w:p>
        </w:tc>
      </w:tr>
      <w:tr w14:paraId="0C78DA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noWrap w:val="0"/>
            <w:vAlign w:val="center"/>
          </w:tcPr>
          <w:p w14:paraId="3D931E6E">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总量</w:t>
            </w:r>
          </w:p>
          <w:p w14:paraId="213E3143">
            <w:pPr>
              <w:adjustRightInd w:val="0"/>
              <w:snapToGrid w:val="0"/>
              <w:jc w:val="center"/>
              <w:rPr>
                <w:rFonts w:hint="eastAsia"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控制</w:t>
            </w:r>
          </w:p>
          <w:p w14:paraId="52D7B7CF">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指标</w:t>
            </w:r>
          </w:p>
        </w:tc>
        <w:tc>
          <w:tcPr>
            <w:tcW w:w="8196" w:type="dxa"/>
            <w:noWrap w:val="0"/>
            <w:vAlign w:val="center"/>
          </w:tcPr>
          <w:p w14:paraId="5D11B6D4">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根据国家及自治区污染物排放总量控制的要求，综合考虑本项目的特征、排污特点及排污去向，所在区域环境质量现状以及当地环境管理部门的要求，本次评价</w:t>
            </w:r>
            <w:r>
              <w:rPr>
                <w:rFonts w:hint="eastAsia" w:cs="Times New Roman"/>
                <w:color w:val="000000" w:themeColor="text1"/>
                <w:kern w:val="0"/>
                <w:szCs w:val="21"/>
                <w:highlight w:val="none"/>
                <w:lang w:val="en-US" w:eastAsia="zh-CN"/>
                <w14:textFill>
                  <w14:solidFill>
                    <w14:schemeClr w14:val="tx1"/>
                  </w14:solidFill>
                </w14:textFill>
              </w:rPr>
              <w:t>项目尾水部分排入中水厂进行回用，部分进入人工湿地。因此，本项目无需设置污染物总量控制指标。</w:t>
            </w:r>
          </w:p>
          <w:p w14:paraId="6502009D">
            <w:pPr>
              <w:keepNext w:val="0"/>
              <w:keepLines w:val="0"/>
              <w:pageBreakBefore w:val="0"/>
              <w:widowControl w:val="0"/>
              <w:kinsoku/>
              <w:wordWrap/>
              <w:overflowPunct/>
              <w:topLinePunct w:val="0"/>
              <w:autoSpaceDE/>
              <w:autoSpaceDN/>
              <w:bidi w:val="0"/>
              <w:adjustRightInd w:val="0"/>
              <w:snapToGrid w:val="0"/>
              <w:jc w:val="both"/>
              <w:textAlignment w:val="auto"/>
              <w:rPr>
                <w:rFonts w:ascii="宋体" w:hAnsi="宋体" w:cs="宋体"/>
                <w:color w:val="000000" w:themeColor="text1"/>
                <w:kern w:val="0"/>
                <w:szCs w:val="21"/>
                <w:highlight w:val="none"/>
                <w14:textFill>
                  <w14:solidFill>
                    <w14:schemeClr w14:val="tx1"/>
                  </w14:solidFill>
                </w14:textFill>
              </w:rPr>
            </w:pPr>
          </w:p>
        </w:tc>
      </w:tr>
    </w:tbl>
    <w:p w14:paraId="03D6491C">
      <w:pPr>
        <w:jc w:val="center"/>
        <w:outlineLvl w:val="0"/>
        <w:rPr>
          <w:rFonts w:ascii="黑体" w:hAnsi="黑体" w:eastAsia="黑体"/>
          <w:snapToGrid w:val="0"/>
          <w:color w:val="000000" w:themeColor="text1"/>
          <w:sz w:val="30"/>
          <w:szCs w:val="30"/>
          <w:highlight w:val="none"/>
          <w14:textFill>
            <w14:solidFill>
              <w14:schemeClr w14:val="tx1"/>
            </w14:solidFill>
          </w14:textFill>
        </w:rPr>
      </w:pPr>
      <w:r>
        <w:rPr>
          <w:rFonts w:ascii="黑体" w:hAnsi="黑体" w:eastAsia="黑体"/>
          <w:snapToGrid w:val="0"/>
          <w:color w:val="000000" w:themeColor="text1"/>
          <w:sz w:val="36"/>
          <w:szCs w:val="36"/>
          <w:highlight w:val="none"/>
          <w14:textFill>
            <w14:solidFill>
              <w14:schemeClr w14:val="tx1"/>
            </w14:solidFill>
          </w14:textFill>
        </w:rPr>
        <w:br w:type="page"/>
      </w:r>
      <w:bookmarkStart w:id="10" w:name="_Toc2593"/>
      <w:bookmarkStart w:id="11" w:name="_Toc27799"/>
      <w:bookmarkStart w:id="12" w:name="_Toc24300"/>
      <w:r>
        <w:rPr>
          <w:rFonts w:hint="eastAsia" w:ascii="黑体" w:hAnsi="黑体" w:eastAsia="黑体"/>
          <w:snapToGrid w:val="0"/>
          <w:color w:val="000000" w:themeColor="text1"/>
          <w:sz w:val="30"/>
          <w:szCs w:val="30"/>
          <w:highlight w:val="none"/>
          <w14:textFill>
            <w14:solidFill>
              <w14:schemeClr w14:val="tx1"/>
            </w14:solidFill>
          </w14:textFill>
        </w:rPr>
        <w:t>四、主要环境影响和保护措施</w:t>
      </w:r>
      <w:bookmarkEnd w:id="10"/>
      <w:bookmarkEnd w:id="11"/>
      <w:bookmarkEnd w:id="12"/>
    </w:p>
    <w:tbl>
      <w:tblPr>
        <w:tblStyle w:val="12"/>
        <w:tblW w:w="513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28"/>
        <w:gridCol w:w="8594"/>
      </w:tblGrid>
      <w:tr w14:paraId="7774B5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50" w:hRule="atLeast"/>
          <w:jc w:val="center"/>
        </w:trPr>
        <w:tc>
          <w:tcPr>
            <w:tcW w:w="340" w:type="pct"/>
            <w:noWrap w:val="0"/>
            <w:tcMar>
              <w:left w:w="28" w:type="dxa"/>
              <w:right w:w="28" w:type="dxa"/>
            </w:tcMar>
            <w:vAlign w:val="center"/>
          </w:tcPr>
          <w:p w14:paraId="23A5500E">
            <w:pPr>
              <w:adjustRightInd w:val="0"/>
              <w:snapToGrid w:val="0"/>
              <w:spacing w:before="0" w:beforeAutospacing="0" w:after="0" w:afterAutospacing="0"/>
              <w:jc w:val="center"/>
              <w:rPr>
                <w:rFonts w:hint="default" w:ascii="Times New Roman" w:hAnsi="Times New Roman" w:cs="Times New Roman"/>
                <w:color w:val="000000" w:themeColor="text1"/>
                <w:kern w:val="2"/>
                <w:sz w:val="24"/>
                <w:szCs w:val="24"/>
                <w:highlight w:val="none"/>
                <w14:textFill>
                  <w14:solidFill>
                    <w14:schemeClr w14:val="tx1"/>
                  </w14:solidFill>
                </w14:textFill>
              </w:rPr>
            </w:pPr>
            <w:r>
              <w:rPr>
                <w:rFonts w:hint="default" w:ascii="Times New Roman" w:hAnsi="Times New Roman" w:cs="Times New Roman"/>
                <w:color w:val="000000" w:themeColor="text1"/>
                <w:kern w:val="2"/>
                <w:sz w:val="24"/>
                <w:szCs w:val="24"/>
                <w:highlight w:val="none"/>
                <w14:textFill>
                  <w14:solidFill>
                    <w14:schemeClr w14:val="tx1"/>
                  </w14:solidFill>
                </w14:textFill>
              </w:rPr>
              <w:t>施工</w:t>
            </w:r>
          </w:p>
          <w:p w14:paraId="709FD12F">
            <w:pPr>
              <w:adjustRightInd w:val="0"/>
              <w:snapToGrid w:val="0"/>
              <w:spacing w:before="0" w:beforeAutospacing="0" w:after="0" w:afterAutospacing="0"/>
              <w:jc w:val="center"/>
              <w:rPr>
                <w:rFonts w:hint="default" w:ascii="Times New Roman" w:hAnsi="Times New Roman" w:cs="Times New Roman"/>
                <w:color w:val="000000" w:themeColor="text1"/>
                <w:kern w:val="2"/>
                <w:sz w:val="24"/>
                <w:szCs w:val="24"/>
                <w:highlight w:val="none"/>
                <w14:textFill>
                  <w14:solidFill>
                    <w14:schemeClr w14:val="tx1"/>
                  </w14:solidFill>
                </w14:textFill>
              </w:rPr>
            </w:pPr>
            <w:r>
              <w:rPr>
                <w:rFonts w:hint="default" w:ascii="Times New Roman" w:hAnsi="Times New Roman" w:cs="Times New Roman"/>
                <w:color w:val="000000" w:themeColor="text1"/>
                <w:kern w:val="2"/>
                <w:sz w:val="24"/>
                <w:szCs w:val="24"/>
                <w:highlight w:val="none"/>
                <w14:textFill>
                  <w14:solidFill>
                    <w14:schemeClr w14:val="tx1"/>
                  </w14:solidFill>
                </w14:textFill>
              </w:rPr>
              <w:t>期环</w:t>
            </w:r>
          </w:p>
          <w:p w14:paraId="404F6BCF">
            <w:pPr>
              <w:adjustRightInd w:val="0"/>
              <w:snapToGrid w:val="0"/>
              <w:spacing w:before="0" w:beforeAutospacing="0" w:after="0" w:afterAutospacing="0"/>
              <w:jc w:val="center"/>
              <w:rPr>
                <w:rFonts w:hint="default" w:ascii="Times New Roman" w:hAnsi="Times New Roman" w:cs="Times New Roman"/>
                <w:color w:val="000000" w:themeColor="text1"/>
                <w:kern w:val="2"/>
                <w:sz w:val="24"/>
                <w:szCs w:val="24"/>
                <w:highlight w:val="none"/>
                <w14:textFill>
                  <w14:solidFill>
                    <w14:schemeClr w14:val="tx1"/>
                  </w14:solidFill>
                </w14:textFill>
              </w:rPr>
            </w:pPr>
            <w:r>
              <w:rPr>
                <w:rFonts w:hint="default" w:ascii="Times New Roman" w:hAnsi="Times New Roman" w:cs="Times New Roman"/>
                <w:color w:val="000000" w:themeColor="text1"/>
                <w:kern w:val="2"/>
                <w:sz w:val="24"/>
                <w:szCs w:val="24"/>
                <w:highlight w:val="none"/>
                <w14:textFill>
                  <w14:solidFill>
                    <w14:schemeClr w14:val="tx1"/>
                  </w14:solidFill>
                </w14:textFill>
              </w:rPr>
              <w:t>境保</w:t>
            </w:r>
          </w:p>
          <w:p w14:paraId="65E9AE91">
            <w:pPr>
              <w:adjustRightInd w:val="0"/>
              <w:snapToGrid w:val="0"/>
              <w:spacing w:before="0" w:beforeAutospacing="0" w:after="0" w:afterAutospacing="0"/>
              <w:jc w:val="center"/>
              <w:rPr>
                <w:rFonts w:hint="default" w:ascii="Times New Roman" w:hAnsi="Times New Roman" w:cs="Times New Roman"/>
                <w:color w:val="000000" w:themeColor="text1"/>
                <w:kern w:val="2"/>
                <w:sz w:val="24"/>
                <w:szCs w:val="24"/>
                <w:highlight w:val="none"/>
                <w14:textFill>
                  <w14:solidFill>
                    <w14:schemeClr w14:val="tx1"/>
                  </w14:solidFill>
                </w14:textFill>
              </w:rPr>
            </w:pPr>
            <w:r>
              <w:rPr>
                <w:rFonts w:hint="default" w:ascii="Times New Roman" w:hAnsi="Times New Roman" w:cs="Times New Roman"/>
                <w:color w:val="000000" w:themeColor="text1"/>
                <w:kern w:val="2"/>
                <w:sz w:val="24"/>
                <w:szCs w:val="24"/>
                <w:highlight w:val="none"/>
                <w14:textFill>
                  <w14:solidFill>
                    <w14:schemeClr w14:val="tx1"/>
                  </w14:solidFill>
                </w14:textFill>
              </w:rPr>
              <w:t>护措</w:t>
            </w:r>
          </w:p>
          <w:p w14:paraId="3CD5C6EA">
            <w:pPr>
              <w:adjustRightInd w:val="0"/>
              <w:snapToGrid w:val="0"/>
              <w:spacing w:before="0" w:beforeAutospacing="0" w:after="0" w:afterAutospacing="0"/>
              <w:jc w:val="center"/>
              <w:rPr>
                <w:rFonts w:hint="default" w:ascii="Times New Roman" w:hAnsi="Times New Roman" w:cs="Times New Roman"/>
                <w:bCs/>
                <w:color w:val="000000" w:themeColor="text1"/>
                <w:kern w:val="2"/>
                <w:sz w:val="24"/>
                <w:szCs w:val="24"/>
                <w:highlight w:val="none"/>
                <w14:textFill>
                  <w14:solidFill>
                    <w14:schemeClr w14:val="tx1"/>
                  </w14:solidFill>
                </w14:textFill>
              </w:rPr>
            </w:pPr>
            <w:r>
              <w:rPr>
                <w:rFonts w:hint="default" w:ascii="Times New Roman" w:hAnsi="Times New Roman" w:cs="Times New Roman"/>
                <w:color w:val="000000" w:themeColor="text1"/>
                <w:kern w:val="2"/>
                <w:sz w:val="24"/>
                <w:szCs w:val="24"/>
                <w:highlight w:val="none"/>
                <w14:textFill>
                  <w14:solidFill>
                    <w14:schemeClr w14:val="tx1"/>
                  </w14:solidFill>
                </w14:textFill>
              </w:rPr>
              <w:t>施</w:t>
            </w:r>
          </w:p>
        </w:tc>
        <w:tc>
          <w:tcPr>
            <w:tcW w:w="4659" w:type="pct"/>
            <w:noWrap w:val="0"/>
            <w:vAlign w:val="center"/>
          </w:tcPr>
          <w:p w14:paraId="6B775818">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b/>
                <w:bCs w:val="0"/>
                <w:color w:val="000000" w:themeColor="text1"/>
                <w:kern w:val="0"/>
                <w:szCs w:val="21"/>
                <w:highlight w:val="none"/>
                <w14:textFill>
                  <w14:solidFill>
                    <w14:schemeClr w14:val="tx1"/>
                  </w14:solidFill>
                </w14:textFill>
              </w:rPr>
            </w:pPr>
            <w:r>
              <w:rPr>
                <w:rFonts w:hint="default" w:ascii="Times New Roman" w:hAnsi="Times New Roman" w:eastAsia="宋体" w:cs="Times New Roman"/>
                <w:b/>
                <w:bCs w:val="0"/>
                <w:color w:val="000000" w:themeColor="text1"/>
                <w:spacing w:val="-10"/>
                <w:szCs w:val="21"/>
                <w:highlight w:val="none"/>
                <w:lang w:val="en-US" w:eastAsia="zh-CN"/>
                <w14:textFill>
                  <w14:solidFill>
                    <w14:schemeClr w14:val="tx1"/>
                  </w14:solidFill>
                </w14:textFill>
              </w:rPr>
              <w:t>1</w:t>
            </w:r>
            <w:r>
              <w:rPr>
                <w:rFonts w:hint="default" w:ascii="Times New Roman" w:hAnsi="Times New Roman" w:eastAsia="宋体" w:cs="Times New Roman"/>
                <w:b/>
                <w:bCs w:val="0"/>
                <w:color w:val="000000" w:themeColor="text1"/>
                <w:kern w:val="0"/>
                <w:szCs w:val="21"/>
                <w:highlight w:val="none"/>
                <w14:textFill>
                  <w14:solidFill>
                    <w14:schemeClr w14:val="tx1"/>
                  </w14:solidFill>
                </w14:textFill>
              </w:rPr>
              <w:t>、施工期大气环境保护措施</w:t>
            </w:r>
          </w:p>
          <w:p w14:paraId="61A1E196">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项目污水处理厂基础工程施工、主体工程及其附属工程施工时，产生的废气主要是施工粉尘、扬尘</w:t>
            </w:r>
            <w:r>
              <w:rPr>
                <w:rFonts w:hint="eastAsia" w:cs="Times New Roman"/>
                <w:color w:val="000000" w:themeColor="text1"/>
                <w:kern w:val="0"/>
                <w:szCs w:val="21"/>
                <w:highlight w:val="none"/>
                <w:lang w:eastAsia="zh-CN"/>
                <w14:textFill>
                  <w14:solidFill>
                    <w14:schemeClr w14:val="tx1"/>
                  </w14:solidFill>
                </w14:textFill>
              </w:rPr>
              <w:t>，以</w:t>
            </w:r>
            <w:r>
              <w:rPr>
                <w:rFonts w:hint="default" w:ascii="Times New Roman" w:hAnsi="Times New Roman" w:eastAsia="宋体" w:cs="Times New Roman"/>
                <w:color w:val="000000" w:themeColor="text1"/>
                <w:kern w:val="0"/>
                <w:szCs w:val="21"/>
                <w:highlight w:val="none"/>
                <w14:textFill>
                  <w14:solidFill>
                    <w14:schemeClr w14:val="tx1"/>
                  </w14:solidFill>
                </w14:textFill>
              </w:rPr>
              <w:t>及施工作业中燃油机械和运输车辆产生的尾气等，均为无组织排放。</w:t>
            </w:r>
          </w:p>
          <w:p w14:paraId="32E76136">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Cs w:val="21"/>
                <w:highlight w:val="none"/>
                <w14:textFill>
                  <w14:solidFill>
                    <w14:schemeClr w14:val="tx1"/>
                  </w14:solidFill>
                </w14:textFill>
              </w:rPr>
              <w:t>施工粉（扬）尘</w:t>
            </w:r>
          </w:p>
          <w:p w14:paraId="73C92986">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项目在施工期间已采取如下环保措施：①加强对施工场地的洒水降尘；②对建筑材料采取塑料薄膜覆盖，使用时部分掀开，减少暴露面积，降低风动扬尘；③规范车辆土方装载方式，杜绝沿路洒漏现象，减少对外环境的影响；④临</w:t>
            </w:r>
            <w:r>
              <w:rPr>
                <w:rFonts w:hint="eastAsia" w:cs="Times New Roman"/>
                <w:color w:val="000000" w:themeColor="text1"/>
                <w:kern w:val="0"/>
                <w:szCs w:val="21"/>
                <w:highlight w:val="none"/>
                <w:lang w:val="en-US" w:eastAsia="zh-CN"/>
                <w14:textFill>
                  <w14:solidFill>
                    <w14:schemeClr w14:val="tx1"/>
                  </w14:solidFill>
                </w14:textFill>
              </w:rPr>
              <w:t>近</w:t>
            </w:r>
            <w:r>
              <w:rPr>
                <w:rFonts w:hint="default" w:ascii="Times New Roman" w:hAnsi="Times New Roman" w:eastAsia="宋体" w:cs="Times New Roman"/>
                <w:color w:val="000000" w:themeColor="text1"/>
                <w:kern w:val="0"/>
                <w:szCs w:val="21"/>
                <w:highlight w:val="none"/>
                <w14:textFill>
                  <w14:solidFill>
                    <w14:schemeClr w14:val="tx1"/>
                  </w14:solidFill>
                </w14:textFill>
              </w:rPr>
              <w:t>敏感点一侧应布设防尘纱网，减少粉（扬）尘对敏感点的影响；⑤施工场地的作业面和土堆适当洒水，保持一定的湿度，建筑材料覆盖篷布防尘、降尘，开挖的废土石要及时回填及清运；⑤运输车辆不能超载运输，采取遮盖、密闭措施；⑥及时清扫路面洒落建筑垃圾。通过采取上述措施后对周围环境影响不大。</w:t>
            </w:r>
          </w:p>
          <w:p w14:paraId="7CAD9572">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Cs w:val="21"/>
                <w:highlight w:val="none"/>
                <w14:textFill>
                  <w14:solidFill>
                    <w14:schemeClr w14:val="tx1"/>
                  </w14:solidFill>
                </w14:textFill>
              </w:rPr>
              <w:t>机械设备的燃油废气</w:t>
            </w:r>
          </w:p>
          <w:p w14:paraId="22F12F96">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燃油废气属间歇性无组织排放，具有间断性产生、产生量较小、产生点相对分散，经空气稀释扩散。</w:t>
            </w:r>
          </w:p>
          <w:p w14:paraId="3DBA532A">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在施工期间已采取如下环保措施：①减少开挖土方的露天堆放时间，尽量做到随挖随填；②施工场地的作业面和土堆适当洒水，保持一定的湿度，建筑材料覆盖篷布防尘、降尘，开挖的废土要及时回填及清运；③运输车辆采用篷布覆盖；④及时清扫散落在路面上的泥土和建筑材料。</w:t>
            </w:r>
          </w:p>
          <w:p w14:paraId="246010DC">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b/>
                <w:bCs/>
                <w:color w:val="000000" w:themeColor="text1"/>
                <w:kern w:val="0"/>
                <w:szCs w:val="21"/>
                <w:highlight w:val="none"/>
                <w14:textFill>
                  <w14:solidFill>
                    <w14:schemeClr w14:val="tx1"/>
                  </w14:solidFill>
                </w14:textFill>
              </w:rPr>
            </w:pPr>
            <w:r>
              <w:rPr>
                <w:rFonts w:hint="eastAsia" w:ascii="Times New Roman" w:hAnsi="Times New Roman" w:eastAsia="宋体" w:cs="Times New Roman"/>
                <w:b/>
                <w:bCs/>
                <w:color w:val="000000" w:themeColor="text1"/>
                <w:kern w:val="0"/>
                <w:szCs w:val="21"/>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kern w:val="0"/>
                <w:szCs w:val="21"/>
                <w:highlight w:val="none"/>
                <w14:textFill>
                  <w14:solidFill>
                    <w14:schemeClr w14:val="tx1"/>
                  </w14:solidFill>
                </w14:textFill>
              </w:rPr>
              <w:t>施工期水环境保护措施</w:t>
            </w:r>
          </w:p>
          <w:p w14:paraId="617AD046">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施工期水污染物主要来自施工机械冲洗废水以及施工人员生活产生的生活污水等。</w:t>
            </w:r>
          </w:p>
          <w:p w14:paraId="0A68852B">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1</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Cs w:val="21"/>
                <w:highlight w:val="none"/>
                <w14:textFill>
                  <w14:solidFill>
                    <w14:schemeClr w14:val="tx1"/>
                  </w14:solidFill>
                </w14:textFill>
              </w:rPr>
              <w:t>运输车辆及施工机械冲洗废水</w:t>
            </w:r>
          </w:p>
          <w:p w14:paraId="194E4D64">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运输车辆及施工机械进行冲洗产生的废水，通过设置临时沉淀池，经沉淀处理后用于施工场地洒水降尘，不外排。</w:t>
            </w:r>
          </w:p>
          <w:p w14:paraId="54714FED">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2</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Cs w:val="21"/>
                <w:highlight w:val="none"/>
                <w14:textFill>
                  <w14:solidFill>
                    <w14:schemeClr w14:val="tx1"/>
                  </w14:solidFill>
                </w14:textFill>
              </w:rPr>
              <w:t>建筑施工废水</w:t>
            </w:r>
          </w:p>
          <w:p w14:paraId="33A0F000">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污水处理厂改造建设过程中产生少量的建筑施工废水，污水处理厂施工区设有一个临时沉淀池，废水经沉淀处理后，均用于施工过程或洒水降尘，不外排。</w:t>
            </w:r>
          </w:p>
          <w:p w14:paraId="7902B7B7">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3</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Cs w:val="21"/>
                <w:highlight w:val="none"/>
                <w14:textFill>
                  <w14:solidFill>
                    <w14:schemeClr w14:val="tx1"/>
                  </w14:solidFill>
                </w14:textFill>
              </w:rPr>
              <w:t>地表雨水径流</w:t>
            </w:r>
          </w:p>
          <w:p w14:paraId="5F851581">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地表径流所含污染物主要为SS，项目施工区设有一个临时沉淀池处理后用于施工场地、进场道路洒水抑尘和混凝土养护。</w:t>
            </w:r>
          </w:p>
          <w:p w14:paraId="037809A8">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为进一步减小对水环境的影响，项目已采取以下措施：①施工场地周边应设置排水沟，并在排水沟末端设置沉淀池，对地表径流进行沉淀处理；②合理安排施工期，避免在雨天进行土方作业；③雨天对粉状物料堆放场所进行必要的遮盖，减少雨水冲刷。</w:t>
            </w:r>
          </w:p>
          <w:p w14:paraId="25BE7C85">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4</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Cs w:val="21"/>
                <w:highlight w:val="none"/>
                <w14:textFill>
                  <w14:solidFill>
                    <w14:schemeClr w14:val="tx1"/>
                  </w14:solidFill>
                </w14:textFill>
              </w:rPr>
              <w:t>施工人员生活污水</w:t>
            </w:r>
          </w:p>
          <w:p w14:paraId="74AF6A01">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污水处理厂改扩建预定施工工人12人，均为附近村民，均不在工地内食宿，生活用水量按50L/人·d计，则施工人员生活用水量为0.6m</w:t>
            </w:r>
            <w:r>
              <w:rPr>
                <w:rFonts w:hint="default" w:ascii="Times New Roman" w:hAnsi="Times New Roman" w:eastAsia="宋体" w:cs="Times New Roman"/>
                <w:color w:val="000000" w:themeColor="text1"/>
                <w:kern w:val="0"/>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kern w:val="0"/>
                <w:szCs w:val="21"/>
                <w:highlight w:val="none"/>
                <w14:textFill>
                  <w14:solidFill>
                    <w14:schemeClr w14:val="tx1"/>
                  </w14:solidFill>
                </w14:textFill>
              </w:rPr>
              <w:t>/d，其产生的污水量按其用水量的80%计，即共产生污水量为0.48m</w:t>
            </w:r>
            <w:r>
              <w:rPr>
                <w:rFonts w:hint="default" w:ascii="Times New Roman" w:hAnsi="Times New Roman" w:eastAsia="宋体" w:cs="Times New Roman"/>
                <w:color w:val="000000" w:themeColor="text1"/>
                <w:kern w:val="0"/>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kern w:val="0"/>
                <w:szCs w:val="21"/>
                <w:highlight w:val="none"/>
                <w14:textFill>
                  <w14:solidFill>
                    <w14:schemeClr w14:val="tx1"/>
                  </w14:solidFill>
                </w14:textFill>
              </w:rPr>
              <w:t>/d、</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14.4</w:t>
            </w:r>
            <w:r>
              <w:rPr>
                <w:rFonts w:hint="default" w:ascii="Times New Roman" w:hAnsi="Times New Roman" w:eastAsia="宋体" w:cs="Times New Roman"/>
                <w:color w:val="000000" w:themeColor="text1"/>
                <w:kern w:val="0"/>
                <w:szCs w:val="21"/>
                <w:highlight w:val="none"/>
                <w14:textFill>
                  <w14:solidFill>
                    <w14:schemeClr w14:val="tx1"/>
                  </w14:solidFill>
                </w14:textFill>
              </w:rPr>
              <w:t>m</w:t>
            </w:r>
            <w:r>
              <w:rPr>
                <w:rFonts w:hint="default" w:ascii="Times New Roman" w:hAnsi="Times New Roman" w:eastAsia="宋体" w:cs="Times New Roman"/>
                <w:color w:val="000000" w:themeColor="text1"/>
                <w:kern w:val="0"/>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kern w:val="0"/>
                <w:szCs w:val="21"/>
                <w:highlight w:val="none"/>
                <w14:textFill>
                  <w14:solidFill>
                    <w14:schemeClr w14:val="tx1"/>
                  </w14:solidFill>
                </w14:textFill>
              </w:rPr>
              <w:t>（按</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30</w:t>
            </w:r>
            <w:r>
              <w:rPr>
                <w:rFonts w:hint="default" w:ascii="Times New Roman" w:hAnsi="Times New Roman" w:eastAsia="宋体" w:cs="Times New Roman"/>
                <w:color w:val="000000" w:themeColor="text1"/>
                <w:kern w:val="0"/>
                <w:szCs w:val="21"/>
                <w:highlight w:val="none"/>
                <w14:textFill>
                  <w14:solidFill>
                    <w14:schemeClr w14:val="tx1"/>
                  </w14:solidFill>
                </w14:textFill>
              </w:rPr>
              <w:t>天计），产生的生活污水及粪便污水排入污水处理厂</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现有化粪池</w:t>
            </w:r>
            <w:r>
              <w:rPr>
                <w:rFonts w:hint="default" w:ascii="Times New Roman" w:hAnsi="Times New Roman" w:eastAsia="宋体" w:cs="Times New Roman"/>
                <w:color w:val="000000" w:themeColor="text1"/>
                <w:kern w:val="0"/>
                <w:szCs w:val="21"/>
                <w:highlight w:val="none"/>
                <w14:textFill>
                  <w14:solidFill>
                    <w14:schemeClr w14:val="tx1"/>
                  </w14:solidFill>
                </w14:textFill>
              </w:rPr>
              <w:t>。</w:t>
            </w:r>
          </w:p>
          <w:p w14:paraId="08B7FB1A">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b/>
                <w:bCs/>
                <w:color w:val="000000" w:themeColor="text1"/>
                <w:kern w:val="0"/>
                <w:szCs w:val="21"/>
                <w:highlight w:val="none"/>
                <w14:textFill>
                  <w14:solidFill>
                    <w14:schemeClr w14:val="tx1"/>
                  </w14:solidFill>
                </w14:textFill>
              </w:rPr>
            </w:pPr>
            <w:r>
              <w:rPr>
                <w:rFonts w:hint="eastAsia" w:ascii="Times New Roman" w:hAnsi="Times New Roman" w:eastAsia="宋体" w:cs="Times New Roman"/>
                <w:b/>
                <w:bCs/>
                <w:color w:val="000000" w:themeColor="text1"/>
                <w:kern w:val="0"/>
                <w:szCs w:val="21"/>
                <w:highlight w:val="none"/>
                <w:lang w:val="en-US" w:eastAsia="zh-CN"/>
                <w14:textFill>
                  <w14:solidFill>
                    <w14:schemeClr w14:val="tx1"/>
                  </w14:solidFill>
                </w14:textFill>
              </w:rPr>
              <w:t>3</w:t>
            </w:r>
            <w:r>
              <w:rPr>
                <w:rFonts w:hint="default" w:ascii="Times New Roman" w:hAnsi="Times New Roman" w:eastAsia="宋体" w:cs="Times New Roman"/>
                <w:b/>
                <w:bCs/>
                <w:color w:val="000000" w:themeColor="text1"/>
                <w:kern w:val="0"/>
                <w:szCs w:val="21"/>
                <w:highlight w:val="none"/>
                <w14:textFill>
                  <w14:solidFill>
                    <w14:schemeClr w14:val="tx1"/>
                  </w14:solidFill>
                </w14:textFill>
              </w:rPr>
              <w:t>、施工期声环境保护措施</w:t>
            </w:r>
          </w:p>
          <w:p w14:paraId="651CFF3E">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1</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Cs w:val="21"/>
                <w:highlight w:val="none"/>
                <w14:textFill>
                  <w14:solidFill>
                    <w14:schemeClr w14:val="tx1"/>
                  </w14:solidFill>
                </w14:textFill>
              </w:rPr>
              <w:t>主要噪声源</w:t>
            </w:r>
          </w:p>
          <w:p w14:paraId="165C7B21">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①项目施工期噪声源主要来源于污水处理厂建设阶段的施工机械，如施工机械以及运</w:t>
            </w:r>
            <w:r>
              <w:rPr>
                <w:rFonts w:hint="eastAsia" w:cs="Times New Roman"/>
                <w:color w:val="000000" w:themeColor="text1"/>
                <w:kern w:val="0"/>
                <w:szCs w:val="21"/>
                <w:highlight w:val="none"/>
                <w:lang w:eastAsia="zh-CN"/>
                <w14:textFill>
                  <w14:solidFill>
                    <w14:schemeClr w14:val="tx1"/>
                  </w14:solidFill>
                </w14:textFill>
              </w:rPr>
              <w:t>输车</w:t>
            </w:r>
            <w:r>
              <w:rPr>
                <w:rFonts w:hint="default" w:ascii="Times New Roman" w:hAnsi="Times New Roman" w:eastAsia="宋体" w:cs="Times New Roman"/>
                <w:color w:val="000000" w:themeColor="text1"/>
                <w:kern w:val="0"/>
                <w:szCs w:val="21"/>
                <w:highlight w:val="none"/>
                <w14:textFill>
                  <w14:solidFill>
                    <w14:schemeClr w14:val="tx1"/>
                  </w14:solidFill>
                </w14:textFill>
              </w:rPr>
              <w:t>辆等产生的噪声，产生的噪声具有阶段性、临时性和不固定性，其声压级在70～95dB（A）。</w:t>
            </w:r>
          </w:p>
          <w:p w14:paraId="6B9B3255">
            <w:pPr>
              <w:pStyle w:val="20"/>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 xml:space="preserve">表4-1 </w:t>
            </w:r>
            <w:r>
              <w:rPr>
                <w:rFonts w:hint="eastAsia"/>
                <w:color w:val="000000" w:themeColor="text1"/>
                <w:highlight w:val="none"/>
                <w:lang w:val="en-US" w:eastAsia="zh-CN"/>
                <w14:textFill>
                  <w14:solidFill>
                    <w14:schemeClr w14:val="tx1"/>
                  </w14:solidFill>
                </w14:textFill>
              </w:rPr>
              <w:t xml:space="preserve"> </w:t>
            </w:r>
            <w:r>
              <w:rPr>
                <w:rFonts w:hint="default"/>
                <w:color w:val="000000" w:themeColor="text1"/>
                <w:highlight w:val="none"/>
                <w14:textFill>
                  <w14:solidFill>
                    <w14:schemeClr w14:val="tx1"/>
                  </w14:solidFill>
                </w14:textFill>
              </w:rPr>
              <w:t>污水处理厂施工期主要机械噪声源强表 （dB</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A</w:t>
            </w:r>
            <w:r>
              <w:rPr>
                <w:rFonts w:hint="eastAsia"/>
                <w:color w:val="000000" w:themeColor="text1"/>
                <w:highlight w:val="none"/>
                <w:lang w:eastAsia="zh-CN"/>
                <w14:textFill>
                  <w14:solidFill>
                    <w14:schemeClr w14:val="tx1"/>
                  </w14:solidFill>
                </w14:textFill>
              </w:rPr>
              <w:t>）</w:t>
            </w:r>
            <w:r>
              <w:rPr>
                <w:rFonts w:hint="default"/>
                <w:color w:val="000000" w:themeColor="text1"/>
                <w:highlight w:val="none"/>
                <w14:textFill>
                  <w14:solidFill>
                    <w14:schemeClr w14:val="tx1"/>
                  </w14:solidFill>
                </w14:textFill>
              </w:rPr>
              <w:t>）</w:t>
            </w:r>
          </w:p>
          <w:tbl>
            <w:tblPr>
              <w:tblStyle w:val="12"/>
              <w:tblW w:w="4998" w:type="pct"/>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278"/>
              <w:gridCol w:w="4687"/>
              <w:gridCol w:w="2380"/>
            </w:tblGrid>
            <w:tr w14:paraId="4FCA8D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66" w:type="pct"/>
                  <w:tcBorders>
                    <w:tl2br w:val="nil"/>
                    <w:tr2bl w:val="nil"/>
                  </w:tcBorders>
                  <w:noWrap w:val="0"/>
                  <w:vAlign w:val="center"/>
                </w:tcPr>
                <w:p w14:paraId="7BD375A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序号</w:t>
                  </w:r>
                </w:p>
              </w:tc>
              <w:tc>
                <w:tcPr>
                  <w:tcW w:w="2807" w:type="pct"/>
                  <w:tcBorders>
                    <w:tl2br w:val="nil"/>
                    <w:tr2bl w:val="nil"/>
                  </w:tcBorders>
                  <w:noWrap w:val="0"/>
                  <w:vAlign w:val="center"/>
                </w:tcPr>
                <w:p w14:paraId="0271164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施工机械名称</w:t>
                  </w:r>
                </w:p>
              </w:tc>
              <w:tc>
                <w:tcPr>
                  <w:tcW w:w="1425" w:type="pct"/>
                  <w:tcBorders>
                    <w:tl2br w:val="nil"/>
                    <w:tr2bl w:val="nil"/>
                  </w:tcBorders>
                  <w:noWrap w:val="0"/>
                  <w:vAlign w:val="center"/>
                </w:tcPr>
                <w:p w14:paraId="1EB52DA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噪声级</w:t>
                  </w:r>
                </w:p>
              </w:tc>
            </w:tr>
            <w:tr w14:paraId="6AA385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66" w:type="pct"/>
                  <w:tcBorders>
                    <w:tl2br w:val="nil"/>
                    <w:tr2bl w:val="nil"/>
                  </w:tcBorders>
                  <w:noWrap w:val="0"/>
                  <w:vAlign w:val="top"/>
                </w:tcPr>
                <w:p w14:paraId="4327069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w:t>
                  </w:r>
                </w:p>
              </w:tc>
              <w:tc>
                <w:tcPr>
                  <w:tcW w:w="2807" w:type="pct"/>
                  <w:tcBorders>
                    <w:tl2br w:val="nil"/>
                    <w:tr2bl w:val="nil"/>
                  </w:tcBorders>
                  <w:noWrap w:val="0"/>
                  <w:vAlign w:val="center"/>
                </w:tcPr>
                <w:p w14:paraId="330FE7F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推土机</w:t>
                  </w:r>
                </w:p>
              </w:tc>
              <w:tc>
                <w:tcPr>
                  <w:tcW w:w="1425" w:type="pct"/>
                  <w:tcBorders>
                    <w:tl2br w:val="nil"/>
                    <w:tr2bl w:val="nil"/>
                  </w:tcBorders>
                  <w:noWrap w:val="0"/>
                  <w:vAlign w:val="top"/>
                </w:tcPr>
                <w:p w14:paraId="0ECADFA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86</w:t>
                  </w:r>
                </w:p>
              </w:tc>
            </w:tr>
            <w:tr w14:paraId="011BCA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66" w:type="pct"/>
                  <w:tcBorders>
                    <w:tl2br w:val="nil"/>
                    <w:tr2bl w:val="nil"/>
                  </w:tcBorders>
                  <w:noWrap w:val="0"/>
                  <w:vAlign w:val="top"/>
                </w:tcPr>
                <w:p w14:paraId="05550F6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2807" w:type="pct"/>
                  <w:tcBorders>
                    <w:tl2br w:val="nil"/>
                    <w:tr2bl w:val="nil"/>
                  </w:tcBorders>
                  <w:noWrap w:val="0"/>
                  <w:vAlign w:val="center"/>
                </w:tcPr>
                <w:p w14:paraId="4C0FBB4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装载机</w:t>
                  </w:r>
                </w:p>
              </w:tc>
              <w:tc>
                <w:tcPr>
                  <w:tcW w:w="1425" w:type="pct"/>
                  <w:tcBorders>
                    <w:tl2br w:val="nil"/>
                    <w:tr2bl w:val="nil"/>
                  </w:tcBorders>
                  <w:noWrap w:val="0"/>
                  <w:vAlign w:val="top"/>
                </w:tcPr>
                <w:p w14:paraId="20684ED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93</w:t>
                  </w:r>
                </w:p>
              </w:tc>
            </w:tr>
            <w:tr w14:paraId="54568E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66" w:type="pct"/>
                  <w:tcBorders>
                    <w:tl2br w:val="nil"/>
                    <w:tr2bl w:val="nil"/>
                  </w:tcBorders>
                  <w:noWrap w:val="0"/>
                  <w:vAlign w:val="top"/>
                </w:tcPr>
                <w:p w14:paraId="764FBBA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2807" w:type="pct"/>
                  <w:tcBorders>
                    <w:tl2br w:val="nil"/>
                    <w:tr2bl w:val="nil"/>
                  </w:tcBorders>
                  <w:noWrap w:val="0"/>
                  <w:vAlign w:val="center"/>
                </w:tcPr>
                <w:p w14:paraId="3C1A1CF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挖掘机</w:t>
                  </w:r>
                </w:p>
              </w:tc>
              <w:tc>
                <w:tcPr>
                  <w:tcW w:w="1425" w:type="pct"/>
                  <w:tcBorders>
                    <w:tl2br w:val="nil"/>
                    <w:tr2bl w:val="nil"/>
                  </w:tcBorders>
                  <w:noWrap w:val="0"/>
                  <w:vAlign w:val="top"/>
                </w:tcPr>
                <w:p w14:paraId="358AA56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89</w:t>
                  </w:r>
                </w:p>
              </w:tc>
            </w:tr>
            <w:tr w14:paraId="79D01E0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66" w:type="pct"/>
                  <w:tcBorders>
                    <w:tl2br w:val="nil"/>
                    <w:tr2bl w:val="nil"/>
                  </w:tcBorders>
                  <w:noWrap w:val="0"/>
                  <w:vAlign w:val="top"/>
                </w:tcPr>
                <w:p w14:paraId="1913EB1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2807" w:type="pct"/>
                  <w:tcBorders>
                    <w:tl2br w:val="nil"/>
                    <w:tr2bl w:val="nil"/>
                  </w:tcBorders>
                  <w:noWrap w:val="0"/>
                  <w:vAlign w:val="center"/>
                </w:tcPr>
                <w:p w14:paraId="6B36BDF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振捣器</w:t>
                  </w:r>
                </w:p>
              </w:tc>
              <w:tc>
                <w:tcPr>
                  <w:tcW w:w="1425" w:type="pct"/>
                  <w:tcBorders>
                    <w:tl2br w:val="nil"/>
                    <w:tr2bl w:val="nil"/>
                  </w:tcBorders>
                  <w:noWrap w:val="0"/>
                  <w:vAlign w:val="top"/>
                </w:tcPr>
                <w:p w14:paraId="55F3845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90</w:t>
                  </w:r>
                </w:p>
              </w:tc>
            </w:tr>
            <w:tr w14:paraId="7E3E03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66" w:type="pct"/>
                  <w:tcBorders>
                    <w:tl2br w:val="nil"/>
                    <w:tr2bl w:val="nil"/>
                  </w:tcBorders>
                  <w:noWrap w:val="0"/>
                  <w:vAlign w:val="top"/>
                </w:tcPr>
                <w:p w14:paraId="05AFF24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2807" w:type="pct"/>
                  <w:tcBorders>
                    <w:tl2br w:val="nil"/>
                    <w:tr2bl w:val="nil"/>
                  </w:tcBorders>
                  <w:noWrap w:val="0"/>
                  <w:vAlign w:val="center"/>
                </w:tcPr>
                <w:p w14:paraId="1DB190C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混凝土搅拌机</w:t>
                  </w:r>
                </w:p>
              </w:tc>
              <w:tc>
                <w:tcPr>
                  <w:tcW w:w="1425" w:type="pct"/>
                  <w:tcBorders>
                    <w:tl2br w:val="nil"/>
                    <w:tr2bl w:val="nil"/>
                  </w:tcBorders>
                  <w:noWrap w:val="0"/>
                  <w:vAlign w:val="top"/>
                </w:tcPr>
                <w:p w14:paraId="587432D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95</w:t>
                  </w:r>
                </w:p>
              </w:tc>
            </w:tr>
            <w:tr w14:paraId="7717F1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66" w:type="pct"/>
                  <w:tcBorders>
                    <w:tl2br w:val="nil"/>
                    <w:tr2bl w:val="nil"/>
                  </w:tcBorders>
                  <w:noWrap w:val="0"/>
                  <w:vAlign w:val="top"/>
                </w:tcPr>
                <w:p w14:paraId="3F72A23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2807" w:type="pct"/>
                  <w:tcBorders>
                    <w:tl2br w:val="nil"/>
                    <w:tr2bl w:val="nil"/>
                  </w:tcBorders>
                  <w:noWrap w:val="0"/>
                  <w:vAlign w:val="center"/>
                </w:tcPr>
                <w:p w14:paraId="063FFF5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切割机</w:t>
                  </w:r>
                </w:p>
              </w:tc>
              <w:tc>
                <w:tcPr>
                  <w:tcW w:w="1425" w:type="pct"/>
                  <w:tcBorders>
                    <w:tl2br w:val="nil"/>
                    <w:tr2bl w:val="nil"/>
                  </w:tcBorders>
                  <w:noWrap w:val="0"/>
                  <w:vAlign w:val="top"/>
                </w:tcPr>
                <w:p w14:paraId="6122F4E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90</w:t>
                  </w:r>
                </w:p>
              </w:tc>
            </w:tr>
            <w:tr w14:paraId="08F749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66" w:type="pct"/>
                  <w:tcBorders>
                    <w:tl2br w:val="nil"/>
                    <w:tr2bl w:val="nil"/>
                  </w:tcBorders>
                  <w:noWrap w:val="0"/>
                  <w:vAlign w:val="top"/>
                </w:tcPr>
                <w:p w14:paraId="0DA67BD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c>
                <w:tcPr>
                  <w:tcW w:w="2807" w:type="pct"/>
                  <w:tcBorders>
                    <w:tl2br w:val="nil"/>
                    <w:tr2bl w:val="nil"/>
                  </w:tcBorders>
                  <w:noWrap w:val="0"/>
                  <w:vAlign w:val="center"/>
                </w:tcPr>
                <w:p w14:paraId="23B5560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载重汽车</w:t>
                  </w:r>
                </w:p>
              </w:tc>
              <w:tc>
                <w:tcPr>
                  <w:tcW w:w="1425" w:type="pct"/>
                  <w:tcBorders>
                    <w:tl2br w:val="nil"/>
                    <w:tr2bl w:val="nil"/>
                  </w:tcBorders>
                  <w:noWrap w:val="0"/>
                  <w:vAlign w:val="top"/>
                </w:tcPr>
                <w:p w14:paraId="491B549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83</w:t>
                  </w:r>
                </w:p>
              </w:tc>
            </w:tr>
            <w:tr w14:paraId="4620E0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66" w:type="pct"/>
                  <w:tcBorders>
                    <w:tl2br w:val="nil"/>
                    <w:tr2bl w:val="nil"/>
                  </w:tcBorders>
                  <w:noWrap w:val="0"/>
                  <w:vAlign w:val="center"/>
                </w:tcPr>
                <w:p w14:paraId="39EB4EA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2807" w:type="pct"/>
                  <w:tcBorders>
                    <w:tl2br w:val="nil"/>
                    <w:tr2bl w:val="nil"/>
                  </w:tcBorders>
                  <w:noWrap w:val="0"/>
                  <w:vAlign w:val="center"/>
                </w:tcPr>
                <w:p w14:paraId="35E4430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交通噪声</w:t>
                  </w:r>
                </w:p>
              </w:tc>
              <w:tc>
                <w:tcPr>
                  <w:tcW w:w="1425" w:type="pct"/>
                  <w:tcBorders>
                    <w:tl2br w:val="nil"/>
                    <w:tr2bl w:val="nil"/>
                  </w:tcBorders>
                  <w:noWrap w:val="0"/>
                  <w:vAlign w:val="center"/>
                </w:tcPr>
                <w:p w14:paraId="14BDF24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75</w:t>
                  </w:r>
                </w:p>
              </w:tc>
            </w:tr>
            <w:tr w14:paraId="3A169A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66" w:type="pct"/>
                  <w:tcBorders>
                    <w:tl2br w:val="nil"/>
                    <w:tr2bl w:val="nil"/>
                  </w:tcBorders>
                  <w:noWrap w:val="0"/>
                  <w:vAlign w:val="top"/>
                </w:tcPr>
                <w:p w14:paraId="4593C49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w:t>
                  </w:r>
                </w:p>
              </w:tc>
              <w:tc>
                <w:tcPr>
                  <w:tcW w:w="2807" w:type="pct"/>
                  <w:tcBorders>
                    <w:tl2br w:val="nil"/>
                    <w:tr2bl w:val="nil"/>
                  </w:tcBorders>
                  <w:noWrap w:val="0"/>
                  <w:vAlign w:val="center"/>
                </w:tcPr>
                <w:p w14:paraId="670C329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人工挖掘</w:t>
                  </w:r>
                </w:p>
              </w:tc>
              <w:tc>
                <w:tcPr>
                  <w:tcW w:w="1425" w:type="pct"/>
                  <w:tcBorders>
                    <w:tl2br w:val="nil"/>
                    <w:tr2bl w:val="nil"/>
                  </w:tcBorders>
                  <w:noWrap w:val="0"/>
                  <w:vAlign w:val="top"/>
                </w:tcPr>
                <w:p w14:paraId="52C7479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70</w:t>
                  </w:r>
                </w:p>
              </w:tc>
            </w:tr>
            <w:tr w14:paraId="0D7C79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66" w:type="pct"/>
                  <w:tcBorders>
                    <w:tl2br w:val="nil"/>
                    <w:tr2bl w:val="nil"/>
                  </w:tcBorders>
                  <w:noWrap w:val="0"/>
                  <w:vAlign w:val="center"/>
                </w:tcPr>
                <w:p w14:paraId="7465B0E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2807" w:type="pct"/>
                  <w:tcBorders>
                    <w:tl2br w:val="nil"/>
                    <w:tr2bl w:val="nil"/>
                  </w:tcBorders>
                  <w:noWrap w:val="0"/>
                  <w:vAlign w:val="center"/>
                </w:tcPr>
                <w:p w14:paraId="4F205CA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混凝土输送泵</w:t>
                  </w:r>
                </w:p>
              </w:tc>
              <w:tc>
                <w:tcPr>
                  <w:tcW w:w="1425" w:type="pct"/>
                  <w:tcBorders>
                    <w:tl2br w:val="nil"/>
                    <w:tr2bl w:val="nil"/>
                  </w:tcBorders>
                  <w:noWrap w:val="0"/>
                  <w:vAlign w:val="center"/>
                </w:tcPr>
                <w:p w14:paraId="2A7FD60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80</w:t>
                  </w:r>
                </w:p>
              </w:tc>
            </w:tr>
          </w:tbl>
          <w:p w14:paraId="553C84F3">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p>
          <w:p w14:paraId="13BCC87B">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2</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声环境影响预测</w:t>
            </w:r>
          </w:p>
          <w:p w14:paraId="6C122242">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考虑到本工程作业机械的种类、台数、具体分布情况随着建设内容以及时间段的变化而变化，因此只能在假设的典型情况下进行预测，所有施工设备噪声源均看作固定点声源。采用点源衰减模式，预测声源至受声点的几何发散衰减，不考虑声屏障、空气吸收的衰减。预测公式如下：</w:t>
            </w:r>
          </w:p>
          <w:p w14:paraId="2397240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pacing w:val="-10"/>
                <w:szCs w:val="2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514475" cy="333375"/>
                  <wp:effectExtent l="0" t="0" r="9525" b="9525"/>
                  <wp:docPr id="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pic:cNvPicPr>
                            <a:picLocks noChangeAspect="1"/>
                          </pic:cNvPicPr>
                        </pic:nvPicPr>
                        <pic:blipFill>
                          <a:blip r:embed="rId41"/>
                          <a:stretch>
                            <a:fillRect/>
                          </a:stretch>
                        </pic:blipFill>
                        <pic:spPr>
                          <a:xfrm>
                            <a:off x="0" y="0"/>
                            <a:ext cx="1514475" cy="333375"/>
                          </a:xfrm>
                          <a:prstGeom prst="rect">
                            <a:avLst/>
                          </a:prstGeom>
                          <a:noFill/>
                          <a:ln>
                            <a:noFill/>
                          </a:ln>
                        </pic:spPr>
                      </pic:pic>
                    </a:graphicData>
                  </a:graphic>
                </wp:inline>
              </w:drawing>
            </w:r>
          </w:p>
          <w:p w14:paraId="4375D377">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式中：Lp----距声源r处的A声压级，dB（A）；</w:t>
            </w:r>
          </w:p>
          <w:p w14:paraId="073700E7">
            <w:pPr>
              <w:keepNext w:val="0"/>
              <w:keepLines w:val="0"/>
              <w:pageBreakBefore w:val="0"/>
              <w:widowControl w:val="0"/>
              <w:kinsoku/>
              <w:wordWrap/>
              <w:overflowPunct/>
              <w:topLinePunct w:val="0"/>
              <w:autoSpaceDE/>
              <w:autoSpaceDN/>
              <w:bidi w:val="0"/>
              <w:adjustRightInd w:val="0"/>
              <w:snapToGrid w:val="0"/>
              <w:ind w:firstLine="1200" w:firstLineChars="5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Lp</w:t>
            </w:r>
            <w:r>
              <w:rPr>
                <w:rFonts w:hint="default" w:ascii="Times New Roman" w:hAnsi="Times New Roman" w:eastAsia="宋体" w:cs="Times New Roman"/>
                <w:color w:val="000000" w:themeColor="text1"/>
                <w:kern w:val="0"/>
                <w:szCs w:val="21"/>
                <w:highlight w:val="none"/>
                <w:vertAlign w:val="subscript"/>
                <w:lang w:eastAsia="zh-CN"/>
                <w14:textFill>
                  <w14:solidFill>
                    <w14:schemeClr w14:val="tx1"/>
                  </w14:solidFill>
                </w14:textFill>
              </w:rPr>
              <w:t>0</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----距声源r</w:t>
            </w:r>
            <w:r>
              <w:rPr>
                <w:rFonts w:hint="default" w:ascii="Times New Roman" w:hAnsi="Times New Roman" w:eastAsia="宋体" w:cs="Times New Roman"/>
                <w:color w:val="000000" w:themeColor="text1"/>
                <w:kern w:val="0"/>
                <w:szCs w:val="21"/>
                <w:highlight w:val="none"/>
                <w:vertAlign w:val="subscript"/>
                <w:lang w:eastAsia="zh-CN"/>
                <w14:textFill>
                  <w14:solidFill>
                    <w14:schemeClr w14:val="tx1"/>
                  </w14:solidFill>
                </w14:textFill>
              </w:rPr>
              <w:t>0</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处的A声压级，dB（A）；</w:t>
            </w:r>
          </w:p>
          <w:p w14:paraId="243C462F">
            <w:pPr>
              <w:keepNext w:val="0"/>
              <w:keepLines w:val="0"/>
              <w:pageBreakBefore w:val="0"/>
              <w:widowControl w:val="0"/>
              <w:kinsoku/>
              <w:wordWrap/>
              <w:overflowPunct/>
              <w:topLinePunct w:val="0"/>
              <w:autoSpaceDE/>
              <w:autoSpaceDN/>
              <w:bidi w:val="0"/>
              <w:adjustRightInd w:val="0"/>
              <w:snapToGrid w:val="0"/>
              <w:ind w:firstLine="1200" w:firstLineChars="5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r----预测点与声源的距离，m；</w:t>
            </w:r>
          </w:p>
          <w:p w14:paraId="40D9A000">
            <w:pPr>
              <w:keepNext w:val="0"/>
              <w:keepLines w:val="0"/>
              <w:pageBreakBefore w:val="0"/>
              <w:widowControl w:val="0"/>
              <w:kinsoku/>
              <w:wordWrap/>
              <w:overflowPunct/>
              <w:topLinePunct w:val="0"/>
              <w:autoSpaceDE/>
              <w:autoSpaceDN/>
              <w:bidi w:val="0"/>
              <w:adjustRightInd w:val="0"/>
              <w:snapToGrid w:val="0"/>
              <w:ind w:firstLine="1200" w:firstLineChars="5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r</w:t>
            </w:r>
            <w:r>
              <w:rPr>
                <w:rFonts w:hint="default" w:ascii="Times New Roman" w:hAnsi="Times New Roman" w:eastAsia="宋体" w:cs="Times New Roman"/>
                <w:color w:val="000000" w:themeColor="text1"/>
                <w:kern w:val="0"/>
                <w:szCs w:val="21"/>
                <w:highlight w:val="none"/>
                <w:vertAlign w:val="subscript"/>
                <w:lang w:eastAsia="zh-CN"/>
                <w14:textFill>
                  <w14:solidFill>
                    <w14:schemeClr w14:val="tx1"/>
                  </w14:solidFill>
                </w14:textFill>
              </w:rPr>
              <w:t>0</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---监测设备噪声时的距离，m；</w:t>
            </w:r>
          </w:p>
          <w:p w14:paraId="40256D46">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各施工机械噪声衰减预测结果见表4-2。</w:t>
            </w:r>
          </w:p>
          <w:p w14:paraId="3EBADFF3">
            <w:pPr>
              <w:pStyle w:val="20"/>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表4-2</w:t>
            </w:r>
            <w:r>
              <w:rPr>
                <w:rFonts w:hint="eastAsia"/>
                <w:color w:val="000000" w:themeColor="text1"/>
                <w:highlight w:val="none"/>
                <w:lang w:val="en-US" w:eastAsia="zh-CN"/>
                <w14:textFill>
                  <w14:solidFill>
                    <w14:schemeClr w14:val="tx1"/>
                  </w14:solidFill>
                </w14:textFill>
              </w:rPr>
              <w:t xml:space="preserve"> </w:t>
            </w:r>
            <w:r>
              <w:rPr>
                <w:rFonts w:hint="default"/>
                <w:color w:val="000000" w:themeColor="text1"/>
                <w:highlight w:val="none"/>
                <w14:textFill>
                  <w14:solidFill>
                    <w14:schemeClr w14:val="tx1"/>
                  </w14:solidFill>
                </w14:textFill>
              </w:rPr>
              <w:t xml:space="preserve"> 各主要施工机械在不同距离处的贡献值</w:t>
            </w:r>
          </w:p>
          <w:tbl>
            <w:tblPr>
              <w:tblStyle w:val="12"/>
              <w:tblW w:w="4998" w:type="pct"/>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508"/>
              <w:gridCol w:w="1752"/>
              <w:gridCol w:w="684"/>
              <w:gridCol w:w="678"/>
              <w:gridCol w:w="684"/>
              <w:gridCol w:w="818"/>
              <w:gridCol w:w="796"/>
              <w:gridCol w:w="805"/>
              <w:gridCol w:w="818"/>
              <w:gridCol w:w="801"/>
            </w:tblGrid>
            <w:tr w14:paraId="41499A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04" w:type="pct"/>
                  <w:vMerge w:val="restart"/>
                  <w:tcBorders>
                    <w:tl2br w:val="nil"/>
                    <w:tr2bl w:val="nil"/>
                  </w:tcBorders>
                  <w:noWrap w:val="0"/>
                  <w:vAlign w:val="center"/>
                </w:tcPr>
                <w:p w14:paraId="3E5CC84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序号</w:t>
                  </w:r>
                </w:p>
              </w:tc>
              <w:tc>
                <w:tcPr>
                  <w:tcW w:w="1048" w:type="pct"/>
                  <w:vMerge w:val="restart"/>
                  <w:tcBorders>
                    <w:tl2br w:val="nil"/>
                    <w:tr2bl w:val="nil"/>
                  </w:tcBorders>
                  <w:noWrap w:val="0"/>
                  <w:vAlign w:val="center"/>
                </w:tcPr>
                <w:p w14:paraId="6CF39CF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设备名称</w:t>
                  </w:r>
                </w:p>
              </w:tc>
              <w:tc>
                <w:tcPr>
                  <w:tcW w:w="2675" w:type="pct"/>
                  <w:gridSpan w:val="6"/>
                  <w:tcBorders>
                    <w:tl2br w:val="nil"/>
                    <w:tr2bl w:val="nil"/>
                  </w:tcBorders>
                  <w:noWrap w:val="0"/>
                  <w:vAlign w:val="center"/>
                </w:tcPr>
                <w:p w14:paraId="16F5EFA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不同距离处噪声贡献值</w:t>
                  </w:r>
                  <w:r>
                    <w:rPr>
                      <w:rFonts w:hint="eastAsia" w:cs="Times New Roman"/>
                      <w:b w:val="0"/>
                      <w:bCs w:val="0"/>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dB</w:t>
                  </w:r>
                  <w:r>
                    <w:rPr>
                      <w:rFonts w:hint="eastAsia" w:cs="Times New Roman"/>
                      <w:b w:val="0"/>
                      <w:bCs w:val="0"/>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A</w:t>
                  </w:r>
                  <w:r>
                    <w:rPr>
                      <w:rFonts w:hint="eastAsia" w:cs="Times New Roman"/>
                      <w:b w:val="0"/>
                      <w:bCs w:val="0"/>
                      <w:color w:val="000000" w:themeColor="text1"/>
                      <w:sz w:val="21"/>
                      <w:szCs w:val="21"/>
                      <w:highlight w:val="none"/>
                      <w:lang w:val="en-US" w:eastAsia="zh-CN" w:bidi="ar"/>
                      <w14:textFill>
                        <w14:solidFill>
                          <w14:schemeClr w14:val="tx1"/>
                        </w14:solidFill>
                      </w14:textFill>
                    </w:rPr>
                    <w:t>））</w:t>
                  </w:r>
                </w:p>
              </w:tc>
              <w:tc>
                <w:tcPr>
                  <w:tcW w:w="970" w:type="pct"/>
                  <w:gridSpan w:val="2"/>
                  <w:tcBorders>
                    <w:tl2br w:val="nil"/>
                    <w:tr2bl w:val="nil"/>
                  </w:tcBorders>
                  <w:noWrap w:val="0"/>
                  <w:vAlign w:val="center"/>
                </w:tcPr>
                <w:p w14:paraId="7D689A0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噪声排放限值</w:t>
                  </w:r>
                </w:p>
              </w:tc>
            </w:tr>
            <w:tr w14:paraId="06D53D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04" w:type="pct"/>
                  <w:vMerge w:val="continue"/>
                  <w:tcBorders>
                    <w:tl2br w:val="nil"/>
                    <w:tr2bl w:val="nil"/>
                  </w:tcBorders>
                  <w:noWrap w:val="0"/>
                  <w:vAlign w:val="center"/>
                </w:tcPr>
                <w:p w14:paraId="6352F111">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c>
                <w:tcPr>
                  <w:tcW w:w="1048" w:type="pct"/>
                  <w:vMerge w:val="continue"/>
                  <w:tcBorders>
                    <w:tl2br w:val="nil"/>
                    <w:tr2bl w:val="nil"/>
                  </w:tcBorders>
                  <w:noWrap w:val="0"/>
                  <w:vAlign w:val="center"/>
                </w:tcPr>
                <w:p w14:paraId="7E375FB2">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c>
                <w:tcPr>
                  <w:tcW w:w="410" w:type="pct"/>
                  <w:tcBorders>
                    <w:tl2br w:val="nil"/>
                    <w:tr2bl w:val="nil"/>
                  </w:tcBorders>
                  <w:noWrap w:val="0"/>
                  <w:vAlign w:val="center"/>
                </w:tcPr>
                <w:p w14:paraId="7B14F63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10m</w:t>
                  </w:r>
                </w:p>
              </w:tc>
              <w:tc>
                <w:tcPr>
                  <w:tcW w:w="406" w:type="pct"/>
                  <w:tcBorders>
                    <w:tl2br w:val="nil"/>
                    <w:tr2bl w:val="nil"/>
                  </w:tcBorders>
                  <w:noWrap w:val="0"/>
                  <w:vAlign w:val="center"/>
                </w:tcPr>
                <w:p w14:paraId="26094A2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30m</w:t>
                  </w:r>
                </w:p>
              </w:tc>
              <w:tc>
                <w:tcPr>
                  <w:tcW w:w="410" w:type="pct"/>
                  <w:tcBorders>
                    <w:tl2br w:val="nil"/>
                    <w:tr2bl w:val="nil"/>
                  </w:tcBorders>
                  <w:noWrap w:val="0"/>
                  <w:vAlign w:val="center"/>
                </w:tcPr>
                <w:p w14:paraId="6D30EE2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60m</w:t>
                  </w:r>
                </w:p>
              </w:tc>
              <w:tc>
                <w:tcPr>
                  <w:tcW w:w="490" w:type="pct"/>
                  <w:tcBorders>
                    <w:tl2br w:val="nil"/>
                    <w:tr2bl w:val="nil"/>
                  </w:tcBorders>
                  <w:noWrap w:val="0"/>
                  <w:vAlign w:val="center"/>
                </w:tcPr>
                <w:p w14:paraId="5EE0E12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100m</w:t>
                  </w:r>
                </w:p>
              </w:tc>
              <w:tc>
                <w:tcPr>
                  <w:tcW w:w="477" w:type="pct"/>
                  <w:tcBorders>
                    <w:tl2br w:val="nil"/>
                    <w:tr2bl w:val="nil"/>
                  </w:tcBorders>
                  <w:noWrap w:val="0"/>
                  <w:vAlign w:val="center"/>
                </w:tcPr>
                <w:p w14:paraId="3E182DC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150m</w:t>
                  </w:r>
                </w:p>
              </w:tc>
              <w:tc>
                <w:tcPr>
                  <w:tcW w:w="482" w:type="pct"/>
                  <w:tcBorders>
                    <w:tl2br w:val="nil"/>
                    <w:tr2bl w:val="nil"/>
                  </w:tcBorders>
                  <w:noWrap w:val="0"/>
                  <w:vAlign w:val="center"/>
                </w:tcPr>
                <w:p w14:paraId="3DEB536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200m</w:t>
                  </w:r>
                </w:p>
              </w:tc>
              <w:tc>
                <w:tcPr>
                  <w:tcW w:w="490" w:type="pct"/>
                  <w:tcBorders>
                    <w:tl2br w:val="nil"/>
                    <w:tr2bl w:val="nil"/>
                  </w:tcBorders>
                  <w:noWrap w:val="0"/>
                  <w:vAlign w:val="center"/>
                </w:tcPr>
                <w:p w14:paraId="2B64462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昼间dB</w:t>
                  </w:r>
                  <w:r>
                    <w:rPr>
                      <w:rFonts w:hint="eastAsia" w:cs="Times New Roman"/>
                      <w:b w:val="0"/>
                      <w:bCs w:val="0"/>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A</w:t>
                  </w:r>
                  <w:r>
                    <w:rPr>
                      <w:rFonts w:hint="eastAsia" w:cs="Times New Roman"/>
                      <w:b w:val="0"/>
                      <w:bCs w:val="0"/>
                      <w:color w:val="000000" w:themeColor="text1"/>
                      <w:sz w:val="21"/>
                      <w:szCs w:val="21"/>
                      <w:highlight w:val="none"/>
                      <w:lang w:val="en-US" w:eastAsia="zh-CN" w:bidi="ar"/>
                      <w14:textFill>
                        <w14:solidFill>
                          <w14:schemeClr w14:val="tx1"/>
                        </w14:solidFill>
                      </w14:textFill>
                    </w:rPr>
                    <w:t>）</w:t>
                  </w:r>
                </w:p>
              </w:tc>
              <w:tc>
                <w:tcPr>
                  <w:tcW w:w="480" w:type="pct"/>
                  <w:tcBorders>
                    <w:tl2br w:val="nil"/>
                    <w:tr2bl w:val="nil"/>
                  </w:tcBorders>
                  <w:noWrap w:val="0"/>
                  <w:vAlign w:val="center"/>
                </w:tcPr>
                <w:p w14:paraId="5116D96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夜间dB</w:t>
                  </w:r>
                  <w:r>
                    <w:rPr>
                      <w:rFonts w:hint="eastAsia" w:cs="Times New Roman"/>
                      <w:b w:val="0"/>
                      <w:bCs w:val="0"/>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A</w:t>
                  </w:r>
                  <w:r>
                    <w:rPr>
                      <w:rFonts w:hint="eastAsia" w:cs="Times New Roman"/>
                      <w:b w:val="0"/>
                      <w:bCs w:val="0"/>
                      <w:color w:val="000000" w:themeColor="text1"/>
                      <w:sz w:val="21"/>
                      <w:szCs w:val="21"/>
                      <w:highlight w:val="none"/>
                      <w:lang w:val="en-US" w:eastAsia="zh-CN" w:bidi="ar"/>
                      <w14:textFill>
                        <w14:solidFill>
                          <w14:schemeClr w14:val="tx1"/>
                        </w14:solidFill>
                      </w14:textFill>
                    </w:rPr>
                    <w:t>）</w:t>
                  </w:r>
                </w:p>
              </w:tc>
            </w:tr>
            <w:tr w14:paraId="6891F2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04" w:type="pct"/>
                  <w:tcBorders>
                    <w:tl2br w:val="nil"/>
                    <w:tr2bl w:val="nil"/>
                  </w:tcBorders>
                  <w:noWrap w:val="0"/>
                  <w:vAlign w:val="center"/>
                </w:tcPr>
                <w:p w14:paraId="7EC1A66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1</w:t>
                  </w:r>
                </w:p>
              </w:tc>
              <w:tc>
                <w:tcPr>
                  <w:tcW w:w="1048" w:type="pct"/>
                  <w:tcBorders>
                    <w:tl2br w:val="nil"/>
                    <w:tr2bl w:val="nil"/>
                  </w:tcBorders>
                  <w:noWrap w:val="0"/>
                  <w:vAlign w:val="center"/>
                </w:tcPr>
                <w:p w14:paraId="3C8AFB8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推土机</w:t>
                  </w:r>
                </w:p>
              </w:tc>
              <w:tc>
                <w:tcPr>
                  <w:tcW w:w="410" w:type="pct"/>
                  <w:tcBorders>
                    <w:tl2br w:val="nil"/>
                    <w:tr2bl w:val="nil"/>
                  </w:tcBorders>
                  <w:noWrap w:val="0"/>
                  <w:vAlign w:val="center"/>
                </w:tcPr>
                <w:p w14:paraId="599609C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66</w:t>
                  </w:r>
                </w:p>
              </w:tc>
              <w:tc>
                <w:tcPr>
                  <w:tcW w:w="406" w:type="pct"/>
                  <w:tcBorders>
                    <w:tl2br w:val="nil"/>
                    <w:tr2bl w:val="nil"/>
                  </w:tcBorders>
                  <w:noWrap w:val="0"/>
                  <w:vAlign w:val="center"/>
                </w:tcPr>
                <w:p w14:paraId="519C5DB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56</w:t>
                  </w:r>
                </w:p>
              </w:tc>
              <w:tc>
                <w:tcPr>
                  <w:tcW w:w="410" w:type="pct"/>
                  <w:tcBorders>
                    <w:tl2br w:val="nil"/>
                    <w:tr2bl w:val="nil"/>
                  </w:tcBorders>
                  <w:noWrap w:val="0"/>
                  <w:vAlign w:val="center"/>
                </w:tcPr>
                <w:p w14:paraId="76C7D0F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50</w:t>
                  </w:r>
                </w:p>
              </w:tc>
              <w:tc>
                <w:tcPr>
                  <w:tcW w:w="490" w:type="pct"/>
                  <w:tcBorders>
                    <w:tl2br w:val="nil"/>
                    <w:tr2bl w:val="nil"/>
                  </w:tcBorders>
                  <w:noWrap w:val="0"/>
                  <w:vAlign w:val="center"/>
                </w:tcPr>
                <w:p w14:paraId="1419FF6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46</w:t>
                  </w:r>
                </w:p>
              </w:tc>
              <w:tc>
                <w:tcPr>
                  <w:tcW w:w="477" w:type="pct"/>
                  <w:tcBorders>
                    <w:tl2br w:val="nil"/>
                    <w:tr2bl w:val="nil"/>
                  </w:tcBorders>
                  <w:noWrap w:val="0"/>
                  <w:vAlign w:val="center"/>
                </w:tcPr>
                <w:p w14:paraId="6563719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w:t>
                  </w:r>
                </w:p>
              </w:tc>
              <w:tc>
                <w:tcPr>
                  <w:tcW w:w="482" w:type="pct"/>
                  <w:tcBorders>
                    <w:tl2br w:val="nil"/>
                    <w:tr2bl w:val="nil"/>
                  </w:tcBorders>
                  <w:noWrap w:val="0"/>
                  <w:vAlign w:val="center"/>
                </w:tcPr>
                <w:p w14:paraId="6DFF1F9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40</w:t>
                  </w:r>
                </w:p>
              </w:tc>
              <w:tc>
                <w:tcPr>
                  <w:tcW w:w="490" w:type="pct"/>
                  <w:vMerge w:val="restart"/>
                  <w:tcBorders>
                    <w:tl2br w:val="nil"/>
                    <w:tr2bl w:val="nil"/>
                  </w:tcBorders>
                  <w:noWrap w:val="0"/>
                  <w:vAlign w:val="center"/>
                </w:tcPr>
                <w:p w14:paraId="3D3810C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≤70</w:t>
                  </w:r>
                </w:p>
              </w:tc>
              <w:tc>
                <w:tcPr>
                  <w:tcW w:w="480" w:type="pct"/>
                  <w:vMerge w:val="restart"/>
                  <w:tcBorders>
                    <w:tl2br w:val="nil"/>
                    <w:tr2bl w:val="nil"/>
                  </w:tcBorders>
                  <w:noWrap w:val="0"/>
                  <w:vAlign w:val="center"/>
                </w:tcPr>
                <w:p w14:paraId="2F973F7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≤55</w:t>
                  </w:r>
                </w:p>
              </w:tc>
            </w:tr>
            <w:tr w14:paraId="4B2FBD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04" w:type="pct"/>
                  <w:tcBorders>
                    <w:tl2br w:val="nil"/>
                    <w:tr2bl w:val="nil"/>
                  </w:tcBorders>
                  <w:noWrap w:val="0"/>
                  <w:vAlign w:val="center"/>
                </w:tcPr>
                <w:p w14:paraId="1FEC6A6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w:t>
                  </w:r>
                </w:p>
              </w:tc>
              <w:tc>
                <w:tcPr>
                  <w:tcW w:w="1048" w:type="pct"/>
                  <w:tcBorders>
                    <w:tl2br w:val="nil"/>
                    <w:tr2bl w:val="nil"/>
                  </w:tcBorders>
                  <w:noWrap w:val="0"/>
                  <w:vAlign w:val="center"/>
                </w:tcPr>
                <w:p w14:paraId="1156F03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装载机</w:t>
                  </w:r>
                </w:p>
              </w:tc>
              <w:tc>
                <w:tcPr>
                  <w:tcW w:w="410" w:type="pct"/>
                  <w:tcBorders>
                    <w:tl2br w:val="nil"/>
                    <w:tr2bl w:val="nil"/>
                  </w:tcBorders>
                  <w:noWrap w:val="0"/>
                  <w:vAlign w:val="center"/>
                </w:tcPr>
                <w:p w14:paraId="0A910BF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71</w:t>
                  </w:r>
                </w:p>
              </w:tc>
              <w:tc>
                <w:tcPr>
                  <w:tcW w:w="406" w:type="pct"/>
                  <w:tcBorders>
                    <w:tl2br w:val="nil"/>
                    <w:tr2bl w:val="nil"/>
                  </w:tcBorders>
                  <w:noWrap w:val="0"/>
                  <w:vAlign w:val="center"/>
                </w:tcPr>
                <w:p w14:paraId="78EFF6B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63</w:t>
                  </w:r>
                </w:p>
              </w:tc>
              <w:tc>
                <w:tcPr>
                  <w:tcW w:w="410" w:type="pct"/>
                  <w:tcBorders>
                    <w:tl2br w:val="nil"/>
                    <w:tr2bl w:val="nil"/>
                  </w:tcBorders>
                  <w:noWrap w:val="0"/>
                  <w:vAlign w:val="center"/>
                </w:tcPr>
                <w:p w14:paraId="01EC1D9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57</w:t>
                  </w:r>
                </w:p>
              </w:tc>
              <w:tc>
                <w:tcPr>
                  <w:tcW w:w="490" w:type="pct"/>
                  <w:tcBorders>
                    <w:tl2br w:val="nil"/>
                    <w:tr2bl w:val="nil"/>
                  </w:tcBorders>
                  <w:noWrap w:val="0"/>
                  <w:vAlign w:val="center"/>
                </w:tcPr>
                <w:p w14:paraId="696E766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53</w:t>
                  </w:r>
                </w:p>
              </w:tc>
              <w:tc>
                <w:tcPr>
                  <w:tcW w:w="477" w:type="pct"/>
                  <w:tcBorders>
                    <w:tl2br w:val="nil"/>
                    <w:tr2bl w:val="nil"/>
                  </w:tcBorders>
                  <w:noWrap w:val="0"/>
                  <w:vAlign w:val="center"/>
                </w:tcPr>
                <w:p w14:paraId="57AAD81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49</w:t>
                  </w:r>
                </w:p>
              </w:tc>
              <w:tc>
                <w:tcPr>
                  <w:tcW w:w="482" w:type="pct"/>
                  <w:tcBorders>
                    <w:tl2br w:val="nil"/>
                    <w:tr2bl w:val="nil"/>
                  </w:tcBorders>
                  <w:noWrap w:val="0"/>
                  <w:vAlign w:val="center"/>
                </w:tcPr>
                <w:p w14:paraId="0A1AB26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47</w:t>
                  </w:r>
                </w:p>
              </w:tc>
              <w:tc>
                <w:tcPr>
                  <w:tcW w:w="490" w:type="pct"/>
                  <w:vMerge w:val="continue"/>
                  <w:tcBorders>
                    <w:tl2br w:val="nil"/>
                    <w:tr2bl w:val="nil"/>
                  </w:tcBorders>
                  <w:noWrap w:val="0"/>
                  <w:vAlign w:val="center"/>
                </w:tcPr>
                <w:p w14:paraId="20087C47">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c>
                <w:tcPr>
                  <w:tcW w:w="480" w:type="pct"/>
                  <w:vMerge w:val="continue"/>
                  <w:tcBorders>
                    <w:tl2br w:val="nil"/>
                    <w:tr2bl w:val="nil"/>
                  </w:tcBorders>
                  <w:noWrap w:val="0"/>
                  <w:vAlign w:val="center"/>
                </w:tcPr>
                <w:p w14:paraId="24C67961">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r>
            <w:tr w14:paraId="6931BF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04" w:type="pct"/>
                  <w:tcBorders>
                    <w:tl2br w:val="nil"/>
                    <w:tr2bl w:val="nil"/>
                  </w:tcBorders>
                  <w:noWrap w:val="0"/>
                  <w:vAlign w:val="center"/>
                </w:tcPr>
                <w:p w14:paraId="22543C7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w:t>
                  </w:r>
                </w:p>
              </w:tc>
              <w:tc>
                <w:tcPr>
                  <w:tcW w:w="1048" w:type="pct"/>
                  <w:tcBorders>
                    <w:tl2br w:val="nil"/>
                    <w:tr2bl w:val="nil"/>
                  </w:tcBorders>
                  <w:noWrap w:val="0"/>
                  <w:vAlign w:val="center"/>
                </w:tcPr>
                <w:p w14:paraId="2D31A79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挖掘机</w:t>
                  </w:r>
                </w:p>
              </w:tc>
              <w:tc>
                <w:tcPr>
                  <w:tcW w:w="410" w:type="pct"/>
                  <w:tcBorders>
                    <w:tl2br w:val="nil"/>
                    <w:tr2bl w:val="nil"/>
                  </w:tcBorders>
                  <w:noWrap w:val="0"/>
                  <w:vAlign w:val="center"/>
                </w:tcPr>
                <w:p w14:paraId="0A46325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69</w:t>
                  </w:r>
                </w:p>
              </w:tc>
              <w:tc>
                <w:tcPr>
                  <w:tcW w:w="406" w:type="pct"/>
                  <w:tcBorders>
                    <w:tl2br w:val="nil"/>
                    <w:tr2bl w:val="nil"/>
                  </w:tcBorders>
                  <w:noWrap w:val="0"/>
                  <w:vAlign w:val="center"/>
                </w:tcPr>
                <w:p w14:paraId="2659CF5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59</w:t>
                  </w:r>
                </w:p>
              </w:tc>
              <w:tc>
                <w:tcPr>
                  <w:tcW w:w="410" w:type="pct"/>
                  <w:tcBorders>
                    <w:tl2br w:val="nil"/>
                    <w:tr2bl w:val="nil"/>
                  </w:tcBorders>
                  <w:noWrap w:val="0"/>
                  <w:vAlign w:val="center"/>
                </w:tcPr>
                <w:p w14:paraId="12A8C29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53</w:t>
                  </w:r>
                </w:p>
              </w:tc>
              <w:tc>
                <w:tcPr>
                  <w:tcW w:w="490" w:type="pct"/>
                  <w:tcBorders>
                    <w:tl2br w:val="nil"/>
                    <w:tr2bl w:val="nil"/>
                  </w:tcBorders>
                  <w:noWrap w:val="0"/>
                  <w:vAlign w:val="center"/>
                </w:tcPr>
                <w:p w14:paraId="558DF2F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49</w:t>
                  </w:r>
                </w:p>
              </w:tc>
              <w:tc>
                <w:tcPr>
                  <w:tcW w:w="477" w:type="pct"/>
                  <w:tcBorders>
                    <w:tl2br w:val="nil"/>
                    <w:tr2bl w:val="nil"/>
                  </w:tcBorders>
                  <w:noWrap w:val="0"/>
                  <w:vAlign w:val="center"/>
                </w:tcPr>
                <w:p w14:paraId="2A58073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45</w:t>
                  </w:r>
                </w:p>
              </w:tc>
              <w:tc>
                <w:tcPr>
                  <w:tcW w:w="482" w:type="pct"/>
                  <w:tcBorders>
                    <w:tl2br w:val="nil"/>
                    <w:tr2bl w:val="nil"/>
                  </w:tcBorders>
                  <w:noWrap w:val="0"/>
                  <w:vAlign w:val="center"/>
                </w:tcPr>
                <w:p w14:paraId="7EE35EE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43</w:t>
                  </w:r>
                </w:p>
              </w:tc>
              <w:tc>
                <w:tcPr>
                  <w:tcW w:w="490" w:type="pct"/>
                  <w:vMerge w:val="continue"/>
                  <w:tcBorders>
                    <w:tl2br w:val="nil"/>
                    <w:tr2bl w:val="nil"/>
                  </w:tcBorders>
                  <w:noWrap w:val="0"/>
                  <w:vAlign w:val="center"/>
                </w:tcPr>
                <w:p w14:paraId="6881FED7">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c>
                <w:tcPr>
                  <w:tcW w:w="480" w:type="pct"/>
                  <w:vMerge w:val="continue"/>
                  <w:tcBorders>
                    <w:tl2br w:val="nil"/>
                    <w:tr2bl w:val="nil"/>
                  </w:tcBorders>
                  <w:noWrap w:val="0"/>
                  <w:vAlign w:val="center"/>
                </w:tcPr>
                <w:p w14:paraId="37AF90C4">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r>
            <w:tr w14:paraId="1E1AED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04" w:type="pct"/>
                  <w:tcBorders>
                    <w:tl2br w:val="nil"/>
                    <w:tr2bl w:val="nil"/>
                  </w:tcBorders>
                  <w:noWrap w:val="0"/>
                  <w:vAlign w:val="center"/>
                </w:tcPr>
                <w:p w14:paraId="193BC23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w:t>
                  </w:r>
                </w:p>
              </w:tc>
              <w:tc>
                <w:tcPr>
                  <w:tcW w:w="1048" w:type="pct"/>
                  <w:tcBorders>
                    <w:tl2br w:val="nil"/>
                    <w:tr2bl w:val="nil"/>
                  </w:tcBorders>
                  <w:noWrap w:val="0"/>
                  <w:vAlign w:val="center"/>
                </w:tcPr>
                <w:p w14:paraId="7EB4203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振捣器</w:t>
                  </w:r>
                </w:p>
              </w:tc>
              <w:tc>
                <w:tcPr>
                  <w:tcW w:w="410" w:type="pct"/>
                  <w:tcBorders>
                    <w:tl2br w:val="nil"/>
                    <w:tr2bl w:val="nil"/>
                  </w:tcBorders>
                  <w:noWrap w:val="0"/>
                  <w:vAlign w:val="center"/>
                </w:tcPr>
                <w:p w14:paraId="6E3C5FE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70</w:t>
                  </w:r>
                </w:p>
              </w:tc>
              <w:tc>
                <w:tcPr>
                  <w:tcW w:w="406" w:type="pct"/>
                  <w:tcBorders>
                    <w:tl2br w:val="nil"/>
                    <w:tr2bl w:val="nil"/>
                  </w:tcBorders>
                  <w:noWrap w:val="0"/>
                  <w:vAlign w:val="center"/>
                </w:tcPr>
                <w:p w14:paraId="20E9D0C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60</w:t>
                  </w:r>
                </w:p>
              </w:tc>
              <w:tc>
                <w:tcPr>
                  <w:tcW w:w="410" w:type="pct"/>
                  <w:tcBorders>
                    <w:tl2br w:val="nil"/>
                    <w:tr2bl w:val="nil"/>
                  </w:tcBorders>
                  <w:noWrap w:val="0"/>
                  <w:vAlign w:val="center"/>
                </w:tcPr>
                <w:p w14:paraId="6BD03D0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54</w:t>
                  </w:r>
                </w:p>
              </w:tc>
              <w:tc>
                <w:tcPr>
                  <w:tcW w:w="490" w:type="pct"/>
                  <w:tcBorders>
                    <w:tl2br w:val="nil"/>
                    <w:tr2bl w:val="nil"/>
                  </w:tcBorders>
                  <w:noWrap w:val="0"/>
                  <w:vAlign w:val="center"/>
                </w:tcPr>
                <w:p w14:paraId="09837FA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50</w:t>
                  </w:r>
                </w:p>
              </w:tc>
              <w:tc>
                <w:tcPr>
                  <w:tcW w:w="477" w:type="pct"/>
                  <w:tcBorders>
                    <w:tl2br w:val="nil"/>
                    <w:tr2bl w:val="nil"/>
                  </w:tcBorders>
                  <w:noWrap w:val="0"/>
                  <w:vAlign w:val="center"/>
                </w:tcPr>
                <w:p w14:paraId="18E4F6A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46</w:t>
                  </w:r>
                </w:p>
              </w:tc>
              <w:tc>
                <w:tcPr>
                  <w:tcW w:w="482" w:type="pct"/>
                  <w:tcBorders>
                    <w:tl2br w:val="nil"/>
                    <w:tr2bl w:val="nil"/>
                  </w:tcBorders>
                  <w:noWrap w:val="0"/>
                  <w:vAlign w:val="center"/>
                </w:tcPr>
                <w:p w14:paraId="2BFA097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44</w:t>
                  </w:r>
                </w:p>
              </w:tc>
              <w:tc>
                <w:tcPr>
                  <w:tcW w:w="490" w:type="pct"/>
                  <w:vMerge w:val="continue"/>
                  <w:tcBorders>
                    <w:tl2br w:val="nil"/>
                    <w:tr2bl w:val="nil"/>
                  </w:tcBorders>
                  <w:noWrap w:val="0"/>
                  <w:vAlign w:val="center"/>
                </w:tcPr>
                <w:p w14:paraId="7F69C516">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c>
                <w:tcPr>
                  <w:tcW w:w="480" w:type="pct"/>
                  <w:vMerge w:val="continue"/>
                  <w:tcBorders>
                    <w:tl2br w:val="nil"/>
                    <w:tr2bl w:val="nil"/>
                  </w:tcBorders>
                  <w:noWrap w:val="0"/>
                  <w:vAlign w:val="center"/>
                </w:tcPr>
                <w:p w14:paraId="55E5282E">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r>
            <w:tr w14:paraId="7D8806F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04" w:type="pct"/>
                  <w:tcBorders>
                    <w:tl2br w:val="nil"/>
                    <w:tr2bl w:val="nil"/>
                  </w:tcBorders>
                  <w:noWrap w:val="0"/>
                  <w:vAlign w:val="center"/>
                </w:tcPr>
                <w:p w14:paraId="1EE9621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5</w:t>
                  </w:r>
                </w:p>
              </w:tc>
              <w:tc>
                <w:tcPr>
                  <w:tcW w:w="1048" w:type="pct"/>
                  <w:tcBorders>
                    <w:tl2br w:val="nil"/>
                    <w:tr2bl w:val="nil"/>
                  </w:tcBorders>
                  <w:noWrap w:val="0"/>
                  <w:vAlign w:val="center"/>
                </w:tcPr>
                <w:p w14:paraId="197DC39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混凝土搅拌机</w:t>
                  </w:r>
                </w:p>
              </w:tc>
              <w:tc>
                <w:tcPr>
                  <w:tcW w:w="410" w:type="pct"/>
                  <w:tcBorders>
                    <w:tl2br w:val="nil"/>
                    <w:tr2bl w:val="nil"/>
                  </w:tcBorders>
                  <w:noWrap w:val="0"/>
                  <w:vAlign w:val="center"/>
                </w:tcPr>
                <w:p w14:paraId="2015B26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75</w:t>
                  </w:r>
                </w:p>
              </w:tc>
              <w:tc>
                <w:tcPr>
                  <w:tcW w:w="406" w:type="pct"/>
                  <w:tcBorders>
                    <w:tl2br w:val="nil"/>
                    <w:tr2bl w:val="nil"/>
                  </w:tcBorders>
                  <w:noWrap w:val="0"/>
                  <w:vAlign w:val="center"/>
                </w:tcPr>
                <w:p w14:paraId="1C87B49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65</w:t>
                  </w:r>
                </w:p>
              </w:tc>
              <w:tc>
                <w:tcPr>
                  <w:tcW w:w="410" w:type="pct"/>
                  <w:tcBorders>
                    <w:tl2br w:val="nil"/>
                    <w:tr2bl w:val="nil"/>
                  </w:tcBorders>
                  <w:noWrap w:val="0"/>
                  <w:vAlign w:val="center"/>
                </w:tcPr>
                <w:p w14:paraId="7AD7572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59</w:t>
                  </w:r>
                </w:p>
              </w:tc>
              <w:tc>
                <w:tcPr>
                  <w:tcW w:w="490" w:type="pct"/>
                  <w:tcBorders>
                    <w:tl2br w:val="nil"/>
                    <w:tr2bl w:val="nil"/>
                  </w:tcBorders>
                  <w:noWrap w:val="0"/>
                  <w:vAlign w:val="center"/>
                </w:tcPr>
                <w:p w14:paraId="407D709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55</w:t>
                  </w:r>
                </w:p>
              </w:tc>
              <w:tc>
                <w:tcPr>
                  <w:tcW w:w="477" w:type="pct"/>
                  <w:tcBorders>
                    <w:tl2br w:val="nil"/>
                    <w:tr2bl w:val="nil"/>
                  </w:tcBorders>
                  <w:noWrap w:val="0"/>
                  <w:vAlign w:val="center"/>
                </w:tcPr>
                <w:p w14:paraId="109A639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51</w:t>
                  </w:r>
                </w:p>
              </w:tc>
              <w:tc>
                <w:tcPr>
                  <w:tcW w:w="482" w:type="pct"/>
                  <w:tcBorders>
                    <w:tl2br w:val="nil"/>
                    <w:tr2bl w:val="nil"/>
                  </w:tcBorders>
                  <w:noWrap w:val="0"/>
                  <w:vAlign w:val="center"/>
                </w:tcPr>
                <w:p w14:paraId="5630AEF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49</w:t>
                  </w:r>
                </w:p>
              </w:tc>
              <w:tc>
                <w:tcPr>
                  <w:tcW w:w="490" w:type="pct"/>
                  <w:vMerge w:val="continue"/>
                  <w:tcBorders>
                    <w:tl2br w:val="nil"/>
                    <w:tr2bl w:val="nil"/>
                  </w:tcBorders>
                  <w:noWrap w:val="0"/>
                  <w:vAlign w:val="center"/>
                </w:tcPr>
                <w:p w14:paraId="360B7388">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c>
                <w:tcPr>
                  <w:tcW w:w="480" w:type="pct"/>
                  <w:vMerge w:val="continue"/>
                  <w:tcBorders>
                    <w:tl2br w:val="nil"/>
                    <w:tr2bl w:val="nil"/>
                  </w:tcBorders>
                  <w:noWrap w:val="0"/>
                  <w:vAlign w:val="center"/>
                </w:tcPr>
                <w:p w14:paraId="76600A87">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r>
            <w:tr w14:paraId="32148E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04" w:type="pct"/>
                  <w:tcBorders>
                    <w:tl2br w:val="nil"/>
                    <w:tr2bl w:val="nil"/>
                  </w:tcBorders>
                  <w:noWrap w:val="0"/>
                  <w:vAlign w:val="center"/>
                </w:tcPr>
                <w:p w14:paraId="6DA9CF8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6</w:t>
                  </w:r>
                </w:p>
              </w:tc>
              <w:tc>
                <w:tcPr>
                  <w:tcW w:w="1048" w:type="pct"/>
                  <w:tcBorders>
                    <w:tl2br w:val="nil"/>
                    <w:tr2bl w:val="nil"/>
                  </w:tcBorders>
                  <w:noWrap w:val="0"/>
                  <w:vAlign w:val="center"/>
                </w:tcPr>
                <w:p w14:paraId="7F5F816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载重汽车</w:t>
                  </w:r>
                </w:p>
              </w:tc>
              <w:tc>
                <w:tcPr>
                  <w:tcW w:w="410" w:type="pct"/>
                  <w:tcBorders>
                    <w:tl2br w:val="nil"/>
                    <w:tr2bl w:val="nil"/>
                  </w:tcBorders>
                  <w:noWrap w:val="0"/>
                  <w:vAlign w:val="center"/>
                </w:tcPr>
                <w:p w14:paraId="71F34A8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63</w:t>
                  </w:r>
                </w:p>
              </w:tc>
              <w:tc>
                <w:tcPr>
                  <w:tcW w:w="406" w:type="pct"/>
                  <w:tcBorders>
                    <w:tl2br w:val="nil"/>
                    <w:tr2bl w:val="nil"/>
                  </w:tcBorders>
                  <w:noWrap w:val="0"/>
                  <w:vAlign w:val="center"/>
                </w:tcPr>
                <w:p w14:paraId="347CB2A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53</w:t>
                  </w:r>
                </w:p>
              </w:tc>
              <w:tc>
                <w:tcPr>
                  <w:tcW w:w="410" w:type="pct"/>
                  <w:tcBorders>
                    <w:tl2br w:val="nil"/>
                    <w:tr2bl w:val="nil"/>
                  </w:tcBorders>
                  <w:noWrap w:val="0"/>
                  <w:vAlign w:val="center"/>
                </w:tcPr>
                <w:p w14:paraId="208119F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47</w:t>
                  </w:r>
                </w:p>
              </w:tc>
              <w:tc>
                <w:tcPr>
                  <w:tcW w:w="490" w:type="pct"/>
                  <w:tcBorders>
                    <w:tl2br w:val="nil"/>
                    <w:tr2bl w:val="nil"/>
                  </w:tcBorders>
                  <w:noWrap w:val="0"/>
                  <w:vAlign w:val="center"/>
                </w:tcPr>
                <w:p w14:paraId="009BE20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43</w:t>
                  </w:r>
                </w:p>
              </w:tc>
              <w:tc>
                <w:tcPr>
                  <w:tcW w:w="477" w:type="pct"/>
                  <w:tcBorders>
                    <w:tl2br w:val="nil"/>
                    <w:tr2bl w:val="nil"/>
                  </w:tcBorders>
                  <w:noWrap w:val="0"/>
                  <w:vAlign w:val="center"/>
                </w:tcPr>
                <w:p w14:paraId="2FDE890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39</w:t>
                  </w:r>
                </w:p>
              </w:tc>
              <w:tc>
                <w:tcPr>
                  <w:tcW w:w="482" w:type="pct"/>
                  <w:tcBorders>
                    <w:tl2br w:val="nil"/>
                    <w:tr2bl w:val="nil"/>
                  </w:tcBorders>
                  <w:noWrap w:val="0"/>
                  <w:vAlign w:val="center"/>
                </w:tcPr>
                <w:p w14:paraId="6C2A019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37</w:t>
                  </w:r>
                </w:p>
              </w:tc>
              <w:tc>
                <w:tcPr>
                  <w:tcW w:w="490" w:type="pct"/>
                  <w:vMerge w:val="continue"/>
                  <w:tcBorders>
                    <w:tl2br w:val="nil"/>
                    <w:tr2bl w:val="nil"/>
                  </w:tcBorders>
                  <w:noWrap w:val="0"/>
                  <w:vAlign w:val="center"/>
                </w:tcPr>
                <w:p w14:paraId="569AC188">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c>
                <w:tcPr>
                  <w:tcW w:w="480" w:type="pct"/>
                  <w:vMerge w:val="continue"/>
                  <w:tcBorders>
                    <w:tl2br w:val="nil"/>
                    <w:tr2bl w:val="nil"/>
                  </w:tcBorders>
                  <w:noWrap w:val="0"/>
                  <w:vAlign w:val="center"/>
                </w:tcPr>
                <w:p w14:paraId="3411ADD4">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r>
            <w:tr w14:paraId="1CA987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04" w:type="pct"/>
                  <w:tcBorders>
                    <w:tl2br w:val="nil"/>
                    <w:tr2bl w:val="nil"/>
                  </w:tcBorders>
                  <w:noWrap w:val="0"/>
                  <w:vAlign w:val="center"/>
                </w:tcPr>
                <w:p w14:paraId="70152C9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7</w:t>
                  </w:r>
                </w:p>
              </w:tc>
              <w:tc>
                <w:tcPr>
                  <w:tcW w:w="1048" w:type="pct"/>
                  <w:tcBorders>
                    <w:tl2br w:val="nil"/>
                    <w:tr2bl w:val="nil"/>
                  </w:tcBorders>
                  <w:noWrap w:val="0"/>
                  <w:vAlign w:val="center"/>
                </w:tcPr>
                <w:p w14:paraId="025818C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切割机</w:t>
                  </w:r>
                </w:p>
              </w:tc>
              <w:tc>
                <w:tcPr>
                  <w:tcW w:w="410" w:type="pct"/>
                  <w:tcBorders>
                    <w:tl2br w:val="nil"/>
                    <w:tr2bl w:val="nil"/>
                  </w:tcBorders>
                  <w:noWrap w:val="0"/>
                  <w:vAlign w:val="center"/>
                </w:tcPr>
                <w:p w14:paraId="283B470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70</w:t>
                  </w:r>
                </w:p>
              </w:tc>
              <w:tc>
                <w:tcPr>
                  <w:tcW w:w="406" w:type="pct"/>
                  <w:tcBorders>
                    <w:tl2br w:val="nil"/>
                    <w:tr2bl w:val="nil"/>
                  </w:tcBorders>
                  <w:noWrap w:val="0"/>
                  <w:vAlign w:val="center"/>
                </w:tcPr>
                <w:p w14:paraId="3D1AB2C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60</w:t>
                  </w:r>
                </w:p>
              </w:tc>
              <w:tc>
                <w:tcPr>
                  <w:tcW w:w="410" w:type="pct"/>
                  <w:tcBorders>
                    <w:tl2br w:val="nil"/>
                    <w:tr2bl w:val="nil"/>
                  </w:tcBorders>
                  <w:noWrap w:val="0"/>
                  <w:vAlign w:val="center"/>
                </w:tcPr>
                <w:p w14:paraId="178BA0D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54</w:t>
                  </w:r>
                </w:p>
              </w:tc>
              <w:tc>
                <w:tcPr>
                  <w:tcW w:w="490" w:type="pct"/>
                  <w:tcBorders>
                    <w:tl2br w:val="nil"/>
                    <w:tr2bl w:val="nil"/>
                  </w:tcBorders>
                  <w:noWrap w:val="0"/>
                  <w:vAlign w:val="center"/>
                </w:tcPr>
                <w:p w14:paraId="767A339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50</w:t>
                  </w:r>
                </w:p>
              </w:tc>
              <w:tc>
                <w:tcPr>
                  <w:tcW w:w="477" w:type="pct"/>
                  <w:tcBorders>
                    <w:tl2br w:val="nil"/>
                    <w:tr2bl w:val="nil"/>
                  </w:tcBorders>
                  <w:noWrap w:val="0"/>
                  <w:vAlign w:val="center"/>
                </w:tcPr>
                <w:p w14:paraId="3703D43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46</w:t>
                  </w:r>
                </w:p>
              </w:tc>
              <w:tc>
                <w:tcPr>
                  <w:tcW w:w="482" w:type="pct"/>
                  <w:tcBorders>
                    <w:tl2br w:val="nil"/>
                    <w:tr2bl w:val="nil"/>
                  </w:tcBorders>
                  <w:noWrap w:val="0"/>
                  <w:vAlign w:val="center"/>
                </w:tcPr>
                <w:p w14:paraId="2E947DB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44</w:t>
                  </w:r>
                </w:p>
              </w:tc>
              <w:tc>
                <w:tcPr>
                  <w:tcW w:w="490" w:type="pct"/>
                  <w:vMerge w:val="continue"/>
                  <w:tcBorders>
                    <w:tl2br w:val="nil"/>
                    <w:tr2bl w:val="nil"/>
                  </w:tcBorders>
                  <w:noWrap w:val="0"/>
                  <w:vAlign w:val="center"/>
                </w:tcPr>
                <w:p w14:paraId="18959001">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c>
                <w:tcPr>
                  <w:tcW w:w="480" w:type="pct"/>
                  <w:vMerge w:val="continue"/>
                  <w:tcBorders>
                    <w:tl2br w:val="nil"/>
                    <w:tr2bl w:val="nil"/>
                  </w:tcBorders>
                  <w:noWrap w:val="0"/>
                  <w:vAlign w:val="center"/>
                </w:tcPr>
                <w:p w14:paraId="0FB9E45C">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r>
            <w:tr w14:paraId="002DCE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04" w:type="pct"/>
                  <w:tcBorders>
                    <w:tl2br w:val="nil"/>
                    <w:tr2bl w:val="nil"/>
                  </w:tcBorders>
                  <w:noWrap w:val="0"/>
                  <w:vAlign w:val="center"/>
                </w:tcPr>
                <w:p w14:paraId="3470740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8</w:t>
                  </w:r>
                </w:p>
              </w:tc>
              <w:tc>
                <w:tcPr>
                  <w:tcW w:w="1048" w:type="pct"/>
                  <w:tcBorders>
                    <w:tl2br w:val="nil"/>
                    <w:tr2bl w:val="nil"/>
                  </w:tcBorders>
                  <w:noWrap w:val="0"/>
                  <w:vAlign w:val="center"/>
                </w:tcPr>
                <w:p w14:paraId="749E27C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交通噪声</w:t>
                  </w:r>
                </w:p>
              </w:tc>
              <w:tc>
                <w:tcPr>
                  <w:tcW w:w="410" w:type="pct"/>
                  <w:tcBorders>
                    <w:tl2br w:val="nil"/>
                    <w:tr2bl w:val="nil"/>
                  </w:tcBorders>
                  <w:noWrap w:val="0"/>
                  <w:vAlign w:val="center"/>
                </w:tcPr>
                <w:p w14:paraId="6C91CBF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55</w:t>
                  </w:r>
                </w:p>
              </w:tc>
              <w:tc>
                <w:tcPr>
                  <w:tcW w:w="406" w:type="pct"/>
                  <w:tcBorders>
                    <w:tl2br w:val="nil"/>
                    <w:tr2bl w:val="nil"/>
                  </w:tcBorders>
                  <w:noWrap w:val="0"/>
                  <w:vAlign w:val="center"/>
                </w:tcPr>
                <w:p w14:paraId="4723872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45</w:t>
                  </w:r>
                </w:p>
              </w:tc>
              <w:tc>
                <w:tcPr>
                  <w:tcW w:w="410" w:type="pct"/>
                  <w:tcBorders>
                    <w:tl2br w:val="nil"/>
                    <w:tr2bl w:val="nil"/>
                  </w:tcBorders>
                  <w:noWrap w:val="0"/>
                  <w:vAlign w:val="center"/>
                </w:tcPr>
                <w:p w14:paraId="6E96292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39</w:t>
                  </w:r>
                </w:p>
              </w:tc>
              <w:tc>
                <w:tcPr>
                  <w:tcW w:w="490" w:type="pct"/>
                  <w:tcBorders>
                    <w:tl2br w:val="nil"/>
                    <w:tr2bl w:val="nil"/>
                  </w:tcBorders>
                  <w:noWrap w:val="0"/>
                  <w:vAlign w:val="center"/>
                </w:tcPr>
                <w:p w14:paraId="44351CD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35</w:t>
                  </w:r>
                </w:p>
              </w:tc>
              <w:tc>
                <w:tcPr>
                  <w:tcW w:w="477" w:type="pct"/>
                  <w:tcBorders>
                    <w:tl2br w:val="nil"/>
                    <w:tr2bl w:val="nil"/>
                  </w:tcBorders>
                  <w:noWrap w:val="0"/>
                  <w:vAlign w:val="center"/>
                </w:tcPr>
                <w:p w14:paraId="3BDA836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31</w:t>
                  </w:r>
                </w:p>
              </w:tc>
              <w:tc>
                <w:tcPr>
                  <w:tcW w:w="482" w:type="pct"/>
                  <w:tcBorders>
                    <w:tl2br w:val="nil"/>
                    <w:tr2bl w:val="nil"/>
                  </w:tcBorders>
                  <w:noWrap w:val="0"/>
                  <w:vAlign w:val="center"/>
                </w:tcPr>
                <w:p w14:paraId="1CFE628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29</w:t>
                  </w:r>
                </w:p>
              </w:tc>
              <w:tc>
                <w:tcPr>
                  <w:tcW w:w="490" w:type="pct"/>
                  <w:vMerge w:val="continue"/>
                  <w:tcBorders>
                    <w:tl2br w:val="nil"/>
                    <w:tr2bl w:val="nil"/>
                  </w:tcBorders>
                  <w:noWrap w:val="0"/>
                  <w:vAlign w:val="center"/>
                </w:tcPr>
                <w:p w14:paraId="72D2B43A">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c>
                <w:tcPr>
                  <w:tcW w:w="480" w:type="pct"/>
                  <w:vMerge w:val="continue"/>
                  <w:tcBorders>
                    <w:tl2br w:val="nil"/>
                    <w:tr2bl w:val="nil"/>
                  </w:tcBorders>
                  <w:noWrap w:val="0"/>
                  <w:vAlign w:val="center"/>
                </w:tcPr>
                <w:p w14:paraId="7E07A398">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r>
            <w:tr w14:paraId="223E77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04" w:type="pct"/>
                  <w:tcBorders>
                    <w:tl2br w:val="nil"/>
                    <w:tr2bl w:val="nil"/>
                  </w:tcBorders>
                  <w:noWrap w:val="0"/>
                  <w:vAlign w:val="center"/>
                </w:tcPr>
                <w:p w14:paraId="2241C49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9</w:t>
                  </w:r>
                </w:p>
              </w:tc>
              <w:tc>
                <w:tcPr>
                  <w:tcW w:w="1048" w:type="pct"/>
                  <w:tcBorders>
                    <w:tl2br w:val="nil"/>
                    <w:tr2bl w:val="nil"/>
                  </w:tcBorders>
                  <w:noWrap w:val="0"/>
                  <w:vAlign w:val="center"/>
                </w:tcPr>
                <w:p w14:paraId="0685559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人工挖掘</w:t>
                  </w:r>
                </w:p>
              </w:tc>
              <w:tc>
                <w:tcPr>
                  <w:tcW w:w="410" w:type="pct"/>
                  <w:tcBorders>
                    <w:tl2br w:val="nil"/>
                    <w:tr2bl w:val="nil"/>
                  </w:tcBorders>
                  <w:noWrap w:val="0"/>
                  <w:vAlign w:val="center"/>
                </w:tcPr>
                <w:p w14:paraId="12A2EB1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50</w:t>
                  </w:r>
                </w:p>
              </w:tc>
              <w:tc>
                <w:tcPr>
                  <w:tcW w:w="406" w:type="pct"/>
                  <w:tcBorders>
                    <w:tl2br w:val="nil"/>
                    <w:tr2bl w:val="nil"/>
                  </w:tcBorders>
                  <w:noWrap w:val="0"/>
                  <w:vAlign w:val="center"/>
                </w:tcPr>
                <w:p w14:paraId="7A8EE86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40</w:t>
                  </w:r>
                </w:p>
              </w:tc>
              <w:tc>
                <w:tcPr>
                  <w:tcW w:w="410" w:type="pct"/>
                  <w:tcBorders>
                    <w:tl2br w:val="nil"/>
                    <w:tr2bl w:val="nil"/>
                  </w:tcBorders>
                  <w:noWrap w:val="0"/>
                  <w:vAlign w:val="center"/>
                </w:tcPr>
                <w:p w14:paraId="37CC2F0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34</w:t>
                  </w:r>
                </w:p>
              </w:tc>
              <w:tc>
                <w:tcPr>
                  <w:tcW w:w="490" w:type="pct"/>
                  <w:tcBorders>
                    <w:tl2br w:val="nil"/>
                    <w:tr2bl w:val="nil"/>
                  </w:tcBorders>
                  <w:noWrap w:val="0"/>
                  <w:vAlign w:val="center"/>
                </w:tcPr>
                <w:p w14:paraId="3DC0169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30</w:t>
                  </w:r>
                </w:p>
              </w:tc>
              <w:tc>
                <w:tcPr>
                  <w:tcW w:w="477" w:type="pct"/>
                  <w:tcBorders>
                    <w:tl2br w:val="nil"/>
                    <w:tr2bl w:val="nil"/>
                  </w:tcBorders>
                  <w:noWrap w:val="0"/>
                  <w:vAlign w:val="center"/>
                </w:tcPr>
                <w:p w14:paraId="1A201D2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26</w:t>
                  </w:r>
                </w:p>
              </w:tc>
              <w:tc>
                <w:tcPr>
                  <w:tcW w:w="482" w:type="pct"/>
                  <w:tcBorders>
                    <w:tl2br w:val="nil"/>
                    <w:tr2bl w:val="nil"/>
                  </w:tcBorders>
                  <w:noWrap w:val="0"/>
                  <w:vAlign w:val="center"/>
                </w:tcPr>
                <w:p w14:paraId="7B1CB02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24</w:t>
                  </w:r>
                </w:p>
              </w:tc>
              <w:tc>
                <w:tcPr>
                  <w:tcW w:w="490" w:type="pct"/>
                  <w:vMerge w:val="continue"/>
                  <w:tcBorders>
                    <w:tl2br w:val="nil"/>
                    <w:tr2bl w:val="nil"/>
                  </w:tcBorders>
                  <w:noWrap w:val="0"/>
                  <w:vAlign w:val="center"/>
                </w:tcPr>
                <w:p w14:paraId="55270A49">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c>
                <w:tcPr>
                  <w:tcW w:w="480" w:type="pct"/>
                  <w:vMerge w:val="continue"/>
                  <w:tcBorders>
                    <w:tl2br w:val="nil"/>
                    <w:tr2bl w:val="nil"/>
                  </w:tcBorders>
                  <w:noWrap w:val="0"/>
                  <w:vAlign w:val="center"/>
                </w:tcPr>
                <w:p w14:paraId="2A721010">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r>
            <w:tr w14:paraId="5139A9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04" w:type="pct"/>
                  <w:tcBorders>
                    <w:tl2br w:val="nil"/>
                    <w:tr2bl w:val="nil"/>
                  </w:tcBorders>
                  <w:noWrap w:val="0"/>
                  <w:vAlign w:val="center"/>
                </w:tcPr>
                <w:p w14:paraId="779A0A4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10</w:t>
                  </w:r>
                </w:p>
              </w:tc>
              <w:tc>
                <w:tcPr>
                  <w:tcW w:w="1048" w:type="pct"/>
                  <w:tcBorders>
                    <w:tl2br w:val="nil"/>
                    <w:tr2bl w:val="nil"/>
                  </w:tcBorders>
                  <w:noWrap w:val="0"/>
                  <w:vAlign w:val="center"/>
                </w:tcPr>
                <w:p w14:paraId="368C4E3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混凝土输送泵</w:t>
                  </w:r>
                </w:p>
              </w:tc>
              <w:tc>
                <w:tcPr>
                  <w:tcW w:w="410" w:type="pct"/>
                  <w:tcBorders>
                    <w:tl2br w:val="nil"/>
                    <w:tr2bl w:val="nil"/>
                  </w:tcBorders>
                  <w:noWrap w:val="0"/>
                  <w:vAlign w:val="center"/>
                </w:tcPr>
                <w:p w14:paraId="03B2A8F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60</w:t>
                  </w:r>
                </w:p>
              </w:tc>
              <w:tc>
                <w:tcPr>
                  <w:tcW w:w="406" w:type="pct"/>
                  <w:tcBorders>
                    <w:tl2br w:val="nil"/>
                    <w:tr2bl w:val="nil"/>
                  </w:tcBorders>
                  <w:noWrap w:val="0"/>
                  <w:vAlign w:val="center"/>
                </w:tcPr>
                <w:p w14:paraId="6CA3573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50</w:t>
                  </w:r>
                </w:p>
              </w:tc>
              <w:tc>
                <w:tcPr>
                  <w:tcW w:w="410" w:type="pct"/>
                  <w:tcBorders>
                    <w:tl2br w:val="nil"/>
                    <w:tr2bl w:val="nil"/>
                  </w:tcBorders>
                  <w:noWrap w:val="0"/>
                  <w:vAlign w:val="center"/>
                </w:tcPr>
                <w:p w14:paraId="788B195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44</w:t>
                  </w:r>
                </w:p>
              </w:tc>
              <w:tc>
                <w:tcPr>
                  <w:tcW w:w="490" w:type="pct"/>
                  <w:tcBorders>
                    <w:tl2br w:val="nil"/>
                    <w:tr2bl w:val="nil"/>
                  </w:tcBorders>
                  <w:noWrap w:val="0"/>
                  <w:vAlign w:val="center"/>
                </w:tcPr>
                <w:p w14:paraId="5F7BA63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40</w:t>
                  </w:r>
                </w:p>
              </w:tc>
              <w:tc>
                <w:tcPr>
                  <w:tcW w:w="477" w:type="pct"/>
                  <w:tcBorders>
                    <w:tl2br w:val="nil"/>
                    <w:tr2bl w:val="nil"/>
                  </w:tcBorders>
                  <w:noWrap w:val="0"/>
                  <w:vAlign w:val="center"/>
                </w:tcPr>
                <w:p w14:paraId="5BFB18E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36</w:t>
                  </w:r>
                </w:p>
              </w:tc>
              <w:tc>
                <w:tcPr>
                  <w:tcW w:w="482" w:type="pct"/>
                  <w:tcBorders>
                    <w:tl2br w:val="nil"/>
                    <w:tr2bl w:val="nil"/>
                  </w:tcBorders>
                  <w:noWrap w:val="0"/>
                  <w:vAlign w:val="center"/>
                </w:tcPr>
                <w:p w14:paraId="4ED6F36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34</w:t>
                  </w:r>
                </w:p>
              </w:tc>
              <w:tc>
                <w:tcPr>
                  <w:tcW w:w="490" w:type="pct"/>
                  <w:vMerge w:val="continue"/>
                  <w:tcBorders>
                    <w:tl2br w:val="nil"/>
                    <w:tr2bl w:val="nil"/>
                  </w:tcBorders>
                  <w:noWrap w:val="0"/>
                  <w:vAlign w:val="center"/>
                </w:tcPr>
                <w:p w14:paraId="49111454">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c>
                <w:tcPr>
                  <w:tcW w:w="480" w:type="pct"/>
                  <w:vMerge w:val="continue"/>
                  <w:tcBorders>
                    <w:tl2br w:val="nil"/>
                    <w:tr2bl w:val="nil"/>
                  </w:tcBorders>
                  <w:noWrap w:val="0"/>
                  <w:vAlign w:val="center"/>
                </w:tcPr>
                <w:p w14:paraId="45BCAFFB">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r>
            <w:tr w14:paraId="4C425C7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353" w:type="pct"/>
                  <w:gridSpan w:val="2"/>
                  <w:tcBorders>
                    <w:tl2br w:val="nil"/>
                    <w:tr2bl w:val="nil"/>
                  </w:tcBorders>
                  <w:noWrap w:val="0"/>
                  <w:vAlign w:val="center"/>
                </w:tcPr>
                <w:p w14:paraId="4FF4685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叠加噪声</w:t>
                  </w:r>
                </w:p>
              </w:tc>
              <w:tc>
                <w:tcPr>
                  <w:tcW w:w="410" w:type="pct"/>
                  <w:tcBorders>
                    <w:tl2br w:val="nil"/>
                    <w:tr2bl w:val="nil"/>
                  </w:tcBorders>
                  <w:noWrap w:val="0"/>
                  <w:vAlign w:val="center"/>
                </w:tcPr>
                <w:p w14:paraId="32EEC70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70.5</w:t>
                  </w:r>
                </w:p>
              </w:tc>
              <w:tc>
                <w:tcPr>
                  <w:tcW w:w="406" w:type="pct"/>
                  <w:tcBorders>
                    <w:tl2br w:val="nil"/>
                    <w:tr2bl w:val="nil"/>
                  </w:tcBorders>
                  <w:noWrap w:val="0"/>
                  <w:vAlign w:val="center"/>
                </w:tcPr>
                <w:p w14:paraId="732DEBE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62.8</w:t>
                  </w:r>
                </w:p>
              </w:tc>
              <w:tc>
                <w:tcPr>
                  <w:tcW w:w="410" w:type="pct"/>
                  <w:tcBorders>
                    <w:tl2br w:val="nil"/>
                    <w:tr2bl w:val="nil"/>
                  </w:tcBorders>
                  <w:noWrap w:val="0"/>
                  <w:vAlign w:val="center"/>
                </w:tcPr>
                <w:p w14:paraId="21549DA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57.8</w:t>
                  </w:r>
                </w:p>
              </w:tc>
              <w:tc>
                <w:tcPr>
                  <w:tcW w:w="490" w:type="pct"/>
                  <w:tcBorders>
                    <w:tl2br w:val="nil"/>
                    <w:tr2bl w:val="nil"/>
                  </w:tcBorders>
                  <w:noWrap w:val="0"/>
                  <w:vAlign w:val="center"/>
                </w:tcPr>
                <w:p w14:paraId="687721A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50.8</w:t>
                  </w:r>
                </w:p>
              </w:tc>
              <w:tc>
                <w:tcPr>
                  <w:tcW w:w="477" w:type="pct"/>
                  <w:tcBorders>
                    <w:tl2br w:val="nil"/>
                    <w:tr2bl w:val="nil"/>
                  </w:tcBorders>
                  <w:noWrap w:val="0"/>
                  <w:vAlign w:val="center"/>
                </w:tcPr>
                <w:p w14:paraId="0368AB7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46.8</w:t>
                  </w:r>
                </w:p>
              </w:tc>
              <w:tc>
                <w:tcPr>
                  <w:tcW w:w="482" w:type="pct"/>
                  <w:tcBorders>
                    <w:tl2br w:val="nil"/>
                    <w:tr2bl w:val="nil"/>
                  </w:tcBorders>
                  <w:noWrap w:val="0"/>
                  <w:vAlign w:val="center"/>
                </w:tcPr>
                <w:p w14:paraId="71446D3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42.8</w:t>
                  </w:r>
                </w:p>
              </w:tc>
              <w:tc>
                <w:tcPr>
                  <w:tcW w:w="490" w:type="pct"/>
                  <w:vMerge w:val="continue"/>
                  <w:tcBorders>
                    <w:tl2br w:val="nil"/>
                    <w:tr2bl w:val="nil"/>
                  </w:tcBorders>
                  <w:noWrap w:val="0"/>
                  <w:vAlign w:val="center"/>
                </w:tcPr>
                <w:p w14:paraId="49F7E3AD">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c>
                <w:tcPr>
                  <w:tcW w:w="480" w:type="pct"/>
                  <w:vMerge w:val="continue"/>
                  <w:tcBorders>
                    <w:tl2br w:val="nil"/>
                    <w:tr2bl w:val="nil"/>
                  </w:tcBorders>
                  <w:noWrap w:val="0"/>
                  <w:vAlign w:val="center"/>
                </w:tcPr>
                <w:p w14:paraId="40750387">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i w:val="0"/>
                      <w:iCs w:val="0"/>
                      <w:color w:val="000000" w:themeColor="text1"/>
                      <w:sz w:val="21"/>
                      <w:szCs w:val="21"/>
                      <w:highlight w:val="none"/>
                      <w:u w:val="none"/>
                      <w14:textFill>
                        <w14:solidFill>
                          <w14:schemeClr w14:val="tx1"/>
                        </w14:solidFill>
                      </w14:textFill>
                    </w:rPr>
                  </w:pPr>
                </w:p>
              </w:tc>
            </w:tr>
          </w:tbl>
          <w:p w14:paraId="63D9895D">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bCs/>
                <w:color w:val="000000" w:themeColor="text1"/>
                <w:spacing w:val="-10"/>
                <w:szCs w:val="21"/>
                <w:highlight w:val="none"/>
                <w14:textFill>
                  <w14:solidFill>
                    <w14:schemeClr w14:val="tx1"/>
                  </w14:solidFill>
                </w14:textFill>
              </w:rPr>
            </w:pPr>
          </w:p>
          <w:p w14:paraId="269D0618">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由预测结果可知，随着距离衰减，各施工机械在30m处的预测值均能够达到《建筑施工噪声排放标准》（GB12523-20</w:t>
            </w:r>
            <w:r>
              <w:rPr>
                <w:rFonts w:hint="eastAsia" w:cs="Times New Roman"/>
                <w:color w:val="000000" w:themeColor="text1"/>
                <w:kern w:val="0"/>
                <w:szCs w:val="21"/>
                <w:highlight w:val="none"/>
                <w:lang w:val="en-US" w:eastAsia="zh-CN"/>
                <w14:textFill>
                  <w14:solidFill>
                    <w14:schemeClr w14:val="tx1"/>
                  </w14:solidFill>
                </w14:textFill>
              </w:rPr>
              <w:t>25</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）昼间标准，在100m处的预测值均能够达到夜间标准要求，但夜间不施工；而所有施工机械同时工作情况下，昼间噪声大约在30m处达标，夜间噪声则大约在100m处达标。</w:t>
            </w:r>
          </w:p>
          <w:p w14:paraId="08C342A7">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为进一步减小噪声对周边环境的影响，已采取如下措施：</w:t>
            </w:r>
          </w:p>
          <w:p w14:paraId="5D3FAD37">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①项目在进行施工时应优化施工方式，科学合理地安排施工步骤，如分段进行混凝土浇灌等措施，尽量减短噪声持续排放的时间；</w:t>
            </w:r>
          </w:p>
          <w:p w14:paraId="60D0BA50">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②项目在进行物料运输时，应合理安排运输时段，避免交通堵塞；</w:t>
            </w:r>
          </w:p>
          <w:p w14:paraId="4B69512A">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③合理安排工人施工时间，时间应控制在06</w:t>
            </w:r>
            <w:r>
              <w:rPr>
                <w:rFonts w:hint="eastAsia"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00～12</w:t>
            </w:r>
            <w:r>
              <w:rPr>
                <w:rFonts w:hint="eastAsia"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00和14</w:t>
            </w:r>
            <w:r>
              <w:rPr>
                <w:rFonts w:hint="eastAsia"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00～22</w:t>
            </w:r>
            <w:r>
              <w:rPr>
                <w:rFonts w:hint="eastAsia"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00时间段范围内，避开人群休息时间，夜间禁止施工；</w:t>
            </w:r>
          </w:p>
          <w:p w14:paraId="018F9AA6">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④加强对施工人员的管理，做到文明施工、科学安排，避免人为噪声产生；</w:t>
            </w:r>
          </w:p>
          <w:p w14:paraId="2ECD6F6E">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⑤优先选用低噪声设备；</w:t>
            </w:r>
          </w:p>
          <w:p w14:paraId="35C46103">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⑥在场区内禁止鸣笛，减速行驶等措施；</w:t>
            </w:r>
          </w:p>
          <w:p w14:paraId="08BCBB86">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⑦对紧邻敏感点一侧设立临时声屏障，减小噪声对敏感点的影响。</w:t>
            </w:r>
          </w:p>
          <w:p w14:paraId="7CC36F0C">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）振动保护措施</w:t>
            </w:r>
          </w:p>
          <w:p w14:paraId="6D8185F6">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项目在施工初期，采用机械进行土方开挖、平整，施工机械在运作过程中会有一定振动产生</w:t>
            </w:r>
            <w:r>
              <w:rPr>
                <w:rFonts w:hint="eastAsia" w:cs="Times New Roman"/>
                <w:color w:val="000000" w:themeColor="text1"/>
                <w:kern w:val="0"/>
                <w:szCs w:val="21"/>
                <w:highlight w:val="none"/>
                <w:lang w:eastAsia="zh-CN"/>
                <w14:textFill>
                  <w14:solidFill>
                    <w14:schemeClr w14:val="tx1"/>
                  </w14:solidFill>
                </w14:textFill>
              </w:rPr>
              <w:t>，以</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及混凝土浇灌引发的低频振动，由于项目工程量不大，开挖范围小，混凝土浇灌作业时间短。项目施工过程中选用低振动设备，合理安排土方开挖时间，施工机械装置</w:t>
            </w:r>
            <w:r>
              <w:rPr>
                <w:rFonts w:hint="eastAsia" w:cs="Times New Roman"/>
                <w:color w:val="000000" w:themeColor="text1"/>
                <w:kern w:val="0"/>
                <w:szCs w:val="21"/>
                <w:highlight w:val="none"/>
                <w:lang w:eastAsia="zh-CN"/>
                <w14:textFill>
                  <w14:solidFill>
                    <w14:schemeClr w14:val="tx1"/>
                  </w14:solidFill>
                </w14:textFill>
              </w:rPr>
              <w:t>减震</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垫，可以有效减少振动产生。</w:t>
            </w:r>
          </w:p>
          <w:p w14:paraId="07E9AC99">
            <w:pPr>
              <w:keepNext w:val="0"/>
              <w:keepLines w:val="0"/>
              <w:pageBreakBefore w:val="0"/>
              <w:widowControl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b/>
                <w:bCs/>
                <w:color w:val="000000" w:themeColor="text1"/>
                <w:kern w:val="0"/>
                <w:szCs w:val="21"/>
                <w:highlight w:val="none"/>
                <w:lang w:eastAsia="zh-CN"/>
                <w14:textFill>
                  <w14:solidFill>
                    <w14:schemeClr w14:val="tx1"/>
                  </w14:solidFill>
                </w14:textFill>
              </w:rPr>
            </w:pPr>
            <w:r>
              <w:rPr>
                <w:rFonts w:hint="eastAsia" w:ascii="Times New Roman" w:hAnsi="Times New Roman" w:eastAsia="宋体" w:cs="Times New Roman"/>
                <w:b/>
                <w:bCs/>
                <w:color w:val="000000" w:themeColor="text1"/>
                <w:kern w:val="0"/>
                <w:szCs w:val="21"/>
                <w:highlight w:val="none"/>
                <w:lang w:val="en-US" w:eastAsia="zh-CN"/>
                <w14:textFill>
                  <w14:solidFill>
                    <w14:schemeClr w14:val="tx1"/>
                  </w14:solidFill>
                </w14:textFill>
              </w:rPr>
              <w:t>4</w:t>
            </w:r>
            <w:r>
              <w:rPr>
                <w:rFonts w:hint="eastAsia" w:ascii="Times New Roman" w:hAnsi="Times New Roman" w:eastAsia="宋体" w:cs="Times New Roman"/>
                <w:b/>
                <w:bCs/>
                <w:color w:val="000000" w:themeColor="text1"/>
                <w:kern w:val="0"/>
                <w:szCs w:val="21"/>
                <w:highlight w:val="none"/>
                <w:lang w:eastAsia="zh-CN"/>
                <w14:textFill>
                  <w14:solidFill>
                    <w14:schemeClr w14:val="tx1"/>
                  </w14:solidFill>
                </w14:textFill>
              </w:rPr>
              <w:t>、施工期固体废物环境保护措施</w:t>
            </w:r>
          </w:p>
          <w:p w14:paraId="733BAD6F">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本项目属于改扩建项目，污水处理厂施工期的固体废物包括基础阶段开挖的土石方、建筑垃圾以及施工人员产生的生活垃圾。</w:t>
            </w:r>
          </w:p>
          <w:p w14:paraId="4A6A4E1B">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1</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土石方</w:t>
            </w:r>
          </w:p>
          <w:p w14:paraId="0B82AF63">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根据初步设计，污水处理厂开挖土石方</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7969</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m</w:t>
            </w:r>
            <w:r>
              <w:rPr>
                <w:rFonts w:hint="default" w:ascii="Times New Roman" w:hAnsi="Times New Roman" w:eastAsia="宋体" w:cs="Times New Roman"/>
                <w:color w:val="000000" w:themeColor="text1"/>
                <w:kern w:val="0"/>
                <w:szCs w:val="21"/>
                <w:highlight w:val="none"/>
                <w:vertAlign w:val="superscript"/>
                <w:lang w:eastAsia="zh-CN"/>
                <w14:textFill>
                  <w14:solidFill>
                    <w14:schemeClr w14:val="tx1"/>
                  </w14:solidFill>
                </w14:textFill>
              </w:rPr>
              <w:t>3</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，回填利用</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2300</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m</w:t>
            </w:r>
            <w:r>
              <w:rPr>
                <w:rFonts w:hint="default" w:ascii="Times New Roman" w:hAnsi="Times New Roman" w:eastAsia="宋体" w:cs="Times New Roman"/>
                <w:color w:val="000000" w:themeColor="text1"/>
                <w:kern w:val="0"/>
                <w:szCs w:val="21"/>
                <w:highlight w:val="none"/>
                <w:vertAlign w:val="superscript"/>
                <w:lang w:eastAsia="zh-CN"/>
                <w14:textFill>
                  <w14:solidFill>
                    <w14:schemeClr w14:val="tx1"/>
                  </w14:solidFill>
                </w14:textFill>
              </w:rPr>
              <w:t>3</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，产生废弃土方</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5669</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m</w:t>
            </w:r>
            <w:r>
              <w:rPr>
                <w:rFonts w:hint="default" w:ascii="Times New Roman" w:hAnsi="Times New Roman" w:eastAsia="宋体" w:cs="Times New Roman"/>
                <w:color w:val="000000" w:themeColor="text1"/>
                <w:kern w:val="0"/>
                <w:szCs w:val="21"/>
                <w:highlight w:val="none"/>
                <w:vertAlign w:val="superscript"/>
                <w:lang w:eastAsia="zh-CN"/>
                <w14:textFill>
                  <w14:solidFill>
                    <w14:schemeClr w14:val="tx1"/>
                  </w14:solidFill>
                </w14:textFill>
              </w:rPr>
              <w:t>3</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弃方按当地管理部门要求进行处置。</w:t>
            </w:r>
          </w:p>
          <w:p w14:paraId="33B6040A">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（2）建筑垃圾</w:t>
            </w:r>
          </w:p>
          <w:p w14:paraId="0F18C621">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项目施工期产生的建筑垃圾主要来源于污水处理厂老旧设备及设施拆除</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及建（构）筑物施工及维修</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，本项目产生建筑垃圾量约为</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t，主要为改造过程中拆除的原有老旧设备</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新建厌氧缺氧池、MBR膜池及膜车间等构筑物的施工废料</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，现状厂房维修、改造产生的建筑废料</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等。建设过程中已对产生的建筑垃圾进行分类收集，能回收利用的回收利用，不能回收利用的建筑垃圾统一收集后按照当地管理部门要求进行处置。</w:t>
            </w:r>
          </w:p>
          <w:p w14:paraId="71CAE5CD">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3</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临时沉淀池沉渣</w:t>
            </w:r>
          </w:p>
          <w:p w14:paraId="692D2751">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项目污水处理厂施工期间设有1个临时沉淀池，临时沉淀池沉渣主要含有污泥、SS及少量泥沙等，属于一般固废，根据类比，沉渣产生量约为1m</w:t>
            </w:r>
            <w:r>
              <w:rPr>
                <w:rFonts w:hint="default" w:ascii="Times New Roman" w:hAnsi="Times New Roman" w:eastAsia="宋体" w:cs="Times New Roman"/>
                <w:color w:val="000000" w:themeColor="text1"/>
                <w:kern w:val="0"/>
                <w:szCs w:val="21"/>
                <w:highlight w:val="none"/>
                <w:vertAlign w:val="superscript"/>
                <w:lang w:eastAsia="zh-CN"/>
                <w14:textFill>
                  <w14:solidFill>
                    <w14:schemeClr w14:val="tx1"/>
                  </w14:solidFill>
                </w14:textFill>
              </w:rPr>
              <w:t>3</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，沉渣主要含有污泥、SS及少量泥沙等，属于一般固废，产生量较少，经打捞后用于回填施工场地或用作厂区绿化覆土。</w:t>
            </w:r>
          </w:p>
          <w:p w14:paraId="5ACF3C7D">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4</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施工人员生活垃圾</w:t>
            </w:r>
          </w:p>
          <w:p w14:paraId="3715275B">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污水处理厂改扩建预定施工工人12人，均为附近村民，不在项目区内食宿，施工人员生活垃圾产生量按0.5kg/d·人计，施工期为30天，则项目施工期产生的生活垃圾量为6kg/d、</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0.18</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t，生活垃圾集中收集后</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由环卫部门统一清运</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w:t>
            </w:r>
          </w:p>
          <w:p w14:paraId="30E56EEC">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b/>
                <w:bCs/>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kern w:val="0"/>
                <w:szCs w:val="21"/>
                <w:highlight w:val="none"/>
                <w:lang w:eastAsia="zh-CN"/>
                <w14:textFill>
                  <w14:solidFill>
                    <w14:schemeClr w14:val="tx1"/>
                  </w14:solidFill>
                </w14:textFill>
              </w:rPr>
              <w:t>、施工期生态环境保护措施</w:t>
            </w:r>
          </w:p>
          <w:p w14:paraId="31ADE4A7">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污水处理厂工程无新增建设用地，在现有污水处理厂内预留空地建设，根据调查，用地范围内现状建设用地，无生态环境保护目标，但施工期对地基和管网开挖将扰动原有地貌，并改变土地结构，使土壤侵蚀强度增加，区域水土流失加重。特别是在干旱少雨的旱季，松散的地表在有风和车辆行驶时易形成扬尘，裸露地表受雨季雨水的冲刷造成水土流失。已采取以下措施进行防护：</w:t>
            </w:r>
          </w:p>
          <w:p w14:paraId="7ECDE211">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（1）施工挖方影响范围较广，应分段施工，随挖随填，施工结束，应尽快对开挖的施工地面进行植被恢复或硬化，将区域影响降到最小；</w:t>
            </w:r>
          </w:p>
          <w:p w14:paraId="2D15A11B">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ascii="宋体" w:hAnsi="宋体" w:cs="宋体"/>
                <w:bCs/>
                <w:color w:val="000000" w:themeColor="text1"/>
                <w:spacing w:val="-1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eastAsia" w:cs="Times New Roman"/>
                <w:color w:val="000000" w:themeColor="text1"/>
                <w:kern w:val="0"/>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）施工期间挖出土方应及时回填，采取分片施</w:t>
            </w:r>
            <w:r>
              <w:rPr>
                <w:rFonts w:hint="eastAsia" w:cs="Times New Roman"/>
                <w:color w:val="000000" w:themeColor="text1"/>
                <w:kern w:val="0"/>
                <w:szCs w:val="21"/>
                <w:highlight w:val="none"/>
                <w:lang w:eastAsia="zh-CN"/>
                <w14:textFill>
                  <w14:solidFill>
                    <w14:schemeClr w14:val="tx1"/>
                  </w14:solidFill>
                </w14:textFill>
              </w:rPr>
              <w:t>工和</w:t>
            </w:r>
            <w:r>
              <w:rPr>
                <w:rFonts w:hint="default" w:ascii="Times New Roman" w:hAnsi="Times New Roman" w:eastAsia="宋体" w:cs="Times New Roman"/>
                <w:color w:val="000000" w:themeColor="text1"/>
                <w:kern w:val="0"/>
                <w:szCs w:val="21"/>
                <w:highlight w:val="none"/>
                <w:lang w:eastAsia="zh-CN"/>
                <w14:textFill>
                  <w14:solidFill>
                    <w14:schemeClr w14:val="tx1"/>
                  </w14:solidFill>
                </w14:textFill>
              </w:rPr>
              <w:t>就地利用方式处理，对已经产生的渣土用于尚未施工片区的铺垫材料，这样可以减少挖方的堆放面积和数量，施工期间，要避免挖出土方长时间、不加围栏的露天堆放。</w:t>
            </w:r>
          </w:p>
        </w:tc>
      </w:tr>
      <w:tr w14:paraId="361D91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50" w:hRule="atLeast"/>
          <w:jc w:val="center"/>
        </w:trPr>
        <w:tc>
          <w:tcPr>
            <w:tcW w:w="340" w:type="pct"/>
            <w:noWrap w:val="0"/>
            <w:tcMar>
              <w:left w:w="28" w:type="dxa"/>
              <w:right w:w="28" w:type="dxa"/>
            </w:tcMar>
            <w:vAlign w:val="center"/>
          </w:tcPr>
          <w:p w14:paraId="327DD6F5">
            <w:pPr>
              <w:adjustRightInd w:val="0"/>
              <w:snapToGrid w:val="0"/>
              <w:jc w:val="center"/>
              <w:rPr>
                <w:rFonts w:hint="default" w:ascii="Times New Roman" w:hAnsi="Times New Roman" w:cs="Times New Roman"/>
                <w:bCs/>
                <w:color w:val="000000" w:themeColor="text1"/>
                <w:sz w:val="24"/>
                <w:szCs w:val="24"/>
                <w:highlight w:val="none"/>
                <w14:textFill>
                  <w14:solidFill>
                    <w14:schemeClr w14:val="tx1"/>
                  </w14:solidFill>
                </w14:textFill>
              </w:rPr>
            </w:pPr>
            <w:r>
              <w:rPr>
                <w:rFonts w:hint="default" w:ascii="Times New Roman" w:hAnsi="Times New Roman" w:cs="Times New Roman"/>
                <w:bCs/>
                <w:color w:val="000000" w:themeColor="text1"/>
                <w:sz w:val="24"/>
                <w:szCs w:val="24"/>
                <w:highlight w:val="none"/>
                <w14:textFill>
                  <w14:solidFill>
                    <w14:schemeClr w14:val="tx1"/>
                  </w14:solidFill>
                </w14:textFill>
              </w:rPr>
              <w:t>运营</w:t>
            </w:r>
          </w:p>
          <w:p w14:paraId="2BF9FC31">
            <w:pPr>
              <w:adjustRightInd w:val="0"/>
              <w:snapToGrid w:val="0"/>
              <w:jc w:val="center"/>
              <w:rPr>
                <w:rFonts w:hint="default" w:ascii="Times New Roman" w:hAnsi="Times New Roman" w:cs="Times New Roman"/>
                <w:bCs/>
                <w:color w:val="000000" w:themeColor="text1"/>
                <w:sz w:val="24"/>
                <w:szCs w:val="24"/>
                <w:highlight w:val="none"/>
                <w14:textFill>
                  <w14:solidFill>
                    <w14:schemeClr w14:val="tx1"/>
                  </w14:solidFill>
                </w14:textFill>
              </w:rPr>
            </w:pPr>
            <w:r>
              <w:rPr>
                <w:rFonts w:hint="default" w:ascii="Times New Roman" w:hAnsi="Times New Roman" w:cs="Times New Roman"/>
                <w:bCs/>
                <w:color w:val="000000" w:themeColor="text1"/>
                <w:sz w:val="24"/>
                <w:szCs w:val="24"/>
                <w:highlight w:val="none"/>
                <w14:textFill>
                  <w14:solidFill>
                    <w14:schemeClr w14:val="tx1"/>
                  </w14:solidFill>
                </w14:textFill>
              </w:rPr>
              <w:t>期环</w:t>
            </w:r>
          </w:p>
          <w:p w14:paraId="20326F8E">
            <w:pPr>
              <w:adjustRightInd w:val="0"/>
              <w:snapToGrid w:val="0"/>
              <w:jc w:val="center"/>
              <w:rPr>
                <w:rFonts w:hint="default" w:ascii="Times New Roman" w:hAnsi="Times New Roman" w:cs="Times New Roman"/>
                <w:bCs/>
                <w:color w:val="000000" w:themeColor="text1"/>
                <w:sz w:val="24"/>
                <w:szCs w:val="24"/>
                <w:highlight w:val="none"/>
                <w14:textFill>
                  <w14:solidFill>
                    <w14:schemeClr w14:val="tx1"/>
                  </w14:solidFill>
                </w14:textFill>
              </w:rPr>
            </w:pPr>
            <w:r>
              <w:rPr>
                <w:rFonts w:hint="default" w:ascii="Times New Roman" w:hAnsi="Times New Roman" w:cs="Times New Roman"/>
                <w:bCs/>
                <w:color w:val="000000" w:themeColor="text1"/>
                <w:sz w:val="24"/>
                <w:szCs w:val="24"/>
                <w:highlight w:val="none"/>
                <w14:textFill>
                  <w14:solidFill>
                    <w14:schemeClr w14:val="tx1"/>
                  </w14:solidFill>
                </w14:textFill>
              </w:rPr>
              <w:t>境影</w:t>
            </w:r>
          </w:p>
          <w:p w14:paraId="5B350EC0">
            <w:pPr>
              <w:adjustRightInd w:val="0"/>
              <w:snapToGrid w:val="0"/>
              <w:jc w:val="center"/>
              <w:rPr>
                <w:rFonts w:hint="default" w:ascii="Times New Roman" w:hAnsi="Times New Roman" w:cs="Times New Roman"/>
                <w:bCs/>
                <w:color w:val="000000" w:themeColor="text1"/>
                <w:sz w:val="24"/>
                <w:szCs w:val="24"/>
                <w:highlight w:val="none"/>
                <w14:textFill>
                  <w14:solidFill>
                    <w14:schemeClr w14:val="tx1"/>
                  </w14:solidFill>
                </w14:textFill>
              </w:rPr>
            </w:pPr>
            <w:r>
              <w:rPr>
                <w:rFonts w:hint="default" w:ascii="Times New Roman" w:hAnsi="Times New Roman" w:cs="Times New Roman"/>
                <w:bCs/>
                <w:color w:val="000000" w:themeColor="text1"/>
                <w:sz w:val="24"/>
                <w:szCs w:val="24"/>
                <w:highlight w:val="none"/>
                <w14:textFill>
                  <w14:solidFill>
                    <w14:schemeClr w14:val="tx1"/>
                  </w14:solidFill>
                </w14:textFill>
              </w:rPr>
              <w:t>响和</w:t>
            </w:r>
          </w:p>
          <w:p w14:paraId="0F52C0C3">
            <w:pPr>
              <w:adjustRightInd w:val="0"/>
              <w:snapToGrid w:val="0"/>
              <w:jc w:val="center"/>
              <w:rPr>
                <w:rFonts w:hint="default" w:ascii="Times New Roman" w:hAnsi="Times New Roman" w:cs="Times New Roman"/>
                <w:bCs/>
                <w:color w:val="000000" w:themeColor="text1"/>
                <w:sz w:val="24"/>
                <w:szCs w:val="24"/>
                <w:highlight w:val="none"/>
                <w14:textFill>
                  <w14:solidFill>
                    <w14:schemeClr w14:val="tx1"/>
                  </w14:solidFill>
                </w14:textFill>
              </w:rPr>
            </w:pPr>
            <w:r>
              <w:rPr>
                <w:rFonts w:hint="default" w:ascii="Times New Roman" w:hAnsi="Times New Roman" w:cs="Times New Roman"/>
                <w:bCs/>
                <w:color w:val="000000" w:themeColor="text1"/>
                <w:sz w:val="24"/>
                <w:szCs w:val="24"/>
                <w:highlight w:val="none"/>
                <w14:textFill>
                  <w14:solidFill>
                    <w14:schemeClr w14:val="tx1"/>
                  </w14:solidFill>
                </w14:textFill>
              </w:rPr>
              <w:t>保护</w:t>
            </w:r>
          </w:p>
          <w:p w14:paraId="54AA8704">
            <w:pPr>
              <w:adjustRightInd w:val="0"/>
              <w:snapToGrid w:val="0"/>
              <w:spacing w:before="0" w:beforeAutospacing="0" w:after="0" w:afterAutospacing="0"/>
              <w:jc w:val="center"/>
              <w:rPr>
                <w:rFonts w:hint="default" w:ascii="Times New Roman" w:hAnsi="Times New Roman" w:cs="Times New Roman"/>
                <w:color w:val="000000" w:themeColor="text1"/>
                <w:kern w:val="2"/>
                <w:sz w:val="24"/>
                <w:szCs w:val="24"/>
                <w:highlight w:val="none"/>
                <w14:textFill>
                  <w14:solidFill>
                    <w14:schemeClr w14:val="tx1"/>
                  </w14:solidFill>
                </w14:textFill>
              </w:rPr>
            </w:pPr>
            <w:r>
              <w:rPr>
                <w:rFonts w:hint="default" w:ascii="Times New Roman" w:hAnsi="Times New Roman" w:cs="Times New Roman"/>
                <w:bCs/>
                <w:color w:val="000000" w:themeColor="text1"/>
                <w:sz w:val="24"/>
                <w:szCs w:val="24"/>
                <w:highlight w:val="none"/>
                <w14:textFill>
                  <w14:solidFill>
                    <w14:schemeClr w14:val="tx1"/>
                  </w14:solidFill>
                </w14:textFill>
              </w:rPr>
              <w:t>措施</w:t>
            </w:r>
          </w:p>
        </w:tc>
        <w:tc>
          <w:tcPr>
            <w:tcW w:w="4659" w:type="pct"/>
            <w:noWrap w:val="0"/>
            <w:vAlign w:val="center"/>
          </w:tcPr>
          <w:p w14:paraId="365ECB2D">
            <w:pPr>
              <w:keepNext w:val="0"/>
              <w:keepLines w:val="0"/>
              <w:pageBreakBefore w:val="0"/>
              <w:widowControl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b/>
                <w:bCs/>
                <w:color w:val="000000" w:themeColor="text1"/>
                <w:kern w:val="0"/>
                <w:szCs w:val="21"/>
                <w:highlight w:val="none"/>
                <w:lang w:eastAsia="zh-CN"/>
                <w14:textFill>
                  <w14:solidFill>
                    <w14:schemeClr w14:val="tx1"/>
                  </w14:solidFill>
                </w14:textFill>
              </w:rPr>
            </w:pPr>
            <w:r>
              <w:rPr>
                <w:rFonts w:hint="eastAsia" w:ascii="Times New Roman" w:hAnsi="Times New Roman" w:eastAsia="宋体" w:cs="Times New Roman"/>
                <w:b/>
                <w:bCs/>
                <w:color w:val="000000" w:themeColor="text1"/>
                <w:kern w:val="0"/>
                <w:szCs w:val="21"/>
                <w:highlight w:val="none"/>
                <w:lang w:val="en-US" w:eastAsia="zh-CN"/>
                <w14:textFill>
                  <w14:solidFill>
                    <w14:schemeClr w14:val="tx1"/>
                  </w14:solidFill>
                </w14:textFill>
              </w:rPr>
              <w:t>1、废气</w:t>
            </w:r>
          </w:p>
          <w:p w14:paraId="51D41888">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1</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）恶臭</w:t>
            </w:r>
          </w:p>
          <w:p w14:paraId="3B6CF92E">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1）恶臭产生情况</w:t>
            </w:r>
          </w:p>
          <w:p w14:paraId="75E8E3D7">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污水处理厂污水中含有大量的有机物和无机物，这些物质在微生物的降解作用时会产生恶臭。本工程臭气来源主要分为三部分，一为污水预处理单元产生的臭气，主要包括格栅及进水泵房及沉砂池等产生的臭气，二为生化池单元产生的臭气，主要包括生化池等产生的臭气，三为污泥处理单元产生的臭气，主要包括污泥</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暂存</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、污泥浓</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压滤</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及污泥输送段产生的臭气。</w:t>
            </w:r>
          </w:p>
          <w:p w14:paraId="7D2F5F80">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恶臭</w:t>
            </w:r>
            <w:r>
              <w:rPr>
                <w:rFonts w:hint="eastAsia" w:cs="Times New Roman"/>
                <w:color w:val="000000" w:themeColor="text1"/>
                <w:kern w:val="0"/>
                <w:szCs w:val="21"/>
                <w:highlight w:val="none"/>
                <w:lang w:eastAsia="zh-CN"/>
                <w14:textFill>
                  <w14:solidFill>
                    <w14:schemeClr w14:val="tx1"/>
                  </w14:solidFill>
                </w14:textFill>
              </w:rPr>
              <w:t>成分</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主要是生化分解反应过程中产生的氨（胺）等含氮化合物及硫化氢、甲烷、硫醇、硫醚等混合物，其产量受水温、pH值、构筑物设计参数等多种因素的影响。产污单位相对集中，为降低臭气对周围环境的影响，要求建设单位对主要恶臭源进行密闭、加盖等收集后送</w:t>
            </w:r>
            <w:r>
              <w:rPr>
                <w:rFonts w:hint="eastAsia" w:cs="Times New Roman"/>
                <w:color w:val="000000" w:themeColor="text1"/>
                <w:kern w:val="0"/>
                <w:szCs w:val="21"/>
                <w:highlight w:val="none"/>
                <w:lang w:val="en-US" w:eastAsia="zh-CN"/>
                <w14:textFill>
                  <w14:solidFill>
                    <w14:schemeClr w14:val="tx1"/>
                  </w14:solidFill>
                </w14:textFill>
              </w:rPr>
              <w:t>活性炭吸附</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系统进行集中处置，少量未被收集部分属无组织排放源。经类比分析，硫醇类恶臭污染物产生量相较于氨、硫化氢等污染因子，其含量较小，且项目设置的</w:t>
            </w:r>
            <w:r>
              <w:rPr>
                <w:rFonts w:hint="eastAsia" w:cs="Times New Roman"/>
                <w:color w:val="000000" w:themeColor="text1"/>
                <w:kern w:val="0"/>
                <w:szCs w:val="21"/>
                <w:highlight w:val="none"/>
                <w:lang w:val="en-US" w:eastAsia="zh-CN"/>
                <w14:textFill>
                  <w14:solidFill>
                    <w14:schemeClr w14:val="tx1"/>
                  </w14:solidFill>
                </w14:textFill>
              </w:rPr>
              <w:t>活性炭吸附</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系统</w:t>
            </w:r>
            <w:r>
              <w:rPr>
                <w:rFonts w:hint="eastAsia" w:cs="Times New Roman"/>
                <w:color w:val="000000" w:themeColor="text1"/>
                <w:kern w:val="0"/>
                <w:szCs w:val="21"/>
                <w:highlight w:val="none"/>
                <w:lang w:eastAsia="zh-CN"/>
                <w14:textFill>
                  <w14:solidFill>
                    <w14:schemeClr w14:val="tx1"/>
                  </w14:solidFill>
                </w14:textFill>
              </w:rPr>
              <w:t>对</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相应的大气污染物的去除率很高，因此，本项目评价选取氨、硫化氢作为主要分析预测因子。</w:t>
            </w:r>
          </w:p>
          <w:p w14:paraId="31E279A9">
            <w:pPr>
              <w:pStyle w:val="20"/>
              <w:bidi w:val="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表4-</w:t>
            </w:r>
            <w:r>
              <w:rPr>
                <w:rFonts w:hint="eastAsia"/>
                <w:color w:val="000000" w:themeColor="text1"/>
                <w:highlight w:val="none"/>
                <w:lang w:val="en-US" w:eastAsia="zh-CN"/>
                <w14:textFill>
                  <w14:solidFill>
                    <w14:schemeClr w14:val="tx1"/>
                  </w14:solidFill>
                </w14:textFill>
              </w:rPr>
              <w:t xml:space="preserve">3 </w:t>
            </w:r>
            <w:r>
              <w:rPr>
                <w:rFonts w:hint="eastAsia"/>
                <w:color w:val="000000" w:themeColor="text1"/>
                <w:highlight w:val="none"/>
                <w:lang w:eastAsia="zh-CN"/>
                <w14:textFill>
                  <w14:solidFill>
                    <w14:schemeClr w14:val="tx1"/>
                  </w14:solidFill>
                </w14:textFill>
              </w:rPr>
              <w:t xml:space="preserve"> 主要恶臭污染物的理化性质</w:t>
            </w:r>
          </w:p>
          <w:tbl>
            <w:tblPr>
              <w:tblStyle w:val="12"/>
              <w:tblW w:w="4998" w:type="pct"/>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444"/>
              <w:gridCol w:w="1090"/>
              <w:gridCol w:w="6811"/>
            </w:tblGrid>
            <w:tr w14:paraId="0F8D4B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266" w:type="pct"/>
                  <w:tcBorders>
                    <w:tl2br w:val="nil"/>
                    <w:tr2bl w:val="nil"/>
                  </w:tcBorders>
                  <w:noWrap w:val="0"/>
                  <w:vAlign w:val="center"/>
                </w:tcPr>
                <w:p w14:paraId="27AE2D4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序号</w:t>
                  </w:r>
                </w:p>
              </w:tc>
              <w:tc>
                <w:tcPr>
                  <w:tcW w:w="653" w:type="pct"/>
                  <w:tcBorders>
                    <w:tl2br w:val="nil"/>
                    <w:tr2bl w:val="nil"/>
                  </w:tcBorders>
                  <w:noWrap w:val="0"/>
                  <w:vAlign w:val="center"/>
                </w:tcPr>
                <w:p w14:paraId="7F04C56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污染物</w:t>
                  </w:r>
                </w:p>
              </w:tc>
              <w:tc>
                <w:tcPr>
                  <w:tcW w:w="4079" w:type="pct"/>
                  <w:tcBorders>
                    <w:tl2br w:val="nil"/>
                    <w:tr2bl w:val="nil"/>
                  </w:tcBorders>
                  <w:noWrap w:val="0"/>
                  <w:vAlign w:val="center"/>
                </w:tcPr>
                <w:p w14:paraId="7312952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性质</w:t>
                  </w:r>
                </w:p>
              </w:tc>
            </w:tr>
            <w:tr w14:paraId="233C4D5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266" w:type="pct"/>
                  <w:tcBorders>
                    <w:tl2br w:val="nil"/>
                    <w:tr2bl w:val="nil"/>
                  </w:tcBorders>
                  <w:noWrap w:val="0"/>
                  <w:vAlign w:val="center"/>
                </w:tcPr>
                <w:p w14:paraId="539D096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653" w:type="pct"/>
                  <w:tcBorders>
                    <w:tl2br w:val="nil"/>
                    <w:tr2bl w:val="nil"/>
                  </w:tcBorders>
                  <w:noWrap w:val="0"/>
                  <w:vAlign w:val="center"/>
                </w:tcPr>
                <w:p w14:paraId="56C4860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氨</w:t>
                  </w:r>
                </w:p>
              </w:tc>
              <w:tc>
                <w:tcPr>
                  <w:tcW w:w="4079" w:type="pct"/>
                  <w:tcBorders>
                    <w:tl2br w:val="nil"/>
                    <w:tr2bl w:val="nil"/>
                  </w:tcBorders>
                  <w:noWrap w:val="0"/>
                  <w:vAlign w:val="center"/>
                </w:tcPr>
                <w:p w14:paraId="6E87E37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无色气体，有强烈的次级气味，有恶臭和毒性，嗅觉值为0.00075mg/m</w:t>
                  </w:r>
                  <w:r>
                    <w:rPr>
                      <w:rFonts w:hint="eastAsia" w:eastAsia="宋体" w:cs="Times New Roman"/>
                      <w:color w:val="000000" w:themeColor="text1"/>
                      <w:sz w:val="21"/>
                      <w:szCs w:val="21"/>
                      <w:highlight w:val="none"/>
                      <w:vertAlign w:val="superscript"/>
                      <w:lang w:val="en-US" w:eastAsia="zh-CN" w:bidi="ar"/>
                      <w14:textFill>
                        <w14:solidFill>
                          <w14:schemeClr w14:val="tx1"/>
                        </w14:solidFill>
                      </w14:textFill>
                    </w:rPr>
                    <w:t>3</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0.0005ppm</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比重1.1906</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空气=1.00</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沸点-61.8℃</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熔点-82.9℃</w:t>
                  </w:r>
                  <w:r>
                    <w:rPr>
                      <w:rFonts w:hint="eastAsia" w:eastAsia="宋体" w:cs="Times New Roman"/>
                      <w:color w:val="000000" w:themeColor="text1"/>
                      <w:sz w:val="21"/>
                      <w:szCs w:val="21"/>
                      <w:highlight w:val="none"/>
                      <w:lang w:val="en-US" w:eastAsia="zh-CN" w:bidi="ar"/>
                      <w14:textFill>
                        <w14:solidFill>
                          <w14:schemeClr w14:val="tx1"/>
                        </w14:solidFill>
                      </w14:textFill>
                    </w:rPr>
                    <w:t>。</w:t>
                  </w:r>
                </w:p>
              </w:tc>
            </w:tr>
            <w:tr w14:paraId="51D8CB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266" w:type="pct"/>
                  <w:tcBorders>
                    <w:tl2br w:val="nil"/>
                    <w:tr2bl w:val="nil"/>
                  </w:tcBorders>
                  <w:noWrap w:val="0"/>
                  <w:vAlign w:val="center"/>
                </w:tcPr>
                <w:p w14:paraId="056CFD2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653" w:type="pct"/>
                  <w:tcBorders>
                    <w:tl2br w:val="nil"/>
                    <w:tr2bl w:val="nil"/>
                  </w:tcBorders>
                  <w:noWrap w:val="0"/>
                  <w:vAlign w:val="center"/>
                </w:tcPr>
                <w:p w14:paraId="28B881F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硫化氢</w:t>
                  </w:r>
                </w:p>
              </w:tc>
              <w:tc>
                <w:tcPr>
                  <w:tcW w:w="4079" w:type="pct"/>
                  <w:tcBorders>
                    <w:tl2br w:val="nil"/>
                    <w:tr2bl w:val="nil"/>
                  </w:tcBorders>
                  <w:noWrap w:val="0"/>
                  <w:vAlign w:val="center"/>
                </w:tcPr>
                <w:p w14:paraId="140D51A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无色气体，具有臭鸡蛋味，嗅觉值为0.026mg/m</w:t>
                  </w:r>
                  <w:r>
                    <w:rPr>
                      <w:rFonts w:hint="eastAsia" w:eastAsia="宋体" w:cs="Times New Roman"/>
                      <w:color w:val="000000" w:themeColor="text1"/>
                      <w:sz w:val="21"/>
                      <w:szCs w:val="21"/>
                      <w:highlight w:val="none"/>
                      <w:vertAlign w:val="superscript"/>
                      <w:lang w:val="en-US" w:eastAsia="zh-CN" w:bidi="ar"/>
                      <w14:textFill>
                        <w14:solidFill>
                          <w14:schemeClr w14:val="tx1"/>
                        </w14:solidFill>
                      </w14:textFill>
                    </w:rPr>
                    <w:t>3</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0.037ppm</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比重0.5971</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空气=1.00</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沸点-33.5℃</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熔点-77.7℃</w:t>
                  </w:r>
                  <w:r>
                    <w:rPr>
                      <w:rFonts w:hint="eastAsia" w:eastAsia="宋体" w:cs="Times New Roman"/>
                      <w:color w:val="000000" w:themeColor="text1"/>
                      <w:sz w:val="21"/>
                      <w:szCs w:val="21"/>
                      <w:highlight w:val="none"/>
                      <w:lang w:val="en-US" w:eastAsia="zh-CN" w:bidi="ar"/>
                      <w14:textFill>
                        <w14:solidFill>
                          <w14:schemeClr w14:val="tx1"/>
                        </w14:solidFill>
                      </w14:textFill>
                    </w:rPr>
                    <w:t>。</w:t>
                  </w:r>
                </w:p>
              </w:tc>
            </w:tr>
          </w:tbl>
          <w:p w14:paraId="563A9490">
            <w:pPr>
              <w:keepNext w:val="0"/>
              <w:keepLines w:val="0"/>
              <w:pageBreakBefore w:val="0"/>
              <w:widowControl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pPr>
          </w:p>
          <w:p w14:paraId="4C004573">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2）恶臭源强</w:t>
            </w:r>
          </w:p>
          <w:p w14:paraId="48899304">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污水处理厂恶臭气体成分复杂，主要污染物为氨、硫化氢等，根据其处理工艺，在</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调节及提升泵房、细格栅间</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、沉砂池、</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厌氧池、缺氧池、好氧池</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、污泥脱水机房、</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污泥储池</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等构筑物均有产生，且以低矮面源排放。</w:t>
            </w:r>
          </w:p>
          <w:p w14:paraId="065D391F">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根据美国EPA对城市污水处理厂恶臭污染物产生情况的研究，每去除1.0g的BOD</w:t>
            </w:r>
            <w:r>
              <w:rPr>
                <w:rFonts w:hint="eastAsia" w:ascii="Times New Roman" w:hAnsi="Times New Roman" w:eastAsia="宋体" w:cs="Times New Roman"/>
                <w:color w:val="000000" w:themeColor="text1"/>
                <w:kern w:val="0"/>
                <w:szCs w:val="21"/>
                <w:highlight w:val="none"/>
                <w:vertAlign w:val="subscript"/>
                <w:lang w:eastAsia="zh-CN"/>
                <w14:textFill>
                  <w14:solidFill>
                    <w14:schemeClr w14:val="tx1"/>
                  </w14:solidFill>
                </w14:textFill>
              </w:rPr>
              <w:t>5</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可产生0.0031g的NH</w:t>
            </w:r>
            <w:r>
              <w:rPr>
                <w:rFonts w:hint="eastAsia" w:ascii="Times New Roman" w:hAnsi="Times New Roman" w:eastAsia="宋体" w:cs="Times New Roman"/>
                <w:color w:val="000000" w:themeColor="text1"/>
                <w:kern w:val="0"/>
                <w:szCs w:val="21"/>
                <w:highlight w:val="none"/>
                <w:vertAlign w:val="subscript"/>
                <w:lang w:eastAsia="zh-CN"/>
                <w14:textFill>
                  <w14:solidFill>
                    <w14:schemeClr w14:val="tx1"/>
                  </w14:solidFill>
                </w14:textFill>
              </w:rPr>
              <w:t>3</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、0.00012g的H</w:t>
            </w:r>
            <w:r>
              <w:rPr>
                <w:rFonts w:hint="eastAsia" w:ascii="Times New Roman" w:hAnsi="Times New Roman" w:eastAsia="宋体" w:cs="Times New Roman"/>
                <w:color w:val="000000" w:themeColor="text1"/>
                <w:kern w:val="0"/>
                <w:szCs w:val="21"/>
                <w:highlight w:val="none"/>
                <w:vertAlign w:val="subscript"/>
                <w:lang w:eastAsia="zh-CN"/>
                <w14:textFill>
                  <w14:solidFill>
                    <w14:schemeClr w14:val="tx1"/>
                  </w14:solidFill>
                </w14:textFill>
              </w:rPr>
              <w:t>2</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S，类比分析计算，本项目营运过程中，污水处理厂恶臭污染物产生情况详见下表：</w:t>
            </w:r>
          </w:p>
          <w:p w14:paraId="5F604981">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表4-4  恶臭源强计算表</w:t>
            </w:r>
          </w:p>
          <w:tbl>
            <w:tblPr>
              <w:tblStyle w:val="12"/>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301"/>
              <w:gridCol w:w="1424"/>
              <w:gridCol w:w="1316"/>
              <w:gridCol w:w="1062"/>
              <w:gridCol w:w="827"/>
              <w:gridCol w:w="721"/>
              <w:gridCol w:w="840"/>
              <w:gridCol w:w="853"/>
            </w:tblGrid>
            <w:tr w14:paraId="7D6181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79" w:type="pct"/>
                  <w:vMerge w:val="restart"/>
                  <w:tcBorders>
                    <w:tl2br w:val="nil"/>
                    <w:tr2bl w:val="nil"/>
                  </w:tcBorders>
                  <w:noWrap w:val="0"/>
                  <w:vAlign w:val="center"/>
                </w:tcPr>
                <w:p w14:paraId="6206B08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处理规模</w:t>
                  </w:r>
                </w:p>
              </w:tc>
              <w:tc>
                <w:tcPr>
                  <w:tcW w:w="2277" w:type="pct"/>
                  <w:gridSpan w:val="3"/>
                  <w:tcBorders>
                    <w:tl2br w:val="nil"/>
                    <w:tr2bl w:val="nil"/>
                  </w:tcBorders>
                  <w:noWrap w:val="0"/>
                  <w:vAlign w:val="center"/>
                </w:tcPr>
                <w:p w14:paraId="709BB2A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BOD₅</w:t>
                  </w:r>
                </w:p>
              </w:tc>
              <w:tc>
                <w:tcPr>
                  <w:tcW w:w="1943" w:type="pct"/>
                  <w:gridSpan w:val="4"/>
                  <w:tcBorders>
                    <w:tl2br w:val="nil"/>
                    <w:tr2bl w:val="nil"/>
                  </w:tcBorders>
                  <w:noWrap w:val="0"/>
                  <w:vAlign w:val="center"/>
                </w:tcPr>
                <w:p w14:paraId="7F73AC8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恶臭物质产生量</w:t>
                  </w:r>
                </w:p>
              </w:tc>
            </w:tr>
            <w:tr w14:paraId="2F9D5C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79" w:type="pct"/>
                  <w:vMerge w:val="continue"/>
                  <w:tcBorders>
                    <w:tl2br w:val="nil"/>
                    <w:tr2bl w:val="nil"/>
                  </w:tcBorders>
                  <w:noWrap w:val="0"/>
                  <w:vAlign w:val="center"/>
                </w:tcPr>
                <w:p w14:paraId="6E66C95A">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3" w:type="pct"/>
                  <w:vMerge w:val="restart"/>
                  <w:tcBorders>
                    <w:tl2br w:val="nil"/>
                    <w:tr2bl w:val="nil"/>
                  </w:tcBorders>
                  <w:noWrap w:val="0"/>
                  <w:vAlign w:val="center"/>
                </w:tcPr>
                <w:p w14:paraId="0E55E8F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进水水质</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mg/L</w:t>
                  </w:r>
                  <w:r>
                    <w:rPr>
                      <w:rFonts w:hint="eastAsia" w:eastAsia="宋体" w:cs="Times New Roman"/>
                      <w:color w:val="000000" w:themeColor="text1"/>
                      <w:sz w:val="21"/>
                      <w:szCs w:val="21"/>
                      <w:highlight w:val="none"/>
                      <w:lang w:val="en-US" w:eastAsia="zh-CN" w:bidi="ar"/>
                      <w14:textFill>
                        <w14:solidFill>
                          <w14:schemeClr w14:val="tx1"/>
                        </w14:solidFill>
                      </w14:textFill>
                    </w:rPr>
                    <w:t>）</w:t>
                  </w:r>
                </w:p>
              </w:tc>
              <w:tc>
                <w:tcPr>
                  <w:tcW w:w="788" w:type="pct"/>
                  <w:vMerge w:val="restart"/>
                  <w:tcBorders>
                    <w:tl2br w:val="nil"/>
                    <w:tr2bl w:val="nil"/>
                  </w:tcBorders>
                  <w:noWrap w:val="0"/>
                  <w:vAlign w:val="center"/>
                </w:tcPr>
                <w:p w14:paraId="607B312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出水水质</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mg/L</w:t>
                  </w:r>
                  <w:r>
                    <w:rPr>
                      <w:rFonts w:hint="eastAsia" w:eastAsia="宋体" w:cs="Times New Roman"/>
                      <w:color w:val="000000" w:themeColor="text1"/>
                      <w:sz w:val="21"/>
                      <w:szCs w:val="21"/>
                      <w:highlight w:val="none"/>
                      <w:lang w:val="en-US" w:eastAsia="zh-CN" w:bidi="ar"/>
                      <w14:textFill>
                        <w14:solidFill>
                          <w14:schemeClr w14:val="tx1"/>
                        </w14:solidFill>
                      </w14:textFill>
                    </w:rPr>
                    <w:t>）</w:t>
                  </w:r>
                </w:p>
              </w:tc>
              <w:tc>
                <w:tcPr>
                  <w:tcW w:w="635" w:type="pct"/>
                  <w:vMerge w:val="restart"/>
                  <w:tcBorders>
                    <w:tl2br w:val="nil"/>
                    <w:tr2bl w:val="nil"/>
                  </w:tcBorders>
                  <w:noWrap w:val="0"/>
                  <w:vAlign w:val="center"/>
                </w:tcPr>
                <w:p w14:paraId="1F1A921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去除量</w:t>
                  </w:r>
                  <w:r>
                    <w:rPr>
                      <w:rFonts w:hint="eastAsia"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t/a</w:t>
                  </w:r>
                  <w:r>
                    <w:rPr>
                      <w:rFonts w:hint="eastAsia" w:eastAsia="宋体" w:cs="Times New Roman"/>
                      <w:color w:val="000000" w:themeColor="text1"/>
                      <w:sz w:val="21"/>
                      <w:szCs w:val="21"/>
                      <w:highlight w:val="none"/>
                      <w:lang w:val="en-US" w:eastAsia="zh-CN" w:bidi="ar"/>
                      <w14:textFill>
                        <w14:solidFill>
                          <w14:schemeClr w14:val="tx1"/>
                        </w14:solidFill>
                      </w14:textFill>
                    </w:rPr>
                    <w:t>）</w:t>
                  </w:r>
                </w:p>
              </w:tc>
              <w:tc>
                <w:tcPr>
                  <w:tcW w:w="929" w:type="pct"/>
                  <w:gridSpan w:val="2"/>
                  <w:tcBorders>
                    <w:tl2br w:val="nil"/>
                    <w:tr2bl w:val="nil"/>
                  </w:tcBorders>
                  <w:noWrap w:val="0"/>
                  <w:vAlign w:val="center"/>
                </w:tcPr>
                <w:p w14:paraId="5AC4CDE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NH</w:t>
                  </w:r>
                  <w:r>
                    <w:rPr>
                      <w:rFonts w:hint="eastAsia" w:eastAsia="宋体" w:cs="Times New Roman"/>
                      <w:color w:val="000000" w:themeColor="text1"/>
                      <w:sz w:val="21"/>
                      <w:szCs w:val="21"/>
                      <w:highlight w:val="none"/>
                      <w:vertAlign w:val="subscript"/>
                      <w:lang w:val="en-US" w:eastAsia="zh-CN" w:bidi="ar"/>
                      <w14:textFill>
                        <w14:solidFill>
                          <w14:schemeClr w14:val="tx1"/>
                        </w14:solidFill>
                      </w14:textFill>
                    </w:rPr>
                    <w:t>3</w:t>
                  </w:r>
                </w:p>
              </w:tc>
              <w:tc>
                <w:tcPr>
                  <w:tcW w:w="1013" w:type="pct"/>
                  <w:gridSpan w:val="2"/>
                  <w:tcBorders>
                    <w:tl2br w:val="nil"/>
                    <w:tr2bl w:val="nil"/>
                  </w:tcBorders>
                  <w:noWrap w:val="0"/>
                  <w:vAlign w:val="center"/>
                </w:tcPr>
                <w:p w14:paraId="4880B48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H</w:t>
                  </w:r>
                  <w:r>
                    <w:rPr>
                      <w:rFonts w:hint="eastAsia" w:eastAsia="宋体" w:cs="Times New Roman"/>
                      <w:color w:val="000000" w:themeColor="text1"/>
                      <w:sz w:val="21"/>
                      <w:szCs w:val="21"/>
                      <w:highlight w:val="none"/>
                      <w:vertAlign w:val="subscript"/>
                      <w:lang w:val="en-US" w:eastAsia="zh-CN" w:bidi="ar"/>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S</w:t>
                  </w:r>
                </w:p>
              </w:tc>
            </w:tr>
            <w:tr w14:paraId="7AAD90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79" w:type="pct"/>
                  <w:vMerge w:val="continue"/>
                  <w:tcBorders>
                    <w:tl2br w:val="nil"/>
                    <w:tr2bl w:val="nil"/>
                  </w:tcBorders>
                  <w:noWrap w:val="0"/>
                  <w:vAlign w:val="center"/>
                </w:tcPr>
                <w:p w14:paraId="6B8A85DD">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3" w:type="pct"/>
                  <w:vMerge w:val="continue"/>
                  <w:tcBorders>
                    <w:tl2br w:val="nil"/>
                    <w:tr2bl w:val="nil"/>
                  </w:tcBorders>
                  <w:noWrap w:val="0"/>
                  <w:vAlign w:val="center"/>
                </w:tcPr>
                <w:p w14:paraId="14A47EC0">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788" w:type="pct"/>
                  <w:vMerge w:val="continue"/>
                  <w:tcBorders>
                    <w:tl2br w:val="nil"/>
                    <w:tr2bl w:val="nil"/>
                  </w:tcBorders>
                  <w:noWrap w:val="0"/>
                  <w:vAlign w:val="center"/>
                </w:tcPr>
                <w:p w14:paraId="7244FDE2">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635" w:type="pct"/>
                  <w:vMerge w:val="continue"/>
                  <w:tcBorders>
                    <w:tl2br w:val="nil"/>
                    <w:tr2bl w:val="nil"/>
                  </w:tcBorders>
                  <w:noWrap w:val="0"/>
                  <w:vAlign w:val="center"/>
                </w:tcPr>
                <w:p w14:paraId="1E10CAD4">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496" w:type="pct"/>
                  <w:tcBorders>
                    <w:tl2br w:val="nil"/>
                    <w:tr2bl w:val="nil"/>
                  </w:tcBorders>
                  <w:noWrap w:val="0"/>
                  <w:vAlign w:val="center"/>
                </w:tcPr>
                <w:p w14:paraId="7E07243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t/a</w:t>
                  </w:r>
                </w:p>
              </w:tc>
              <w:tc>
                <w:tcPr>
                  <w:tcW w:w="432" w:type="pct"/>
                  <w:tcBorders>
                    <w:tl2br w:val="nil"/>
                    <w:tr2bl w:val="nil"/>
                  </w:tcBorders>
                  <w:noWrap w:val="0"/>
                  <w:vAlign w:val="center"/>
                </w:tcPr>
                <w:p w14:paraId="6C05A27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kg/</w:t>
                  </w:r>
                  <w:r>
                    <w:rPr>
                      <w:rFonts w:hint="eastAsia" w:eastAsia="宋体" w:cs="Times New Roman"/>
                      <w:color w:val="000000" w:themeColor="text1"/>
                      <w:sz w:val="21"/>
                      <w:szCs w:val="21"/>
                      <w:highlight w:val="none"/>
                      <w:lang w:val="en-US" w:eastAsia="zh-CN" w:bidi="ar"/>
                      <w14:textFill>
                        <w14:solidFill>
                          <w14:schemeClr w14:val="tx1"/>
                        </w14:solidFill>
                      </w14:textFill>
                    </w:rPr>
                    <w:t>h</w:t>
                  </w:r>
                </w:p>
              </w:tc>
              <w:tc>
                <w:tcPr>
                  <w:tcW w:w="503" w:type="pct"/>
                  <w:tcBorders>
                    <w:tl2br w:val="nil"/>
                    <w:tr2bl w:val="nil"/>
                  </w:tcBorders>
                  <w:noWrap w:val="0"/>
                  <w:vAlign w:val="center"/>
                </w:tcPr>
                <w:p w14:paraId="4672A6A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t/a</w:t>
                  </w:r>
                </w:p>
              </w:tc>
              <w:tc>
                <w:tcPr>
                  <w:tcW w:w="509" w:type="pct"/>
                  <w:tcBorders>
                    <w:tl2br w:val="nil"/>
                    <w:tr2bl w:val="nil"/>
                  </w:tcBorders>
                  <w:noWrap w:val="0"/>
                  <w:vAlign w:val="center"/>
                </w:tcPr>
                <w:p w14:paraId="30C1651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kg/</w:t>
                  </w:r>
                  <w:r>
                    <w:rPr>
                      <w:rFonts w:hint="eastAsia" w:eastAsia="宋体" w:cs="Times New Roman"/>
                      <w:color w:val="000000" w:themeColor="text1"/>
                      <w:sz w:val="21"/>
                      <w:szCs w:val="21"/>
                      <w:highlight w:val="none"/>
                      <w:lang w:val="en-US" w:eastAsia="zh-CN" w:bidi="ar"/>
                      <w14:textFill>
                        <w14:solidFill>
                          <w14:schemeClr w14:val="tx1"/>
                        </w14:solidFill>
                      </w14:textFill>
                    </w:rPr>
                    <w:t>h</w:t>
                  </w:r>
                </w:p>
              </w:tc>
            </w:tr>
            <w:tr w14:paraId="2CA744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79" w:type="pct"/>
                  <w:tcBorders>
                    <w:tl2br w:val="nil"/>
                    <w:tr2bl w:val="nil"/>
                  </w:tcBorders>
                  <w:noWrap w:val="0"/>
                  <w:vAlign w:val="center"/>
                </w:tcPr>
                <w:p w14:paraId="682DBE0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15000m</w:t>
                  </w:r>
                  <w:r>
                    <w:rPr>
                      <w:rFonts w:hint="eastAsia" w:cs="Times New Roman"/>
                      <w:i w:val="0"/>
                      <w:iCs w:val="0"/>
                      <w:color w:val="000000" w:themeColor="text1"/>
                      <w:sz w:val="21"/>
                      <w:szCs w:val="21"/>
                      <w:highlight w:val="none"/>
                      <w:u w:val="none"/>
                      <w:vertAlign w:val="superscript"/>
                      <w:lang w:val="en-US" w:eastAsia="zh-CN"/>
                      <w14:textFill>
                        <w14:solidFill>
                          <w14:schemeClr w14:val="tx1"/>
                        </w14:solidFill>
                      </w14:textFill>
                    </w:rPr>
                    <w:t>3</w:t>
                  </w:r>
                  <w:r>
                    <w:rPr>
                      <w:rFonts w:hint="eastAsia" w:cs="Times New Roman"/>
                      <w:i w:val="0"/>
                      <w:iCs w:val="0"/>
                      <w:color w:val="000000" w:themeColor="text1"/>
                      <w:sz w:val="21"/>
                      <w:szCs w:val="21"/>
                      <w:highlight w:val="none"/>
                      <w:u w:val="none"/>
                      <w:lang w:val="en-US" w:eastAsia="zh-CN"/>
                      <w14:textFill>
                        <w14:solidFill>
                          <w14:schemeClr w14:val="tx1"/>
                        </w14:solidFill>
                      </w14:textFill>
                    </w:rPr>
                    <w:t>/d</w:t>
                  </w:r>
                </w:p>
              </w:tc>
              <w:tc>
                <w:tcPr>
                  <w:tcW w:w="853" w:type="pct"/>
                  <w:tcBorders>
                    <w:tl2br w:val="nil"/>
                    <w:tr2bl w:val="nil"/>
                  </w:tcBorders>
                  <w:noWrap w:val="0"/>
                  <w:vAlign w:val="center"/>
                </w:tcPr>
                <w:p w14:paraId="4B7914C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350</w:t>
                  </w:r>
                </w:p>
              </w:tc>
              <w:tc>
                <w:tcPr>
                  <w:tcW w:w="788" w:type="pct"/>
                  <w:tcBorders>
                    <w:tl2br w:val="nil"/>
                    <w:tr2bl w:val="nil"/>
                  </w:tcBorders>
                  <w:noWrap w:val="0"/>
                  <w:vAlign w:val="center"/>
                </w:tcPr>
                <w:p w14:paraId="106D43F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10</w:t>
                  </w:r>
                </w:p>
              </w:tc>
              <w:tc>
                <w:tcPr>
                  <w:tcW w:w="635" w:type="pct"/>
                  <w:tcBorders>
                    <w:tl2br w:val="nil"/>
                    <w:tr2bl w:val="nil"/>
                  </w:tcBorders>
                  <w:noWrap w:val="0"/>
                  <w:vAlign w:val="center"/>
                </w:tcPr>
                <w:p w14:paraId="00AFF13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1861.5</w:t>
                  </w:r>
                </w:p>
              </w:tc>
              <w:tc>
                <w:tcPr>
                  <w:tcW w:w="496" w:type="pct"/>
                  <w:tcBorders>
                    <w:tl2br w:val="nil"/>
                    <w:tr2bl w:val="nil"/>
                  </w:tcBorders>
                  <w:noWrap w:val="0"/>
                  <w:vAlign w:val="center"/>
                </w:tcPr>
                <w:p w14:paraId="0C0E417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5.77</w:t>
                  </w:r>
                </w:p>
              </w:tc>
              <w:tc>
                <w:tcPr>
                  <w:tcW w:w="432" w:type="pct"/>
                  <w:tcBorders>
                    <w:tl2br w:val="nil"/>
                    <w:tr2bl w:val="nil"/>
                  </w:tcBorders>
                  <w:noWrap w:val="0"/>
                  <w:vAlign w:val="center"/>
                </w:tcPr>
                <w:p w14:paraId="265FEC0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0.66</w:t>
                  </w:r>
                </w:p>
              </w:tc>
              <w:tc>
                <w:tcPr>
                  <w:tcW w:w="503" w:type="pct"/>
                  <w:tcBorders>
                    <w:tl2br w:val="nil"/>
                    <w:tr2bl w:val="nil"/>
                  </w:tcBorders>
                  <w:noWrap w:val="0"/>
                  <w:vAlign w:val="center"/>
                </w:tcPr>
                <w:p w14:paraId="5CFF4A2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0.225</w:t>
                  </w:r>
                </w:p>
              </w:tc>
              <w:tc>
                <w:tcPr>
                  <w:tcW w:w="509" w:type="pct"/>
                  <w:tcBorders>
                    <w:tl2br w:val="nil"/>
                    <w:tr2bl w:val="nil"/>
                  </w:tcBorders>
                  <w:noWrap w:val="0"/>
                  <w:vAlign w:val="center"/>
                </w:tcPr>
                <w:p w14:paraId="7CDAC84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0.025</w:t>
                  </w:r>
                </w:p>
              </w:tc>
            </w:tr>
          </w:tbl>
          <w:p w14:paraId="588490AF">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p>
          <w:p w14:paraId="3A3B7CFD">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3）恶臭治理措施</w:t>
            </w:r>
          </w:p>
          <w:p w14:paraId="3C939FE4">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根据《中华人民共和国大气污染防治法》第八十条明确规定“企业事业单位和其他生产经营者在生产经营活动中产生恶臭气体的，应当科学选址，设置合理的防护距离，并安装净化装置或者采取其他措施，防止排放恶臭气体。”根据此条款中“或采取其他措施”表明治理方式不限于有组织收集（如：安装排气筒+净化设备），也包括无组织排放的防控技术（如：</w:t>
            </w:r>
            <w:r>
              <w:rPr>
                <w:rFonts w:hint="eastAsia" w:cs="Times New Roman"/>
                <w:color w:val="000000" w:themeColor="text1"/>
                <w:kern w:val="0"/>
                <w:szCs w:val="21"/>
                <w:highlight w:val="none"/>
                <w:lang w:val="en-US" w:eastAsia="zh-CN"/>
                <w14:textFill>
                  <w14:solidFill>
                    <w14:schemeClr w14:val="tx1"/>
                  </w14:solidFill>
                </w14:textFill>
              </w:rPr>
              <w:t>活性炭吸附</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等），但需确保效果达标。</w:t>
            </w:r>
          </w:p>
          <w:p w14:paraId="7F2BA24D">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预处理系统包括细格栅间、进水泵房、旋流沉砂池，是前端恶臭主要产生区域。</w:t>
            </w:r>
          </w:p>
          <w:p w14:paraId="345E7D4C">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治理措施：对细格栅渠、旋流沉砂池主体构筑物实施密封加盖处理，进水泵房设置密闭式操作空间，减少臭气无组织散逸；通过密封罩配套的集气管道，将收集的臭气统一</w:t>
            </w:r>
            <w:r>
              <w:rPr>
                <w:rFonts w:hint="eastAsia" w:cs="Times New Roman"/>
                <w:color w:val="000000" w:themeColor="text1"/>
                <w:kern w:val="0"/>
                <w:szCs w:val="21"/>
                <w:highlight w:val="none"/>
                <w:lang w:val="en-US" w:eastAsia="zh-CN"/>
                <w14:textFill>
                  <w14:solidFill>
                    <w14:schemeClr w14:val="tx1"/>
                  </w14:solidFill>
                </w14:textFill>
              </w:rPr>
              <w:t>经活性炭吸附后</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，以无组织形式排放。</w:t>
            </w:r>
          </w:p>
          <w:p w14:paraId="275EE1A4">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生化处理系统包括新建厌氧池、改造后缺氧池（原厌氧池、缺氧池改造）、后缺氧池、好氧池（原好氧池+二沉池改造），改造后工艺为A</w:t>
            </w:r>
            <w:r>
              <w:rPr>
                <w:rFonts w:hint="default" w:ascii="Times New Roman" w:hAnsi="Times New Roman" w:eastAsia="宋体" w:cs="Times New Roman"/>
                <w:color w:val="000000" w:themeColor="text1"/>
                <w:kern w:val="0"/>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/O+MBR，厌氧、缺氧区域停留时间延长，恶臭产生风险有所增加。</w:t>
            </w:r>
          </w:p>
          <w:p w14:paraId="1E5382D4">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防控措施：定期清理生化池表面浮渣，避免有机物厌氧发酵加剧臭气释放；通过喷洒除臭剂抑制臭气扩散，同时优化生化池运行参数，控制厌氧、缺氧池内污泥停留时间及溶解氧浓度，减少恶臭气体产生量；生化池区域与厂界及周边敏感点利用厂区绿化隔离带吸附部分臭气；虽未设置专门废气收集系统，但通过构筑物半地下式设计、池体加盖密封（新增厌氧池、后缺氧池配套密封措施）减少臭气逸散。</w:t>
            </w:r>
          </w:p>
          <w:p w14:paraId="7A6CD265">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污泥处理区域包括污泥储池（利旧）、污泥斗、污泥脱水机房（设备更新改造），是恶臭污染重点产生区域。</w:t>
            </w:r>
          </w:p>
          <w:p w14:paraId="216A088C">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治理措施：污泥储池采用密封盖板（配套密封胶条）；污泥脱水机房保持现有封闭结构，强化门窗密封性能，避免无组织泄漏。</w:t>
            </w:r>
          </w:p>
          <w:p w14:paraId="471B53FA">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新增MBR膜池及膜车间区域，膜池内污泥浓度高，曝气过程易伴随臭气释放。</w:t>
            </w:r>
          </w:p>
          <w:p w14:paraId="24DD97DF">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治理措施：MBR膜池采用半地下式结构并配套密封盖板，膜车间设置密闭式围护结构，减少臭气无组织散逸；膜池曝气系统优化为低噪声、低扰动设计，降低曝气过程中臭气夹带强度；车间内配套通风换气装置，保持室内空气流通，同步利用厂区整体绿化隔离带吸附部分扩散臭气。</w:t>
            </w:r>
          </w:p>
          <w:p w14:paraId="67A21982">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采取加盖密闭废气收集效率可达95%，经</w:t>
            </w:r>
            <w:r>
              <w:rPr>
                <w:rFonts w:hint="eastAsia" w:cs="Times New Roman"/>
                <w:color w:val="000000" w:themeColor="text1"/>
                <w:kern w:val="0"/>
                <w:szCs w:val="21"/>
                <w:highlight w:val="none"/>
                <w:lang w:val="en-US" w:eastAsia="zh-CN"/>
                <w14:textFill>
                  <w14:solidFill>
                    <w14:schemeClr w14:val="tx1"/>
                  </w14:solidFill>
                </w14:textFill>
              </w:rPr>
              <w:t>活性炭吸附</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除臭，对臭气浓度去除效率可达75%以上。</w:t>
            </w:r>
          </w:p>
          <w:p w14:paraId="037B0970">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因此，本项目建成后</w:t>
            </w:r>
            <w:r>
              <w:rPr>
                <w:rFonts w:hint="eastAsia" w:cs="Times New Roman"/>
                <w:color w:val="000000" w:themeColor="text1"/>
                <w:kern w:val="0"/>
                <w:szCs w:val="21"/>
                <w:highlight w:val="none"/>
                <w:lang w:val="en-US" w:eastAsia="zh-CN"/>
                <w14:textFill>
                  <w14:solidFill>
                    <w14:schemeClr w14:val="tx1"/>
                  </w14:solidFill>
                </w14:textFill>
              </w:rPr>
              <w:t>污水处理厂</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主要恶臭气体产排情况见表</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4-5</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w:t>
            </w:r>
          </w:p>
          <w:p w14:paraId="5A227783">
            <w:pPr>
              <w:pStyle w:val="20"/>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表4-5  扩建项目废气产生、排放情况及治理措施表</w:t>
            </w:r>
          </w:p>
          <w:tbl>
            <w:tblPr>
              <w:tblStyle w:val="13"/>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5"/>
              <w:gridCol w:w="895"/>
              <w:gridCol w:w="898"/>
              <w:gridCol w:w="2490"/>
              <w:gridCol w:w="763"/>
              <w:gridCol w:w="940"/>
              <w:gridCol w:w="849"/>
              <w:gridCol w:w="855"/>
            </w:tblGrid>
            <w:tr w14:paraId="0A9C3C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92" w:type="pct"/>
                  <w:vMerge w:val="restart"/>
                  <w:tcBorders>
                    <w:tl2br w:val="nil"/>
                    <w:tr2bl w:val="nil"/>
                  </w:tcBorders>
                  <w:noWrap w:val="0"/>
                  <w:vAlign w:val="center"/>
                </w:tcPr>
                <w:p w14:paraId="20D98F8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污染物</w:t>
                  </w:r>
                </w:p>
              </w:tc>
              <w:tc>
                <w:tcPr>
                  <w:tcW w:w="1074" w:type="pct"/>
                  <w:gridSpan w:val="2"/>
                  <w:tcBorders>
                    <w:tl2br w:val="nil"/>
                    <w:tr2bl w:val="nil"/>
                  </w:tcBorders>
                  <w:noWrap w:val="0"/>
                  <w:vAlign w:val="center"/>
                </w:tcPr>
                <w:p w14:paraId="5F93C7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处理前</w:t>
                  </w:r>
                </w:p>
              </w:tc>
              <w:tc>
                <w:tcPr>
                  <w:tcW w:w="1491" w:type="pct"/>
                  <w:vMerge w:val="restart"/>
                  <w:tcBorders>
                    <w:tl2br w:val="nil"/>
                    <w:tr2bl w:val="nil"/>
                  </w:tcBorders>
                  <w:noWrap w:val="0"/>
                  <w:vAlign w:val="center"/>
                </w:tcPr>
                <w:p w14:paraId="48B0EC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治理措施</w:t>
                  </w:r>
                </w:p>
              </w:tc>
              <w:tc>
                <w:tcPr>
                  <w:tcW w:w="1020" w:type="pct"/>
                  <w:gridSpan w:val="2"/>
                  <w:tcBorders>
                    <w:tl2br w:val="nil"/>
                    <w:tr2bl w:val="nil"/>
                  </w:tcBorders>
                  <w:noWrap w:val="0"/>
                  <w:vAlign w:val="center"/>
                </w:tcPr>
                <w:p w14:paraId="0C03A6A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处理后</w:t>
                  </w:r>
                </w:p>
              </w:tc>
              <w:tc>
                <w:tcPr>
                  <w:tcW w:w="1020" w:type="pct"/>
                  <w:gridSpan w:val="2"/>
                  <w:tcBorders>
                    <w:tl2br w:val="nil"/>
                    <w:tr2bl w:val="nil"/>
                  </w:tcBorders>
                  <w:noWrap w:val="0"/>
                  <w:vAlign w:val="center"/>
                </w:tcPr>
                <w:p w14:paraId="2CB1B52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未收集部分</w:t>
                  </w:r>
                </w:p>
              </w:tc>
            </w:tr>
            <w:tr w14:paraId="02EB15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92" w:type="pct"/>
                  <w:vMerge w:val="continue"/>
                  <w:tcBorders>
                    <w:tl2br w:val="nil"/>
                    <w:tr2bl w:val="nil"/>
                  </w:tcBorders>
                  <w:noWrap w:val="0"/>
                  <w:vAlign w:val="center"/>
                </w:tcPr>
                <w:p w14:paraId="5744EE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p>
              </w:tc>
              <w:tc>
                <w:tcPr>
                  <w:tcW w:w="536" w:type="pct"/>
                  <w:tcBorders>
                    <w:tl2br w:val="nil"/>
                    <w:tr2bl w:val="nil"/>
                  </w:tcBorders>
                  <w:noWrap w:val="0"/>
                  <w:vAlign w:val="center"/>
                </w:tcPr>
                <w:p w14:paraId="49EE7C3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产生量t/a</w:t>
                  </w:r>
                </w:p>
              </w:tc>
              <w:tc>
                <w:tcPr>
                  <w:tcW w:w="538" w:type="pct"/>
                  <w:tcBorders>
                    <w:tl2br w:val="nil"/>
                    <w:tr2bl w:val="nil"/>
                  </w:tcBorders>
                  <w:noWrap w:val="0"/>
                  <w:vAlign w:val="center"/>
                </w:tcPr>
                <w:p w14:paraId="2F2DDA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产生速率kg/h</w:t>
                  </w:r>
                </w:p>
              </w:tc>
              <w:tc>
                <w:tcPr>
                  <w:tcW w:w="1491" w:type="pct"/>
                  <w:vMerge w:val="continue"/>
                  <w:tcBorders>
                    <w:tl2br w:val="nil"/>
                    <w:tr2bl w:val="nil"/>
                  </w:tcBorders>
                  <w:noWrap w:val="0"/>
                  <w:vAlign w:val="center"/>
                </w:tcPr>
                <w:p w14:paraId="2ABEE5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p>
              </w:tc>
              <w:tc>
                <w:tcPr>
                  <w:tcW w:w="457" w:type="pct"/>
                  <w:tcBorders>
                    <w:tl2br w:val="nil"/>
                    <w:tr2bl w:val="nil"/>
                  </w:tcBorders>
                  <w:noWrap w:val="0"/>
                  <w:vAlign w:val="center"/>
                </w:tcPr>
                <w:p w14:paraId="02A582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排放量t/a</w:t>
                  </w:r>
                </w:p>
              </w:tc>
              <w:tc>
                <w:tcPr>
                  <w:tcW w:w="563" w:type="pct"/>
                  <w:tcBorders>
                    <w:tl2br w:val="nil"/>
                    <w:tr2bl w:val="nil"/>
                  </w:tcBorders>
                  <w:noWrap w:val="0"/>
                  <w:vAlign w:val="center"/>
                </w:tcPr>
                <w:p w14:paraId="327B9A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排放速率kg/h</w:t>
                  </w:r>
                </w:p>
              </w:tc>
              <w:tc>
                <w:tcPr>
                  <w:tcW w:w="508" w:type="pct"/>
                  <w:tcBorders>
                    <w:tl2br w:val="nil"/>
                    <w:tr2bl w:val="nil"/>
                  </w:tcBorders>
                  <w:noWrap w:val="0"/>
                  <w:vAlign w:val="center"/>
                </w:tcPr>
                <w:p w14:paraId="6E622E0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排放量t/a</w:t>
                  </w:r>
                </w:p>
              </w:tc>
              <w:tc>
                <w:tcPr>
                  <w:tcW w:w="512" w:type="pct"/>
                  <w:tcBorders>
                    <w:tl2br w:val="nil"/>
                    <w:tr2bl w:val="nil"/>
                  </w:tcBorders>
                  <w:noWrap w:val="0"/>
                  <w:vAlign w:val="center"/>
                </w:tcPr>
                <w:p w14:paraId="097ADF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排放速率kg/h</w:t>
                  </w:r>
                </w:p>
              </w:tc>
            </w:tr>
            <w:tr w14:paraId="0CA03D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92" w:type="pct"/>
                  <w:tcBorders>
                    <w:tl2br w:val="nil"/>
                    <w:tr2bl w:val="nil"/>
                  </w:tcBorders>
                  <w:noWrap w:val="0"/>
                  <w:vAlign w:val="center"/>
                </w:tcPr>
                <w:p w14:paraId="215FC49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kern w:val="0"/>
                      <w:sz w:val="21"/>
                      <w:szCs w:val="21"/>
                      <w:highlight w:val="none"/>
                      <w:vertAlign w:val="baseline"/>
                      <w:lang w:val="en-US" w:eastAsia="zh-CN"/>
                      <w14:textFill>
                        <w14:solidFill>
                          <w14:schemeClr w14:val="tx1"/>
                        </w14:solidFill>
                      </w14:textFill>
                    </w:rPr>
                    <w:t>NH</w:t>
                  </w:r>
                  <w:r>
                    <w:rPr>
                      <w:rFonts w:hint="eastAsia" w:eastAsia="宋体" w:cs="Times New Roman"/>
                      <w:color w:val="000000" w:themeColor="text1"/>
                      <w:kern w:val="0"/>
                      <w:sz w:val="21"/>
                      <w:szCs w:val="21"/>
                      <w:highlight w:val="none"/>
                      <w:vertAlign w:val="subscript"/>
                      <w:lang w:val="en-US" w:eastAsia="zh-CN"/>
                      <w14:textFill>
                        <w14:solidFill>
                          <w14:schemeClr w14:val="tx1"/>
                        </w14:solidFill>
                      </w14:textFill>
                    </w:rPr>
                    <w:t>3</w:t>
                  </w:r>
                </w:p>
              </w:tc>
              <w:tc>
                <w:tcPr>
                  <w:tcW w:w="536" w:type="pct"/>
                  <w:tcBorders>
                    <w:tl2br w:val="nil"/>
                    <w:tr2bl w:val="nil"/>
                  </w:tcBorders>
                  <w:noWrap w:val="0"/>
                  <w:vAlign w:val="center"/>
                </w:tcPr>
                <w:p w14:paraId="6211F3C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5.77</w:t>
                  </w:r>
                </w:p>
              </w:tc>
              <w:tc>
                <w:tcPr>
                  <w:tcW w:w="538" w:type="pct"/>
                  <w:tcBorders>
                    <w:tl2br w:val="nil"/>
                    <w:tr2bl w:val="nil"/>
                  </w:tcBorders>
                  <w:noWrap w:val="0"/>
                  <w:vAlign w:val="center"/>
                </w:tcPr>
                <w:p w14:paraId="3DA5507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0.66</w:t>
                  </w:r>
                </w:p>
              </w:tc>
              <w:tc>
                <w:tcPr>
                  <w:tcW w:w="1491" w:type="pct"/>
                  <w:vMerge w:val="restart"/>
                  <w:tcBorders>
                    <w:tl2br w:val="nil"/>
                    <w:tr2bl w:val="nil"/>
                  </w:tcBorders>
                  <w:noWrap w:val="0"/>
                  <w:vAlign w:val="center"/>
                </w:tcPr>
                <w:p w14:paraId="706915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采取加盖密闭废气收集效率可达95%，经</w:t>
                  </w:r>
                  <w:r>
                    <w:rPr>
                      <w:rFonts w:hint="eastAsia" w:cs="Times New Roman"/>
                      <w:color w:val="000000" w:themeColor="text1"/>
                      <w:kern w:val="0"/>
                      <w:sz w:val="21"/>
                      <w:szCs w:val="21"/>
                      <w:highlight w:val="none"/>
                      <w:vertAlign w:val="baseline"/>
                      <w:lang w:val="en-US" w:eastAsia="zh-CN"/>
                      <w14:textFill>
                        <w14:solidFill>
                          <w14:schemeClr w14:val="tx1"/>
                        </w14:solidFill>
                      </w14:textFill>
                    </w:rPr>
                    <w:t>活性炭吸附</w:t>
                  </w: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除臭，对臭气浓度去除效率可达75%以上。</w:t>
                  </w:r>
                </w:p>
              </w:tc>
              <w:tc>
                <w:tcPr>
                  <w:tcW w:w="457" w:type="pct"/>
                  <w:tcBorders>
                    <w:tl2br w:val="nil"/>
                    <w:tr2bl w:val="nil"/>
                  </w:tcBorders>
                  <w:noWrap w:val="0"/>
                  <w:vAlign w:val="center"/>
                </w:tcPr>
                <w:p w14:paraId="167668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1.37</w:t>
                  </w:r>
                </w:p>
              </w:tc>
              <w:tc>
                <w:tcPr>
                  <w:tcW w:w="563" w:type="pct"/>
                  <w:tcBorders>
                    <w:tl2br w:val="nil"/>
                    <w:tr2bl w:val="nil"/>
                  </w:tcBorders>
                  <w:noWrap w:val="0"/>
                  <w:vAlign w:val="center"/>
                </w:tcPr>
                <w:p w14:paraId="01DF9C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0.155</w:t>
                  </w:r>
                </w:p>
              </w:tc>
              <w:tc>
                <w:tcPr>
                  <w:tcW w:w="508" w:type="pct"/>
                  <w:tcBorders>
                    <w:tl2br w:val="nil"/>
                    <w:tr2bl w:val="nil"/>
                  </w:tcBorders>
                  <w:noWrap w:val="0"/>
                  <w:vAlign w:val="center"/>
                </w:tcPr>
                <w:p w14:paraId="429651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0.289</w:t>
                  </w:r>
                </w:p>
              </w:tc>
              <w:tc>
                <w:tcPr>
                  <w:tcW w:w="512" w:type="pct"/>
                  <w:tcBorders>
                    <w:tl2br w:val="nil"/>
                    <w:tr2bl w:val="nil"/>
                  </w:tcBorders>
                  <w:noWrap w:val="0"/>
                  <w:vAlign w:val="center"/>
                </w:tcPr>
                <w:p w14:paraId="231487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0.033</w:t>
                  </w:r>
                </w:p>
              </w:tc>
            </w:tr>
            <w:tr w14:paraId="276497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92" w:type="pct"/>
                  <w:tcBorders>
                    <w:tl2br w:val="nil"/>
                    <w:tr2bl w:val="nil"/>
                  </w:tcBorders>
                  <w:noWrap w:val="0"/>
                  <w:vAlign w:val="center"/>
                </w:tcPr>
                <w:p w14:paraId="392F8D7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kern w:val="0"/>
                      <w:sz w:val="21"/>
                      <w:szCs w:val="21"/>
                      <w:highlight w:val="none"/>
                      <w:vertAlign w:val="baseline"/>
                      <w:lang w:val="en-US" w:eastAsia="zh-CN"/>
                      <w14:textFill>
                        <w14:solidFill>
                          <w14:schemeClr w14:val="tx1"/>
                        </w14:solidFill>
                      </w14:textFill>
                    </w:rPr>
                    <w:t>H</w:t>
                  </w:r>
                  <w:r>
                    <w:rPr>
                      <w:rFonts w:hint="eastAsia" w:eastAsia="宋体" w:cs="Times New Roman"/>
                      <w:color w:val="000000" w:themeColor="text1"/>
                      <w:kern w:val="0"/>
                      <w:sz w:val="21"/>
                      <w:szCs w:val="21"/>
                      <w:highlight w:val="none"/>
                      <w:vertAlign w:val="subscript"/>
                      <w:lang w:val="en-US" w:eastAsia="zh-CN"/>
                      <w14:textFill>
                        <w14:solidFill>
                          <w14:schemeClr w14:val="tx1"/>
                        </w14:solidFill>
                      </w14:textFill>
                    </w:rPr>
                    <w:t>2</w:t>
                  </w:r>
                  <w:r>
                    <w:rPr>
                      <w:rFonts w:hint="eastAsia" w:eastAsia="宋体" w:cs="Times New Roman"/>
                      <w:color w:val="000000" w:themeColor="text1"/>
                      <w:kern w:val="0"/>
                      <w:sz w:val="21"/>
                      <w:szCs w:val="21"/>
                      <w:highlight w:val="none"/>
                      <w:vertAlign w:val="baseline"/>
                      <w:lang w:val="en-US" w:eastAsia="zh-CN"/>
                      <w14:textFill>
                        <w14:solidFill>
                          <w14:schemeClr w14:val="tx1"/>
                        </w14:solidFill>
                      </w14:textFill>
                    </w:rPr>
                    <w:t>S</w:t>
                  </w:r>
                </w:p>
              </w:tc>
              <w:tc>
                <w:tcPr>
                  <w:tcW w:w="536" w:type="pct"/>
                  <w:tcBorders>
                    <w:tl2br w:val="nil"/>
                    <w:tr2bl w:val="nil"/>
                  </w:tcBorders>
                  <w:noWrap w:val="0"/>
                  <w:vAlign w:val="center"/>
                </w:tcPr>
                <w:p w14:paraId="2D94281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0.225</w:t>
                  </w:r>
                </w:p>
              </w:tc>
              <w:tc>
                <w:tcPr>
                  <w:tcW w:w="538" w:type="pct"/>
                  <w:tcBorders>
                    <w:tl2br w:val="nil"/>
                    <w:tr2bl w:val="nil"/>
                  </w:tcBorders>
                  <w:noWrap w:val="0"/>
                  <w:vAlign w:val="center"/>
                </w:tcPr>
                <w:p w14:paraId="528ADEA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top"/>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0.025</w:t>
                  </w:r>
                </w:p>
              </w:tc>
              <w:tc>
                <w:tcPr>
                  <w:tcW w:w="1491" w:type="pct"/>
                  <w:vMerge w:val="continue"/>
                  <w:tcBorders>
                    <w:tl2br w:val="nil"/>
                    <w:tr2bl w:val="nil"/>
                  </w:tcBorders>
                  <w:noWrap w:val="0"/>
                  <w:vAlign w:val="center"/>
                </w:tcPr>
                <w:p w14:paraId="78E84E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p>
              </w:tc>
              <w:tc>
                <w:tcPr>
                  <w:tcW w:w="457" w:type="pct"/>
                  <w:tcBorders>
                    <w:tl2br w:val="nil"/>
                    <w:tr2bl w:val="nil"/>
                  </w:tcBorders>
                  <w:noWrap w:val="0"/>
                  <w:vAlign w:val="center"/>
                </w:tcPr>
                <w:p w14:paraId="6B31A7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0.054</w:t>
                  </w:r>
                </w:p>
              </w:tc>
              <w:tc>
                <w:tcPr>
                  <w:tcW w:w="563" w:type="pct"/>
                  <w:tcBorders>
                    <w:tl2br w:val="nil"/>
                    <w:tr2bl w:val="nil"/>
                  </w:tcBorders>
                  <w:noWrap w:val="0"/>
                  <w:vAlign w:val="center"/>
                </w:tcPr>
                <w:p w14:paraId="6E48B6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0.006</w:t>
                  </w:r>
                </w:p>
              </w:tc>
              <w:tc>
                <w:tcPr>
                  <w:tcW w:w="508" w:type="pct"/>
                  <w:tcBorders>
                    <w:tl2br w:val="nil"/>
                    <w:tr2bl w:val="nil"/>
                  </w:tcBorders>
                  <w:noWrap w:val="0"/>
                  <w:vAlign w:val="center"/>
                </w:tcPr>
                <w:p w14:paraId="059870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0.0113</w:t>
                  </w:r>
                </w:p>
              </w:tc>
              <w:tc>
                <w:tcPr>
                  <w:tcW w:w="512" w:type="pct"/>
                  <w:tcBorders>
                    <w:tl2br w:val="nil"/>
                    <w:tr2bl w:val="nil"/>
                  </w:tcBorders>
                  <w:noWrap w:val="0"/>
                  <w:vAlign w:val="center"/>
                </w:tcPr>
                <w:p w14:paraId="3FBD63D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0.0013</w:t>
                  </w:r>
                </w:p>
              </w:tc>
            </w:tr>
          </w:tbl>
          <w:p w14:paraId="1F44BEC7">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p>
          <w:p w14:paraId="0E7278B8">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4）恶臭气体治理措施可行性分析</w:t>
            </w:r>
          </w:p>
          <w:p w14:paraId="7EFE8D6F">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根据《排污许可证申请与核发技术规范 水处理（试行）》（HJ978-2018），恶臭气体的可行性治理措施见下表：</w:t>
            </w:r>
          </w:p>
          <w:p w14:paraId="1AE24ECF">
            <w:pPr>
              <w:pStyle w:val="20"/>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表4-</w:t>
            </w:r>
            <w:r>
              <w:rPr>
                <w:rFonts w:hint="eastAsia"/>
                <w:color w:val="000000" w:themeColor="text1"/>
                <w:highlight w:val="none"/>
                <w:lang w:val="en-US" w:eastAsia="zh-CN"/>
                <w14:textFill>
                  <w14:solidFill>
                    <w14:schemeClr w14:val="tx1"/>
                  </w14:solidFill>
                </w14:textFill>
              </w:rPr>
              <w:t xml:space="preserve">6 </w:t>
            </w:r>
            <w:r>
              <w:rPr>
                <w:rFonts w:hint="default"/>
                <w:color w:val="000000" w:themeColor="text1"/>
                <w:highlight w:val="none"/>
                <w:lang w:val="en-US" w:eastAsia="zh-CN"/>
                <w14:textFill>
                  <w14:solidFill>
                    <w14:schemeClr w14:val="tx1"/>
                  </w14:solidFill>
                </w14:textFill>
              </w:rPr>
              <w:t xml:space="preserve"> 废气治理可行技术参照表</w:t>
            </w:r>
          </w:p>
          <w:tbl>
            <w:tblPr>
              <w:tblStyle w:val="13"/>
              <w:tblW w:w="5000"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780"/>
              <w:gridCol w:w="2784"/>
              <w:gridCol w:w="2784"/>
            </w:tblGrid>
            <w:tr w14:paraId="49F619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65" w:type="pct"/>
                  <w:tcBorders>
                    <w:tl2br w:val="nil"/>
                    <w:tr2bl w:val="nil"/>
                  </w:tcBorders>
                  <w:noWrap w:val="0"/>
                  <w:vAlign w:val="center"/>
                </w:tcPr>
                <w:p w14:paraId="74472B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排放源</w:t>
                  </w:r>
                </w:p>
              </w:tc>
              <w:tc>
                <w:tcPr>
                  <w:tcW w:w="1667" w:type="pct"/>
                  <w:tcBorders>
                    <w:tl2br w:val="nil"/>
                    <w:tr2bl w:val="nil"/>
                  </w:tcBorders>
                  <w:noWrap w:val="0"/>
                  <w:vAlign w:val="center"/>
                </w:tcPr>
                <w:p w14:paraId="0A6956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污染物</w:t>
                  </w:r>
                </w:p>
              </w:tc>
              <w:tc>
                <w:tcPr>
                  <w:tcW w:w="1667" w:type="pct"/>
                  <w:tcBorders>
                    <w:tl2br w:val="nil"/>
                    <w:tr2bl w:val="nil"/>
                  </w:tcBorders>
                  <w:noWrap w:val="0"/>
                  <w:vAlign w:val="center"/>
                </w:tcPr>
                <w:p w14:paraId="5C350D4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可行技术</w:t>
                  </w:r>
                </w:p>
              </w:tc>
            </w:tr>
            <w:tr w14:paraId="6437C7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65" w:type="pct"/>
                  <w:tcBorders>
                    <w:tl2br w:val="nil"/>
                    <w:tr2bl w:val="nil"/>
                  </w:tcBorders>
                  <w:noWrap w:val="0"/>
                  <w:vAlign w:val="center"/>
                </w:tcPr>
                <w:p w14:paraId="093716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预处理段、污泥处理段等产生恶臭气体的工段</w:t>
                  </w:r>
                </w:p>
              </w:tc>
              <w:tc>
                <w:tcPr>
                  <w:tcW w:w="1667" w:type="pct"/>
                  <w:tcBorders>
                    <w:tl2br w:val="nil"/>
                    <w:tr2bl w:val="nil"/>
                  </w:tcBorders>
                  <w:noWrap w:val="0"/>
                  <w:vAlign w:val="center"/>
                </w:tcPr>
                <w:p w14:paraId="6473A7A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氨气、硫化氢等恶臭气体</w:t>
                  </w:r>
                </w:p>
              </w:tc>
              <w:tc>
                <w:tcPr>
                  <w:tcW w:w="1667" w:type="pct"/>
                  <w:tcBorders>
                    <w:tl2br w:val="nil"/>
                    <w:tr2bl w:val="nil"/>
                  </w:tcBorders>
                  <w:noWrap w:val="0"/>
                  <w:vAlign w:val="center"/>
                </w:tcPr>
                <w:p w14:paraId="31047A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生物过滤</w:t>
                  </w: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、化学洗涤、</w:t>
                  </w:r>
                  <w:r>
                    <w:rPr>
                      <w:rFonts w:hint="default" w:ascii="Times New Roman" w:hAnsi="Times New Roman" w:eastAsia="宋体" w:cs="Times New Roman"/>
                      <w:b/>
                      <w:bCs/>
                      <w:color w:val="000000" w:themeColor="text1"/>
                      <w:kern w:val="0"/>
                      <w:sz w:val="21"/>
                      <w:szCs w:val="21"/>
                      <w:highlight w:val="none"/>
                      <w:vertAlign w:val="baseline"/>
                      <w:lang w:val="en-US" w:eastAsia="zh-CN"/>
                      <w14:textFill>
                        <w14:solidFill>
                          <w14:schemeClr w14:val="tx1"/>
                        </w14:solidFill>
                      </w14:textFill>
                    </w:rPr>
                    <w:t>活性炭吸附</w:t>
                  </w:r>
                </w:p>
              </w:tc>
            </w:tr>
          </w:tbl>
          <w:p w14:paraId="3C07B0A9">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p>
          <w:p w14:paraId="67D044FD">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项目对预处理单元（细格栅、沉砂池）、生化单元（厌氧/缺氧池）、污泥单元（脱水机房、储池）采取“密封加盖+负压集气+</w:t>
            </w:r>
            <w:r>
              <w:rPr>
                <w:rFonts w:hint="eastAsia" w:cs="Times New Roman"/>
                <w:color w:val="000000" w:themeColor="text1"/>
                <w:kern w:val="0"/>
                <w:szCs w:val="21"/>
                <w:highlight w:val="none"/>
                <w:lang w:val="en-US" w:eastAsia="zh-CN"/>
                <w14:textFill>
                  <w14:solidFill>
                    <w14:schemeClr w14:val="tx1"/>
                  </w14:solidFill>
                </w14:textFill>
              </w:rPr>
              <w:t>活性炭吸附</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”治理，其中</w:t>
            </w:r>
            <w:r>
              <w:rPr>
                <w:rFonts w:hint="eastAsia" w:cs="Times New Roman"/>
                <w:color w:val="000000" w:themeColor="text1"/>
                <w:kern w:val="0"/>
                <w:szCs w:val="21"/>
                <w:highlight w:val="none"/>
                <w:lang w:val="en-US" w:eastAsia="zh-CN"/>
                <w14:textFill>
                  <w14:solidFill>
                    <w14:schemeClr w14:val="tx1"/>
                  </w14:solidFill>
                </w14:textFill>
              </w:rPr>
              <w:t>活性炭吸附</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处理氨、硫化氢等恶臭污染物，符合规范表5“废气治理可行技术”中“</w:t>
            </w:r>
            <w:r>
              <w:rPr>
                <w:rFonts w:hint="eastAsia" w:cs="Times New Roman"/>
                <w:color w:val="000000" w:themeColor="text1"/>
                <w:kern w:val="0"/>
                <w:szCs w:val="21"/>
                <w:highlight w:val="none"/>
                <w:lang w:val="en-US" w:eastAsia="zh-CN"/>
                <w14:textFill>
                  <w14:solidFill>
                    <w14:schemeClr w14:val="tx1"/>
                  </w14:solidFill>
                </w14:textFill>
              </w:rPr>
              <w:t>活性炭</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处理恶臭”的要求；厂界无组织排放执行GB18918-2002表4限值（氨≤1.5mg/m</w:t>
            </w:r>
            <w:r>
              <w:rPr>
                <w:rFonts w:hint="eastAsia" w:ascii="Times New Roman" w:hAnsi="Times New Roman" w:eastAsia="宋体" w:cs="Times New Roman"/>
                <w:color w:val="000000" w:themeColor="text1"/>
                <w:kern w:val="0"/>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、硫化氢≤0.06mg/m</w:t>
            </w:r>
            <w:r>
              <w:rPr>
                <w:rFonts w:hint="eastAsia" w:ascii="Times New Roman" w:hAnsi="Times New Roman" w:eastAsia="宋体" w:cs="Times New Roman"/>
                <w:color w:val="000000" w:themeColor="text1"/>
                <w:kern w:val="0"/>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），与规范“无组织排放浓度管控”要求一致。</w:t>
            </w:r>
          </w:p>
          <w:p w14:paraId="6DDABB90">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2</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）非正常工况排放</w:t>
            </w:r>
          </w:p>
          <w:p w14:paraId="79F1EC5F">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非正常工况为构筑物未进行封闭、未采用除臭剂除臭等措施情况下恶臭污染物的排放情况。非正常运行情况下排放氨和硫化氢，建设单位</w:t>
            </w:r>
            <w:r>
              <w:rPr>
                <w:rFonts w:hint="eastAsia" w:cs="Times New Roman"/>
                <w:color w:val="000000" w:themeColor="text1"/>
                <w:kern w:val="0"/>
                <w:szCs w:val="21"/>
                <w:highlight w:val="none"/>
                <w:lang w:val="en-US" w:eastAsia="zh-CN"/>
                <w14:textFill>
                  <w14:solidFill>
                    <w14:schemeClr w14:val="tx1"/>
                  </w14:solidFill>
                </w14:textFill>
              </w:rPr>
              <w:t>在</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加强各污染物治理设施维护保养</w:t>
            </w:r>
            <w:r>
              <w:rPr>
                <w:rFonts w:hint="eastAsia" w:cs="Times New Roman"/>
                <w:color w:val="000000" w:themeColor="text1"/>
                <w:kern w:val="0"/>
                <w:szCs w:val="21"/>
                <w:highlight w:val="none"/>
                <w:lang w:val="en-US" w:eastAsia="zh-CN"/>
                <w14:textFill>
                  <w14:solidFill>
                    <w14:schemeClr w14:val="tx1"/>
                  </w14:solidFill>
                </w14:textFill>
              </w:rPr>
              <w:t>情况下</w:t>
            </w:r>
            <w:r>
              <w:rPr>
                <w:rFonts w:hint="eastAsia" w:ascii="Times New Roman" w:hAnsi="Times New Roman" w:eastAsia="宋体" w:cs="Times New Roman"/>
                <w:color w:val="000000" w:themeColor="text1"/>
                <w:kern w:val="0"/>
                <w:szCs w:val="21"/>
                <w:highlight w:val="none"/>
                <w:lang w:eastAsia="zh-CN"/>
                <w14:textFill>
                  <w14:solidFill>
                    <w14:schemeClr w14:val="tx1"/>
                  </w14:solidFill>
                </w14:textFill>
              </w:rPr>
              <w:t>，项目出现非正常排放的概率较低，约为1次/年，每次持续时间约一个小时。本项目污染物非正常排放情况见下表。</w:t>
            </w:r>
          </w:p>
          <w:p w14:paraId="0AEDCE0B">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表4-7  本项目大气污染物非正常排放量核算表</w:t>
            </w:r>
          </w:p>
          <w:tbl>
            <w:tblPr>
              <w:tblStyle w:val="13"/>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24"/>
              <w:gridCol w:w="1545"/>
              <w:gridCol w:w="1064"/>
              <w:gridCol w:w="1156"/>
              <w:gridCol w:w="1316"/>
              <w:gridCol w:w="1288"/>
              <w:gridCol w:w="952"/>
            </w:tblGrid>
            <w:tr w14:paraId="32AC98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14" w:type="pct"/>
                  <w:vMerge w:val="restart"/>
                  <w:tcBorders>
                    <w:tl2br w:val="nil"/>
                    <w:tr2bl w:val="nil"/>
                  </w:tcBorders>
                  <w:noWrap w:val="0"/>
                  <w:vAlign w:val="center"/>
                </w:tcPr>
                <w:p w14:paraId="6906DA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污染物</w:t>
                  </w:r>
                </w:p>
              </w:tc>
              <w:tc>
                <w:tcPr>
                  <w:tcW w:w="925" w:type="pct"/>
                  <w:vMerge w:val="restart"/>
                  <w:tcBorders>
                    <w:tl2br w:val="nil"/>
                    <w:tr2bl w:val="nil"/>
                  </w:tcBorders>
                  <w:noWrap w:val="0"/>
                  <w:vAlign w:val="center"/>
                </w:tcPr>
                <w:p w14:paraId="18CFA5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废气治理措施及处理效率</w:t>
                  </w:r>
                </w:p>
              </w:tc>
              <w:tc>
                <w:tcPr>
                  <w:tcW w:w="1330" w:type="pct"/>
                  <w:gridSpan w:val="2"/>
                  <w:tcBorders>
                    <w:tl2br w:val="nil"/>
                    <w:tr2bl w:val="nil"/>
                  </w:tcBorders>
                  <w:noWrap w:val="0"/>
                  <w:vAlign w:val="center"/>
                </w:tcPr>
                <w:p w14:paraId="1F8DEC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收集部分</w:t>
                  </w:r>
                </w:p>
              </w:tc>
              <w:tc>
                <w:tcPr>
                  <w:tcW w:w="1559" w:type="pct"/>
                  <w:gridSpan w:val="2"/>
                  <w:tcBorders>
                    <w:tl2br w:val="nil"/>
                    <w:tr2bl w:val="nil"/>
                  </w:tcBorders>
                  <w:noWrap w:val="0"/>
                  <w:vAlign w:val="center"/>
                </w:tcPr>
                <w:p w14:paraId="2F5114A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未收集部分</w:t>
                  </w:r>
                </w:p>
              </w:tc>
              <w:tc>
                <w:tcPr>
                  <w:tcW w:w="570" w:type="pct"/>
                  <w:vMerge w:val="restart"/>
                  <w:tcBorders>
                    <w:tl2br w:val="nil"/>
                    <w:tr2bl w:val="nil"/>
                  </w:tcBorders>
                  <w:noWrap w:val="0"/>
                  <w:vAlign w:val="center"/>
                </w:tcPr>
                <w:p w14:paraId="17509DA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持续时间</w:t>
                  </w:r>
                </w:p>
              </w:tc>
            </w:tr>
            <w:tr w14:paraId="0FD531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14" w:type="pct"/>
                  <w:vMerge w:val="continue"/>
                  <w:tcBorders>
                    <w:tl2br w:val="nil"/>
                    <w:tr2bl w:val="nil"/>
                  </w:tcBorders>
                  <w:noWrap w:val="0"/>
                  <w:vAlign w:val="center"/>
                </w:tcPr>
                <w:p w14:paraId="3558EC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925" w:type="pct"/>
                  <w:vMerge w:val="continue"/>
                  <w:tcBorders>
                    <w:tl2br w:val="nil"/>
                    <w:tr2bl w:val="nil"/>
                  </w:tcBorders>
                  <w:noWrap w:val="0"/>
                  <w:vAlign w:val="center"/>
                </w:tcPr>
                <w:p w14:paraId="2EABC23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637" w:type="pct"/>
                  <w:tcBorders>
                    <w:tl2br w:val="nil"/>
                    <w:tr2bl w:val="nil"/>
                  </w:tcBorders>
                  <w:noWrap w:val="0"/>
                  <w:vAlign w:val="center"/>
                </w:tcPr>
                <w:p w14:paraId="5D91E4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排放量</w:t>
                  </w:r>
                  <w:r>
                    <w:rPr>
                      <w:rFonts w:hint="eastAsia" w:eastAsia="宋体" w:cs="Times New Roman"/>
                      <w:color w:val="000000" w:themeColor="text1"/>
                      <w:sz w:val="21"/>
                      <w:szCs w:val="21"/>
                      <w:highlight w:val="none"/>
                      <w:vertAlign w:val="baseline"/>
                      <w:lang w:val="en-US" w:eastAsia="zh-CN"/>
                      <w14:textFill>
                        <w14:solidFill>
                          <w14:schemeClr w14:val="tx1"/>
                        </w14:solidFill>
                      </w14:textFill>
                    </w:rPr>
                    <w:t>kg</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/a</w:t>
                  </w:r>
                </w:p>
              </w:tc>
              <w:tc>
                <w:tcPr>
                  <w:tcW w:w="693" w:type="pct"/>
                  <w:tcBorders>
                    <w:tl2br w:val="nil"/>
                    <w:tr2bl w:val="nil"/>
                  </w:tcBorders>
                  <w:noWrap w:val="0"/>
                  <w:vAlign w:val="center"/>
                </w:tcPr>
                <w:p w14:paraId="085A97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排放速率kg/h</w:t>
                  </w:r>
                </w:p>
              </w:tc>
              <w:tc>
                <w:tcPr>
                  <w:tcW w:w="788" w:type="pct"/>
                  <w:tcBorders>
                    <w:tl2br w:val="nil"/>
                    <w:tr2bl w:val="nil"/>
                  </w:tcBorders>
                  <w:noWrap w:val="0"/>
                  <w:vAlign w:val="center"/>
                </w:tcPr>
                <w:p w14:paraId="2C8C26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排放量</w:t>
                  </w:r>
                  <w:r>
                    <w:rPr>
                      <w:rFonts w:hint="eastAsia" w:eastAsia="宋体" w:cs="Times New Roman"/>
                      <w:color w:val="000000" w:themeColor="text1"/>
                      <w:sz w:val="21"/>
                      <w:szCs w:val="21"/>
                      <w:highlight w:val="none"/>
                      <w:vertAlign w:val="baseline"/>
                      <w:lang w:val="en-US" w:eastAsia="zh-CN"/>
                      <w14:textFill>
                        <w14:solidFill>
                          <w14:schemeClr w14:val="tx1"/>
                        </w14:solidFill>
                      </w14:textFill>
                    </w:rPr>
                    <w:t>kg</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/a</w:t>
                  </w:r>
                </w:p>
              </w:tc>
              <w:tc>
                <w:tcPr>
                  <w:tcW w:w="771" w:type="pct"/>
                  <w:tcBorders>
                    <w:tl2br w:val="nil"/>
                    <w:tr2bl w:val="nil"/>
                  </w:tcBorders>
                  <w:noWrap w:val="0"/>
                  <w:vAlign w:val="center"/>
                </w:tcPr>
                <w:p w14:paraId="4967E85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排放速率kg/h</w:t>
                  </w:r>
                </w:p>
              </w:tc>
              <w:tc>
                <w:tcPr>
                  <w:tcW w:w="570" w:type="pct"/>
                  <w:vMerge w:val="continue"/>
                  <w:tcBorders>
                    <w:tl2br w:val="nil"/>
                    <w:tr2bl w:val="nil"/>
                  </w:tcBorders>
                  <w:noWrap w:val="0"/>
                  <w:vAlign w:val="center"/>
                </w:tcPr>
                <w:p w14:paraId="32AEE1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4F34C6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14" w:type="pct"/>
                  <w:tcBorders>
                    <w:tl2br w:val="nil"/>
                    <w:tr2bl w:val="nil"/>
                  </w:tcBorders>
                  <w:noWrap w:val="0"/>
                  <w:vAlign w:val="center"/>
                </w:tcPr>
                <w:p w14:paraId="2F1ABB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NH</w:t>
                  </w:r>
                  <w:r>
                    <w:rPr>
                      <w:rFonts w:hint="eastAsia" w:eastAsia="宋体" w:cs="Times New Roman"/>
                      <w:color w:val="000000" w:themeColor="text1"/>
                      <w:sz w:val="21"/>
                      <w:szCs w:val="21"/>
                      <w:highlight w:val="none"/>
                      <w:vertAlign w:val="subscript"/>
                      <w:lang w:val="en-US" w:eastAsia="zh-CN"/>
                      <w14:textFill>
                        <w14:solidFill>
                          <w14:schemeClr w14:val="tx1"/>
                        </w14:solidFill>
                      </w14:textFill>
                    </w:rPr>
                    <w:t>3</w:t>
                  </w:r>
                </w:p>
              </w:tc>
              <w:tc>
                <w:tcPr>
                  <w:tcW w:w="925" w:type="pct"/>
                  <w:vMerge w:val="restart"/>
                  <w:tcBorders>
                    <w:tl2br w:val="nil"/>
                    <w:tr2bl w:val="nil"/>
                  </w:tcBorders>
                  <w:noWrap w:val="0"/>
                  <w:vAlign w:val="center"/>
                </w:tcPr>
                <w:p w14:paraId="210323F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t>处理效果降至50%</w:t>
                  </w:r>
                </w:p>
              </w:tc>
              <w:tc>
                <w:tcPr>
                  <w:tcW w:w="637" w:type="pct"/>
                  <w:tcBorders>
                    <w:tl2br w:val="nil"/>
                    <w:tr2bl w:val="nil"/>
                  </w:tcBorders>
                  <w:noWrap w:val="0"/>
                  <w:vAlign w:val="center"/>
                </w:tcPr>
                <w:p w14:paraId="185055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0.33</w:t>
                  </w:r>
                </w:p>
              </w:tc>
              <w:tc>
                <w:tcPr>
                  <w:tcW w:w="693" w:type="pct"/>
                  <w:tcBorders>
                    <w:tl2br w:val="nil"/>
                    <w:tr2bl w:val="nil"/>
                  </w:tcBorders>
                  <w:noWrap w:val="0"/>
                  <w:vAlign w:val="center"/>
                </w:tcPr>
                <w:p w14:paraId="3BA0D1D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0.33</w:t>
                  </w:r>
                </w:p>
              </w:tc>
              <w:tc>
                <w:tcPr>
                  <w:tcW w:w="788" w:type="pct"/>
                  <w:tcBorders>
                    <w:tl2br w:val="nil"/>
                    <w:tr2bl w:val="nil"/>
                  </w:tcBorders>
                  <w:noWrap w:val="0"/>
                  <w:vAlign w:val="center"/>
                </w:tcPr>
                <w:p w14:paraId="4444A0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0.33</w:t>
                  </w:r>
                </w:p>
              </w:tc>
              <w:tc>
                <w:tcPr>
                  <w:tcW w:w="771" w:type="pct"/>
                  <w:tcBorders>
                    <w:tl2br w:val="nil"/>
                    <w:tr2bl w:val="nil"/>
                  </w:tcBorders>
                  <w:noWrap w:val="0"/>
                  <w:vAlign w:val="center"/>
                </w:tcPr>
                <w:p w14:paraId="2EE0C2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0.33</w:t>
                  </w:r>
                </w:p>
              </w:tc>
              <w:tc>
                <w:tcPr>
                  <w:tcW w:w="570" w:type="pct"/>
                  <w:vMerge w:val="restart"/>
                  <w:tcBorders>
                    <w:tl2br w:val="nil"/>
                    <w:tr2bl w:val="nil"/>
                  </w:tcBorders>
                  <w:noWrap w:val="0"/>
                  <w:vAlign w:val="center"/>
                </w:tcPr>
                <w:p w14:paraId="1A031D2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1h</w:t>
                  </w:r>
                </w:p>
              </w:tc>
            </w:tr>
            <w:tr w14:paraId="65F416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14" w:type="pct"/>
                  <w:tcBorders>
                    <w:tl2br w:val="nil"/>
                    <w:tr2bl w:val="nil"/>
                  </w:tcBorders>
                  <w:noWrap w:val="0"/>
                  <w:vAlign w:val="center"/>
                </w:tcPr>
                <w:p w14:paraId="561996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H</w:t>
                  </w:r>
                  <w:r>
                    <w:rPr>
                      <w:rFonts w:hint="eastAsia" w:eastAsia="宋体" w:cs="Times New Roman"/>
                      <w:color w:val="000000" w:themeColor="text1"/>
                      <w:sz w:val="21"/>
                      <w:szCs w:val="21"/>
                      <w:highlight w:val="none"/>
                      <w:vertAlign w:val="subscript"/>
                      <w:lang w:val="en-US" w:eastAsia="zh-CN"/>
                      <w14:textFill>
                        <w14:solidFill>
                          <w14:schemeClr w14:val="tx1"/>
                        </w14:solidFill>
                      </w14:textFill>
                    </w:rPr>
                    <w:t>2</w:t>
                  </w:r>
                  <w:r>
                    <w:rPr>
                      <w:rFonts w:hint="eastAsia" w:eastAsia="宋体" w:cs="Times New Roman"/>
                      <w:color w:val="000000" w:themeColor="text1"/>
                      <w:sz w:val="21"/>
                      <w:szCs w:val="21"/>
                      <w:highlight w:val="none"/>
                      <w:vertAlign w:val="baseline"/>
                      <w:lang w:val="en-US" w:eastAsia="zh-CN"/>
                      <w14:textFill>
                        <w14:solidFill>
                          <w14:schemeClr w14:val="tx1"/>
                        </w14:solidFill>
                      </w14:textFill>
                    </w:rPr>
                    <w:t>S</w:t>
                  </w:r>
                </w:p>
              </w:tc>
              <w:tc>
                <w:tcPr>
                  <w:tcW w:w="925" w:type="pct"/>
                  <w:vMerge w:val="continue"/>
                  <w:tcBorders>
                    <w:tl2br w:val="nil"/>
                    <w:tr2bl w:val="nil"/>
                  </w:tcBorders>
                  <w:noWrap w:val="0"/>
                  <w:vAlign w:val="center"/>
                </w:tcPr>
                <w:p w14:paraId="60A8AC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p>
              </w:tc>
              <w:tc>
                <w:tcPr>
                  <w:tcW w:w="637" w:type="pct"/>
                  <w:tcBorders>
                    <w:tl2br w:val="nil"/>
                    <w:tr2bl w:val="nil"/>
                  </w:tcBorders>
                  <w:noWrap w:val="0"/>
                  <w:vAlign w:val="center"/>
                </w:tcPr>
                <w:p w14:paraId="54DD0E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0.0125</w:t>
                  </w:r>
                </w:p>
              </w:tc>
              <w:tc>
                <w:tcPr>
                  <w:tcW w:w="693" w:type="pct"/>
                  <w:tcBorders>
                    <w:tl2br w:val="nil"/>
                    <w:tr2bl w:val="nil"/>
                  </w:tcBorders>
                  <w:noWrap w:val="0"/>
                  <w:vAlign w:val="center"/>
                </w:tcPr>
                <w:p w14:paraId="6B8796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0.0125</w:t>
                  </w:r>
                </w:p>
              </w:tc>
              <w:tc>
                <w:tcPr>
                  <w:tcW w:w="788" w:type="pct"/>
                  <w:tcBorders>
                    <w:tl2br w:val="nil"/>
                    <w:tr2bl w:val="nil"/>
                  </w:tcBorders>
                  <w:noWrap w:val="0"/>
                  <w:vAlign w:val="center"/>
                </w:tcPr>
                <w:p w14:paraId="3861C8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0.0125</w:t>
                  </w:r>
                </w:p>
              </w:tc>
              <w:tc>
                <w:tcPr>
                  <w:tcW w:w="771" w:type="pct"/>
                  <w:tcBorders>
                    <w:tl2br w:val="nil"/>
                    <w:tr2bl w:val="nil"/>
                  </w:tcBorders>
                  <w:noWrap w:val="0"/>
                  <w:vAlign w:val="center"/>
                </w:tcPr>
                <w:p w14:paraId="0ECC44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0.0125</w:t>
                  </w:r>
                </w:p>
              </w:tc>
              <w:tc>
                <w:tcPr>
                  <w:tcW w:w="570" w:type="pct"/>
                  <w:vMerge w:val="continue"/>
                  <w:tcBorders>
                    <w:tl2br w:val="nil"/>
                    <w:tr2bl w:val="nil"/>
                  </w:tcBorders>
                  <w:noWrap w:val="0"/>
                  <w:vAlign w:val="center"/>
                </w:tcPr>
                <w:p w14:paraId="4F6AA2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p>
              </w:tc>
            </w:tr>
          </w:tbl>
          <w:p w14:paraId="1CA4A61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p>
          <w:p w14:paraId="3FFCCB0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为减少不正常排放污染物，建议建设单位做好防范工作：</w:t>
            </w:r>
          </w:p>
          <w:p w14:paraId="6A00264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a、平时注意废气处理设施的维护，及时发现处理设备的隐患，确保废气处理系统正常运行；开、停、检修要有预案，有严密周全的计划，确保不发生非正常排放，或使影响最小。</w:t>
            </w:r>
          </w:p>
          <w:p w14:paraId="3438028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b、应设有备用电源和备用处理设备和零件，以备停电或设备出现故障时保障及时更换使废气全部做到达标排放。</w:t>
            </w:r>
          </w:p>
          <w:p w14:paraId="6138CD1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c、对员工进行岗位培训。做好值班记录，实行岗位责任制。</w:t>
            </w:r>
          </w:p>
          <w:p w14:paraId="09025AB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本项目运行后，需加强环保管理，杜绝废气的不正常排放的发生。</w:t>
            </w:r>
          </w:p>
          <w:p w14:paraId="4A653B6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非正常工况恶臭应急防范措施</w:t>
            </w:r>
          </w:p>
          <w:p w14:paraId="5159BD8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a、</w:t>
            </w:r>
            <w:r>
              <w:rPr>
                <w:rFonts w:hint="eastAsia"/>
                <w:color w:val="000000" w:themeColor="text1"/>
                <w:highlight w:val="none"/>
                <w:lang w:val="en-US" w:eastAsia="zh-CN"/>
                <w14:textFill>
                  <w14:solidFill>
                    <w14:schemeClr w14:val="tx1"/>
                  </w14:solidFill>
                </w14:textFill>
              </w:rPr>
              <w:t>若</w:t>
            </w:r>
            <w:r>
              <w:rPr>
                <w:rFonts w:hint="eastAsia"/>
                <w:color w:val="000000" w:themeColor="text1"/>
                <w:highlight w:val="none"/>
                <w14:textFill>
                  <w14:solidFill>
                    <w14:schemeClr w14:val="tx1"/>
                  </w14:solidFill>
                </w14:textFill>
              </w:rPr>
              <w:t>发生设备故障、停电等非正常工况，立即启动应急响应，第一时间切断或减少恶臭产生源（如调整生化反应参数、暂停污泥转运等）。</w:t>
            </w:r>
          </w:p>
          <w:p w14:paraId="7056875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b、对生化处理池、污泥储存及脱水区域等关键环节，配备应急密封覆盖设施及应急除臭药剂（，非正常工况下快速覆盖或喷淋处理，抑制恶臭扩散。</w:t>
            </w:r>
          </w:p>
          <w:p w14:paraId="2A712B5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c、明确应急处置流程，非正常工况发生后，立即组织人员排查故障、抢修设备，同步对受影响区域进行通风换气及除臭处理；若恶臭扩散可能影响周边环境，及时向当地环境管理部门报备，并采取设置警戒区域、告知周边敏感点等措施。</w:t>
            </w:r>
          </w:p>
          <w:p w14:paraId="52690B8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d、建立应急演练制度，定期组织开展恶臭污染应急处置演练，优化应急响应流程，提升操作人员应对非正常工况的快速处置能力，确保恶臭污染及时受控。</w:t>
            </w:r>
          </w:p>
          <w:p w14:paraId="334FA3F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废气监测计划</w:t>
            </w:r>
          </w:p>
          <w:p w14:paraId="430E9FA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根据《排污单位自行监测技术指南 水处理》（HJ1083-2020）等要求开展监测，具体如下：</w:t>
            </w:r>
          </w:p>
          <w:p w14:paraId="298658F1">
            <w:pPr>
              <w:pStyle w:val="20"/>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表4-</w:t>
            </w:r>
            <w:r>
              <w:rPr>
                <w:rFonts w:hint="eastAsia"/>
                <w:color w:val="000000" w:themeColor="text1"/>
                <w:highlight w:val="none"/>
                <w:lang w:val="en-US" w:eastAsia="zh-CN"/>
                <w14:textFill>
                  <w14:solidFill>
                    <w14:schemeClr w14:val="tx1"/>
                  </w14:solidFill>
                </w14:textFill>
              </w:rPr>
              <w:t xml:space="preserve">8 </w:t>
            </w:r>
            <w:r>
              <w:rPr>
                <w:rFonts w:hint="eastAsia"/>
                <w:color w:val="000000" w:themeColor="text1"/>
                <w:highlight w:val="none"/>
                <w14:textFill>
                  <w14:solidFill>
                    <w14:schemeClr w14:val="tx1"/>
                  </w14:solidFill>
                </w14:textFill>
              </w:rPr>
              <w:t xml:space="preserve"> 项目废气监测方案</w:t>
            </w:r>
          </w:p>
          <w:tbl>
            <w:tblPr>
              <w:tblStyle w:val="12"/>
              <w:tblW w:w="4998" w:type="pct"/>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702"/>
              <w:gridCol w:w="1284"/>
              <w:gridCol w:w="2147"/>
              <w:gridCol w:w="3053"/>
              <w:gridCol w:w="1158"/>
            </w:tblGrid>
            <w:tr w14:paraId="530C32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9" w:hRule="atLeast"/>
              </w:trPr>
              <w:tc>
                <w:tcPr>
                  <w:tcW w:w="421" w:type="pct"/>
                  <w:tcBorders>
                    <w:tl2br w:val="nil"/>
                    <w:tr2bl w:val="nil"/>
                  </w:tcBorders>
                  <w:shd w:val="clear" w:color="auto" w:fill="auto"/>
                  <w:vAlign w:val="center"/>
                </w:tcPr>
                <w:p w14:paraId="2917227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类别</w:t>
                  </w:r>
                </w:p>
              </w:tc>
              <w:tc>
                <w:tcPr>
                  <w:tcW w:w="2055" w:type="pct"/>
                  <w:gridSpan w:val="2"/>
                  <w:tcBorders>
                    <w:tl2br w:val="nil"/>
                    <w:tr2bl w:val="nil"/>
                  </w:tcBorders>
                  <w:shd w:val="clear" w:color="auto" w:fill="auto"/>
                  <w:vAlign w:val="center"/>
                </w:tcPr>
                <w:p w14:paraId="6BA149C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监测点位</w:t>
                  </w:r>
                </w:p>
              </w:tc>
              <w:tc>
                <w:tcPr>
                  <w:tcW w:w="1829" w:type="pct"/>
                  <w:tcBorders>
                    <w:tl2br w:val="nil"/>
                    <w:tr2bl w:val="nil"/>
                  </w:tcBorders>
                  <w:shd w:val="clear" w:color="auto" w:fill="auto"/>
                  <w:vAlign w:val="center"/>
                </w:tcPr>
                <w:p w14:paraId="7F31626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监测项目</w:t>
                  </w:r>
                </w:p>
              </w:tc>
              <w:tc>
                <w:tcPr>
                  <w:tcW w:w="694" w:type="pct"/>
                  <w:tcBorders>
                    <w:tl2br w:val="nil"/>
                    <w:tr2bl w:val="nil"/>
                  </w:tcBorders>
                  <w:shd w:val="clear" w:color="auto" w:fill="auto"/>
                  <w:vAlign w:val="center"/>
                </w:tcPr>
                <w:p w14:paraId="0B397C7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频率</w:t>
                  </w:r>
                </w:p>
              </w:tc>
            </w:tr>
            <w:tr w14:paraId="7E9D30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21" w:type="pct"/>
                  <w:vMerge w:val="restart"/>
                  <w:tcBorders>
                    <w:tl2br w:val="nil"/>
                    <w:tr2bl w:val="nil"/>
                  </w:tcBorders>
                  <w:shd w:val="clear" w:color="auto" w:fill="auto"/>
                  <w:vAlign w:val="center"/>
                </w:tcPr>
                <w:p w14:paraId="370E6CC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废气</w:t>
                  </w:r>
                </w:p>
              </w:tc>
              <w:tc>
                <w:tcPr>
                  <w:tcW w:w="769" w:type="pct"/>
                  <w:vMerge w:val="restart"/>
                  <w:tcBorders>
                    <w:tl2br w:val="nil"/>
                    <w:tr2bl w:val="nil"/>
                  </w:tcBorders>
                  <w:shd w:val="clear" w:color="auto" w:fill="auto"/>
                  <w:vAlign w:val="center"/>
                </w:tcPr>
                <w:p w14:paraId="072F1D4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厂区无组织排放监控点</w:t>
                  </w:r>
                </w:p>
              </w:tc>
              <w:tc>
                <w:tcPr>
                  <w:tcW w:w="1285" w:type="pct"/>
                  <w:tcBorders>
                    <w:tl2br w:val="nil"/>
                    <w:tr2bl w:val="nil"/>
                  </w:tcBorders>
                  <w:shd w:val="clear" w:color="auto" w:fill="auto"/>
                  <w:vAlign w:val="center"/>
                </w:tcPr>
                <w:p w14:paraId="4E5AD53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厂界</w:t>
                  </w:r>
                </w:p>
              </w:tc>
              <w:tc>
                <w:tcPr>
                  <w:tcW w:w="1829" w:type="pct"/>
                  <w:tcBorders>
                    <w:tl2br w:val="nil"/>
                    <w:tr2bl w:val="nil"/>
                  </w:tcBorders>
                  <w:shd w:val="clear" w:color="auto" w:fill="auto"/>
                  <w:vAlign w:val="center"/>
                </w:tcPr>
                <w:p w14:paraId="7E23B18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恶臭</w:t>
                  </w:r>
                  <w:r>
                    <w:rPr>
                      <w:rFonts w:hint="eastAsia" w:cs="Times New Roman" w:eastAsiaTheme="minorEastAsia"/>
                      <w:color w:val="000000" w:themeColor="text1"/>
                      <w:sz w:val="21"/>
                      <w:szCs w:val="21"/>
                      <w:highlight w:val="none"/>
                      <w:lang w:val="en-US" w:eastAsia="zh-CN" w:bidi="ar"/>
                      <w14:textFill>
                        <w14:solidFill>
                          <w14:schemeClr w14:val="tx1"/>
                        </w14:solidFill>
                      </w14:textFill>
                    </w:rPr>
                    <w:t>（</w:t>
                  </w: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NH</w:t>
                  </w:r>
                  <w:r>
                    <w:rPr>
                      <w:rFonts w:hint="eastAsia" w:cs="Times New Roman" w:eastAsiaTheme="minorEastAsia"/>
                      <w:color w:val="000000" w:themeColor="text1"/>
                      <w:sz w:val="21"/>
                      <w:szCs w:val="21"/>
                      <w:highlight w:val="none"/>
                      <w:vertAlign w:val="subscript"/>
                      <w:lang w:val="en-US" w:eastAsia="zh-CN" w:bidi="ar"/>
                      <w14:textFill>
                        <w14:solidFill>
                          <w14:schemeClr w14:val="tx1"/>
                        </w14:solidFill>
                      </w14:textFill>
                    </w:rPr>
                    <w:t>3</w:t>
                  </w: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、H</w:t>
                  </w:r>
                  <w:r>
                    <w:rPr>
                      <w:rFonts w:hint="eastAsia" w:cs="Times New Roman" w:eastAsiaTheme="minorEastAsia"/>
                      <w:color w:val="000000" w:themeColor="text1"/>
                      <w:sz w:val="21"/>
                      <w:szCs w:val="21"/>
                      <w:highlight w:val="none"/>
                      <w:vertAlign w:val="subscript"/>
                      <w:lang w:val="en-US" w:eastAsia="zh-CN" w:bidi="ar"/>
                      <w14:textFill>
                        <w14:solidFill>
                          <w14:schemeClr w14:val="tx1"/>
                        </w14:solidFill>
                      </w14:textFill>
                    </w:rPr>
                    <w:t>2</w:t>
                  </w: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S</w:t>
                  </w:r>
                  <w:r>
                    <w:rPr>
                      <w:rFonts w:hint="eastAsia" w:cs="Times New Roman" w:eastAsiaTheme="minorEastAsia"/>
                      <w:color w:val="000000" w:themeColor="text1"/>
                      <w:sz w:val="21"/>
                      <w:szCs w:val="21"/>
                      <w:highlight w:val="none"/>
                      <w:lang w:val="en-US" w:eastAsia="zh-CN" w:bidi="ar"/>
                      <w14:textFill>
                        <w14:solidFill>
                          <w14:schemeClr w14:val="tx1"/>
                        </w14:solidFill>
                      </w14:textFill>
                    </w:rPr>
                    <w:t>）</w:t>
                  </w: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、臭气浓度</w:t>
                  </w:r>
                </w:p>
              </w:tc>
              <w:tc>
                <w:tcPr>
                  <w:tcW w:w="694" w:type="pct"/>
                  <w:tcBorders>
                    <w:tl2br w:val="nil"/>
                    <w:tr2bl w:val="nil"/>
                  </w:tcBorders>
                  <w:shd w:val="clear" w:color="auto" w:fill="auto"/>
                  <w:vAlign w:val="center"/>
                </w:tcPr>
                <w:p w14:paraId="0A6D848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1次/半年</w:t>
                  </w:r>
                </w:p>
              </w:tc>
            </w:tr>
            <w:tr w14:paraId="56728C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21" w:type="pct"/>
                  <w:vMerge w:val="continue"/>
                  <w:tcBorders>
                    <w:tl2br w:val="nil"/>
                    <w:tr2bl w:val="nil"/>
                  </w:tcBorders>
                  <w:shd w:val="clear" w:color="auto" w:fill="auto"/>
                  <w:vAlign w:val="center"/>
                </w:tcPr>
                <w:p w14:paraId="2615C957">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769" w:type="pct"/>
                  <w:vMerge w:val="continue"/>
                  <w:tcBorders>
                    <w:tl2br w:val="nil"/>
                    <w:tr2bl w:val="nil"/>
                  </w:tcBorders>
                  <w:shd w:val="clear" w:color="auto" w:fill="auto"/>
                  <w:vAlign w:val="center"/>
                </w:tcPr>
                <w:p w14:paraId="281F8D32">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1285" w:type="pct"/>
                  <w:tcBorders>
                    <w:tl2br w:val="nil"/>
                    <w:tr2bl w:val="nil"/>
                  </w:tcBorders>
                  <w:shd w:val="clear" w:color="auto" w:fill="auto"/>
                  <w:vAlign w:val="center"/>
                </w:tcPr>
                <w:p w14:paraId="263D685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厂界体积浓度最高处</w:t>
                  </w:r>
                </w:p>
              </w:tc>
              <w:tc>
                <w:tcPr>
                  <w:tcW w:w="1829" w:type="pct"/>
                  <w:tcBorders>
                    <w:tl2br w:val="nil"/>
                    <w:tr2bl w:val="nil"/>
                  </w:tcBorders>
                  <w:shd w:val="clear" w:color="auto" w:fill="auto"/>
                  <w:vAlign w:val="center"/>
                </w:tcPr>
                <w:p w14:paraId="7D1FEB7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甲烷</w:t>
                  </w:r>
                </w:p>
              </w:tc>
              <w:tc>
                <w:tcPr>
                  <w:tcW w:w="694" w:type="pct"/>
                  <w:tcBorders>
                    <w:tl2br w:val="nil"/>
                    <w:tr2bl w:val="nil"/>
                  </w:tcBorders>
                  <w:shd w:val="clear" w:color="auto" w:fill="auto"/>
                  <w:vAlign w:val="center"/>
                </w:tcPr>
                <w:p w14:paraId="1D43B83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1次/年</w:t>
                  </w:r>
                </w:p>
              </w:tc>
            </w:tr>
          </w:tbl>
          <w:p w14:paraId="7B357E5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p>
          <w:p w14:paraId="068E4FF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5</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项目废气排放的环境影响</w:t>
            </w:r>
          </w:p>
          <w:p w14:paraId="182C086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本项目对产生恶臭的构筑物进行密闭收集，收集效率不低于95%；采取“</w:t>
            </w:r>
            <w:r>
              <w:rPr>
                <w:rFonts w:hint="eastAsia"/>
                <w:color w:val="000000" w:themeColor="text1"/>
                <w:highlight w:val="none"/>
                <w:lang w:val="en-US" w:eastAsia="zh-CN"/>
                <w14:textFill>
                  <w14:solidFill>
                    <w14:schemeClr w14:val="tx1"/>
                  </w14:solidFill>
                </w14:textFill>
              </w:rPr>
              <w:t>活性炭吸附</w:t>
            </w:r>
            <w:r>
              <w:rPr>
                <w:rFonts w:hint="eastAsia"/>
                <w:color w:val="000000" w:themeColor="text1"/>
                <w:highlight w:val="none"/>
                <w14:textFill>
                  <w14:solidFill>
                    <w14:schemeClr w14:val="tx1"/>
                  </w14:solidFill>
                </w14:textFill>
              </w:rPr>
              <w:t>法”工艺对恶臭污染物进行处理，处理效率不低于</w:t>
            </w:r>
            <w:r>
              <w:rPr>
                <w:rFonts w:hint="eastAsia"/>
                <w:color w:val="000000" w:themeColor="text1"/>
                <w:highlight w:val="none"/>
                <w:lang w:val="en-US" w:eastAsia="zh-CN"/>
                <w14:textFill>
                  <w14:solidFill>
                    <w14:schemeClr w14:val="tx1"/>
                  </w14:solidFill>
                </w14:textFill>
              </w:rPr>
              <w:t>75</w:t>
            </w:r>
            <w:r>
              <w:rPr>
                <w:rFonts w:hint="eastAsia"/>
                <w:color w:val="000000" w:themeColor="text1"/>
                <w:highlight w:val="none"/>
                <w14:textFill>
                  <w14:solidFill>
                    <w14:schemeClr w14:val="tx1"/>
                  </w14:solidFill>
                </w14:textFill>
              </w:rPr>
              <w:t>%；恶臭污染物处理后</w:t>
            </w:r>
            <w:r>
              <w:rPr>
                <w:rFonts w:hint="eastAsia"/>
                <w:color w:val="000000" w:themeColor="text1"/>
                <w:highlight w:val="none"/>
                <w:lang w:val="en-US" w:eastAsia="zh-CN"/>
                <w14:textFill>
                  <w14:solidFill>
                    <w14:schemeClr w14:val="tx1"/>
                  </w14:solidFill>
                </w14:textFill>
              </w:rPr>
              <w:t>无</w:t>
            </w:r>
            <w:r>
              <w:rPr>
                <w:rFonts w:hint="eastAsia"/>
                <w:color w:val="000000" w:themeColor="text1"/>
                <w:highlight w:val="none"/>
                <w14:textFill>
                  <w14:solidFill>
                    <w14:schemeClr w14:val="tx1"/>
                  </w14:solidFill>
                </w14:textFill>
              </w:rPr>
              <w:t>组织排放。项目厂界氨、硫化氢、臭气浓度排放可以满足《城镇污水处理厂污染物排放标准》（GB18918-2002）</w:t>
            </w:r>
            <w:r>
              <w:rPr>
                <w:rFonts w:hint="eastAsia"/>
                <w:color w:val="000000" w:themeColor="text1"/>
                <w:highlight w:val="none"/>
                <w:lang w:val="en-US" w:eastAsia="zh-CN"/>
                <w14:textFill>
                  <w14:solidFill>
                    <w14:schemeClr w14:val="tx1"/>
                  </w14:solidFill>
                </w14:textFill>
              </w:rPr>
              <w:t>（含2006年、2025年修改单）</w:t>
            </w:r>
            <w:r>
              <w:rPr>
                <w:rFonts w:hint="eastAsia"/>
                <w:color w:val="000000" w:themeColor="text1"/>
                <w:highlight w:val="none"/>
                <w14:textFill>
                  <w14:solidFill>
                    <w14:schemeClr w14:val="tx1"/>
                  </w14:solidFill>
                </w14:textFill>
              </w:rPr>
              <w:t>中表4厂界（防护带边缘）废气排放最高允许浓度二级标准限值要求。</w:t>
            </w:r>
          </w:p>
          <w:p w14:paraId="57E840B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综上所述，本项目采取有效的治理措施，实现废气的达标排放，对项目周围大气环境影响很小，对保护目标的影响可接受。</w:t>
            </w:r>
          </w:p>
          <w:p w14:paraId="3C60713A">
            <w:pPr>
              <w:keepNext w:val="0"/>
              <w:keepLines w:val="0"/>
              <w:pageBreakBefore w:val="0"/>
              <w:widowControl w:val="0"/>
              <w:kinsoku/>
              <w:wordWrap/>
              <w:overflowPunct/>
              <w:topLinePunct w:val="0"/>
              <w:autoSpaceDE/>
              <w:autoSpaceDN/>
              <w:bidi w:val="0"/>
              <w:adjustRightInd w:val="0"/>
              <w:snapToGrid w:val="0"/>
              <w:textAlignment w:val="auto"/>
              <w:rPr>
                <w:rFonts w:hint="eastAsia"/>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2</w:t>
            </w:r>
            <w:r>
              <w:rPr>
                <w:rFonts w:hint="eastAsia"/>
                <w:b/>
                <w:bCs/>
                <w:color w:val="000000" w:themeColor="text1"/>
                <w:highlight w:val="none"/>
                <w14:textFill>
                  <w14:solidFill>
                    <w14:schemeClr w14:val="tx1"/>
                  </w14:solidFill>
                </w14:textFill>
              </w:rPr>
              <w:t>、废水</w:t>
            </w:r>
          </w:p>
          <w:p w14:paraId="385D97F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废水</w:t>
            </w:r>
            <w:r>
              <w:rPr>
                <w:rFonts w:hint="eastAsia"/>
                <w:color w:val="000000" w:themeColor="text1"/>
                <w:highlight w:val="none"/>
                <w:lang w:val="en-US" w:eastAsia="zh-CN"/>
                <w14:textFill>
                  <w14:solidFill>
                    <w14:schemeClr w14:val="tx1"/>
                  </w14:solidFill>
                </w14:textFill>
              </w:rPr>
              <w:t>产生情况</w:t>
            </w:r>
          </w:p>
          <w:p w14:paraId="7E35804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本项目为城镇生活污水处理项目，项目废水</w:t>
            </w:r>
            <w:r>
              <w:rPr>
                <w:rFonts w:hint="eastAsia"/>
                <w:color w:val="000000" w:themeColor="text1"/>
                <w:highlight w:val="none"/>
                <w:lang w:eastAsia="zh-CN"/>
                <w14:textFill>
                  <w14:solidFill>
                    <w14:schemeClr w14:val="tx1"/>
                  </w14:solidFill>
                </w14:textFill>
              </w:rPr>
              <w:t>包括</w:t>
            </w:r>
            <w:r>
              <w:rPr>
                <w:rFonts w:hint="eastAsia"/>
                <w:color w:val="000000" w:themeColor="text1"/>
                <w:highlight w:val="none"/>
                <w14:textFill>
                  <w14:solidFill>
                    <w14:schemeClr w14:val="tx1"/>
                  </w14:solidFill>
                </w14:textFill>
              </w:rPr>
              <w:t>本厂污水，又包括进厂污水。本厂污水主要为职工生活污水</w:t>
            </w:r>
            <w:r>
              <w:rPr>
                <w:rFonts w:hint="eastAsia"/>
                <w:color w:val="000000" w:themeColor="text1"/>
                <w:highlight w:val="none"/>
                <w:lang w:val="en-US" w:eastAsia="zh-CN"/>
                <w14:textFill>
                  <w14:solidFill>
                    <w14:schemeClr w14:val="tx1"/>
                  </w14:solidFill>
                </w14:textFill>
              </w:rPr>
              <w:t>及污水处理过程中产生的废水</w:t>
            </w:r>
            <w:r>
              <w:rPr>
                <w:rFonts w:hint="eastAsia"/>
                <w:color w:val="000000" w:themeColor="text1"/>
                <w:highlight w:val="none"/>
                <w14:textFill>
                  <w14:solidFill>
                    <w14:schemeClr w14:val="tx1"/>
                  </w14:solidFill>
                </w14:textFill>
              </w:rPr>
              <w:t>，项目在厂区内设置污水管网，厂内污水经管网收集后进入预处理池。</w:t>
            </w:r>
          </w:p>
          <w:p w14:paraId="7421466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1）栅渣压滤水</w:t>
            </w:r>
          </w:p>
          <w:p w14:paraId="5517B34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扩建部分</w:t>
            </w:r>
            <w:r>
              <w:rPr>
                <w:rFonts w:hint="default"/>
                <w:color w:val="000000" w:themeColor="text1"/>
                <w:highlight w:val="none"/>
                <w:lang w:val="en-US" w:eastAsia="zh-CN"/>
                <w14:textFill>
                  <w14:solidFill>
                    <w14:schemeClr w14:val="tx1"/>
                  </w14:solidFill>
                </w14:textFill>
              </w:rPr>
              <w:t>项目污废水处理系统，栅渣产生量为</w:t>
            </w:r>
            <w:r>
              <w:rPr>
                <w:rFonts w:hint="eastAsia"/>
                <w:color w:val="000000" w:themeColor="text1"/>
                <w:highlight w:val="none"/>
                <w:lang w:val="en-US" w:eastAsia="zh-CN"/>
                <w14:textFill>
                  <w14:solidFill>
                    <w14:schemeClr w14:val="tx1"/>
                  </w14:solidFill>
                </w14:textFill>
              </w:rPr>
              <w:t>131.4</w:t>
            </w:r>
            <w:r>
              <w:rPr>
                <w:rFonts w:hint="default"/>
                <w:color w:val="000000" w:themeColor="text1"/>
                <w:highlight w:val="none"/>
                <w:lang w:val="en-US" w:eastAsia="zh-CN"/>
                <w14:textFill>
                  <w14:solidFill>
                    <w14:schemeClr w14:val="tx1"/>
                  </w14:solidFill>
                </w14:textFill>
              </w:rPr>
              <w:t>t/a，含水率80%，经滤水后干栅渣为</w:t>
            </w:r>
            <w:r>
              <w:rPr>
                <w:rFonts w:hint="eastAsia"/>
                <w:color w:val="000000" w:themeColor="text1"/>
                <w:highlight w:val="none"/>
                <w:lang w:val="en-US" w:eastAsia="zh-CN"/>
                <w14:textFill>
                  <w14:solidFill>
                    <w14:schemeClr w14:val="tx1"/>
                  </w14:solidFill>
                </w14:textFill>
              </w:rPr>
              <w:t>65.7</w:t>
            </w:r>
            <w:r>
              <w:rPr>
                <w:rFonts w:hint="default"/>
                <w:color w:val="000000" w:themeColor="text1"/>
                <w:highlight w:val="none"/>
                <w:lang w:val="en-US" w:eastAsia="zh-CN"/>
                <w14:textFill>
                  <w14:solidFill>
                    <w14:schemeClr w14:val="tx1"/>
                  </w14:solidFill>
                </w14:textFill>
              </w:rPr>
              <w:t>t/a，含水率为60%，故压滤过程中产生的滤水量为</w:t>
            </w:r>
            <w:r>
              <w:rPr>
                <w:rFonts w:hint="eastAsia"/>
                <w:color w:val="000000" w:themeColor="text1"/>
                <w:highlight w:val="none"/>
                <w:lang w:val="en-US" w:eastAsia="zh-CN"/>
                <w14:textFill>
                  <w14:solidFill>
                    <w14:schemeClr w14:val="tx1"/>
                  </w14:solidFill>
                </w14:textFill>
              </w:rPr>
              <w:t>65.7</w:t>
            </w:r>
            <w:r>
              <w:rPr>
                <w:rFonts w:hint="default"/>
                <w:color w:val="000000" w:themeColor="text1"/>
                <w:highlight w:val="none"/>
                <w:lang w:val="en-US" w:eastAsia="zh-CN"/>
                <w14:textFill>
                  <w14:solidFill>
                    <w14:schemeClr w14:val="tx1"/>
                  </w14:solidFill>
                </w14:textFill>
              </w:rPr>
              <w:t>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/a。栅渣压滤水进入污水处理厂处理。</w:t>
            </w:r>
          </w:p>
          <w:p w14:paraId="59C26D2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扩建后一期整体工程</w:t>
            </w:r>
            <w:r>
              <w:rPr>
                <w:rFonts w:hint="default"/>
                <w:color w:val="000000" w:themeColor="text1"/>
                <w:highlight w:val="none"/>
                <w:lang w:val="en-US" w:eastAsia="zh-CN"/>
                <w14:textFill>
                  <w14:solidFill>
                    <w14:schemeClr w14:val="tx1"/>
                  </w14:solidFill>
                </w14:textFill>
              </w:rPr>
              <w:t>栅渣产生量为</w:t>
            </w:r>
            <w:r>
              <w:rPr>
                <w:rFonts w:hint="eastAsia"/>
                <w:color w:val="000000" w:themeColor="text1"/>
                <w:highlight w:val="none"/>
                <w:lang w:val="en-US" w:eastAsia="zh-CN"/>
                <w14:textFill>
                  <w14:solidFill>
                    <w14:schemeClr w14:val="tx1"/>
                  </w14:solidFill>
                </w14:textFill>
              </w:rPr>
              <w:t>262.8</w:t>
            </w:r>
            <w:r>
              <w:rPr>
                <w:rFonts w:hint="default"/>
                <w:color w:val="000000" w:themeColor="text1"/>
                <w:highlight w:val="none"/>
                <w:lang w:val="en-US" w:eastAsia="zh-CN"/>
                <w14:textFill>
                  <w14:solidFill>
                    <w14:schemeClr w14:val="tx1"/>
                  </w14:solidFill>
                </w14:textFill>
              </w:rPr>
              <w:t>t/a，含水率80%，经滤水后干栅渣为</w:t>
            </w:r>
            <w:r>
              <w:rPr>
                <w:rFonts w:hint="eastAsia"/>
                <w:color w:val="000000" w:themeColor="text1"/>
                <w:highlight w:val="none"/>
                <w:lang w:val="en-US" w:eastAsia="zh-CN"/>
                <w14:textFill>
                  <w14:solidFill>
                    <w14:schemeClr w14:val="tx1"/>
                  </w14:solidFill>
                </w14:textFill>
              </w:rPr>
              <w:t>131.4</w:t>
            </w:r>
            <w:r>
              <w:rPr>
                <w:rFonts w:hint="default"/>
                <w:color w:val="000000" w:themeColor="text1"/>
                <w:highlight w:val="none"/>
                <w:lang w:val="en-US" w:eastAsia="zh-CN"/>
                <w14:textFill>
                  <w14:solidFill>
                    <w14:schemeClr w14:val="tx1"/>
                  </w14:solidFill>
                </w14:textFill>
              </w:rPr>
              <w:t>t/a，含水率为60%，故压滤过程中产生的滤水量为</w:t>
            </w:r>
            <w:r>
              <w:rPr>
                <w:rFonts w:hint="eastAsia"/>
                <w:color w:val="000000" w:themeColor="text1"/>
                <w:highlight w:val="none"/>
                <w:lang w:val="en-US" w:eastAsia="zh-CN"/>
                <w14:textFill>
                  <w14:solidFill>
                    <w14:schemeClr w14:val="tx1"/>
                  </w14:solidFill>
                </w14:textFill>
              </w:rPr>
              <w:t>131.4</w:t>
            </w:r>
            <w:r>
              <w:rPr>
                <w:rFonts w:hint="default"/>
                <w:color w:val="000000" w:themeColor="text1"/>
                <w:highlight w:val="none"/>
                <w:lang w:val="en-US" w:eastAsia="zh-CN"/>
                <w14:textFill>
                  <w14:solidFill>
                    <w14:schemeClr w14:val="tx1"/>
                  </w14:solidFill>
                </w14:textFill>
              </w:rPr>
              <w:t>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/a。栅渣压滤水进入污水处理厂处理。</w:t>
            </w:r>
          </w:p>
          <w:p w14:paraId="0F7E9F7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2）沉沙分离水</w:t>
            </w:r>
          </w:p>
          <w:p w14:paraId="6D62624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扩建</w:t>
            </w:r>
            <w:r>
              <w:rPr>
                <w:rFonts w:hint="eastAsia"/>
                <w:color w:val="000000" w:themeColor="text1"/>
                <w:highlight w:val="none"/>
                <w14:textFill>
                  <w14:solidFill>
                    <w14:schemeClr w14:val="tx1"/>
                  </w14:solidFill>
                </w14:textFill>
              </w:rPr>
              <w:t>项目污废水处理系统，沉砂池产生沉砂量为</w:t>
            </w:r>
            <w:r>
              <w:rPr>
                <w:rFonts w:hint="eastAsia"/>
                <w:color w:val="000000" w:themeColor="text1"/>
                <w:highlight w:val="none"/>
                <w:lang w:val="en-US" w:eastAsia="zh-CN"/>
                <w14:textFill>
                  <w14:solidFill>
                    <w14:schemeClr w14:val="tx1"/>
                  </w14:solidFill>
                </w14:textFill>
              </w:rPr>
              <w:t>246.375</w:t>
            </w:r>
            <w:r>
              <w:rPr>
                <w:rFonts w:hint="eastAsia"/>
                <w:color w:val="000000" w:themeColor="text1"/>
                <w:highlight w:val="none"/>
                <w14:textFill>
                  <w14:solidFill>
                    <w14:schemeClr w14:val="tx1"/>
                  </w14:solidFill>
                </w14:textFill>
              </w:rPr>
              <w:t>t/a，含水率80%，经砂水分离器滤水后干砂量为</w:t>
            </w:r>
            <w:r>
              <w:rPr>
                <w:rFonts w:hint="eastAsia"/>
                <w:color w:val="000000" w:themeColor="text1"/>
                <w:highlight w:val="none"/>
                <w:lang w:val="en-US" w:eastAsia="zh-CN"/>
                <w14:textFill>
                  <w14:solidFill>
                    <w14:schemeClr w14:val="tx1"/>
                  </w14:solidFill>
                </w14:textFill>
              </w:rPr>
              <w:t>123.19</w:t>
            </w:r>
            <w:r>
              <w:rPr>
                <w:rFonts w:hint="eastAsia"/>
                <w:color w:val="000000" w:themeColor="text1"/>
                <w:highlight w:val="none"/>
                <w14:textFill>
                  <w14:solidFill>
                    <w14:schemeClr w14:val="tx1"/>
                  </w14:solidFill>
                </w14:textFill>
              </w:rPr>
              <w:t>t/a，含水率为60%，故压滤过程中产生的滤水量为</w:t>
            </w:r>
            <w:r>
              <w:rPr>
                <w:rFonts w:hint="eastAsia"/>
                <w:color w:val="000000" w:themeColor="text1"/>
                <w:highlight w:val="none"/>
                <w:lang w:val="en-US" w:eastAsia="zh-CN"/>
                <w14:textFill>
                  <w14:solidFill>
                    <w14:schemeClr w14:val="tx1"/>
                  </w14:solidFill>
                </w14:textFill>
              </w:rPr>
              <w:t>123.185</w:t>
            </w:r>
            <w:r>
              <w:rPr>
                <w:rFonts w:hint="eastAsia"/>
                <w:color w:val="000000" w:themeColor="text1"/>
                <w:highlight w:val="none"/>
                <w14:textFill>
                  <w14:solidFill>
                    <w14:schemeClr w14:val="tx1"/>
                  </w14:solidFill>
                </w14:textFill>
              </w:rPr>
              <w:t>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/a。沉砂分离水进入污水处理厂处理。</w:t>
            </w:r>
          </w:p>
          <w:p w14:paraId="41383AB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扩建后一期整体工程</w:t>
            </w:r>
            <w:r>
              <w:rPr>
                <w:rFonts w:hint="eastAsia"/>
                <w:color w:val="000000" w:themeColor="text1"/>
                <w:highlight w:val="none"/>
                <w14:textFill>
                  <w14:solidFill>
                    <w14:schemeClr w14:val="tx1"/>
                  </w14:solidFill>
                </w14:textFill>
              </w:rPr>
              <w:t>污废水处理系统，沉砂池产生沉砂量为</w:t>
            </w:r>
            <w:r>
              <w:rPr>
                <w:rFonts w:hint="eastAsia"/>
                <w:color w:val="000000" w:themeColor="text1"/>
                <w:highlight w:val="none"/>
                <w:lang w:val="en-US" w:eastAsia="zh-CN"/>
                <w14:textFill>
                  <w14:solidFill>
                    <w14:schemeClr w14:val="tx1"/>
                  </w14:solidFill>
                </w14:textFill>
              </w:rPr>
              <w:t>492.75</w:t>
            </w:r>
            <w:r>
              <w:rPr>
                <w:rFonts w:hint="eastAsia"/>
                <w:color w:val="000000" w:themeColor="text1"/>
                <w:highlight w:val="none"/>
                <w14:textFill>
                  <w14:solidFill>
                    <w14:schemeClr w14:val="tx1"/>
                  </w14:solidFill>
                </w14:textFill>
              </w:rPr>
              <w:t>t/a，含水率80%，经砂水分离器滤水后干砂量为</w:t>
            </w:r>
            <w:r>
              <w:rPr>
                <w:rFonts w:hint="eastAsia"/>
                <w:color w:val="000000" w:themeColor="text1"/>
                <w:highlight w:val="none"/>
                <w:lang w:val="en-US" w:eastAsia="zh-CN"/>
                <w14:textFill>
                  <w14:solidFill>
                    <w14:schemeClr w14:val="tx1"/>
                  </w14:solidFill>
                </w14:textFill>
              </w:rPr>
              <w:t>246.38</w:t>
            </w:r>
            <w:r>
              <w:rPr>
                <w:rFonts w:hint="eastAsia"/>
                <w:color w:val="000000" w:themeColor="text1"/>
                <w:highlight w:val="none"/>
                <w14:textFill>
                  <w14:solidFill>
                    <w14:schemeClr w14:val="tx1"/>
                  </w14:solidFill>
                </w14:textFill>
              </w:rPr>
              <w:t>t/a，含水率为60%，故压滤过程中产生的滤水量为</w:t>
            </w:r>
            <w:r>
              <w:rPr>
                <w:rFonts w:hint="eastAsia"/>
                <w:color w:val="000000" w:themeColor="text1"/>
                <w:highlight w:val="none"/>
                <w:lang w:val="en-US" w:eastAsia="zh-CN"/>
                <w14:textFill>
                  <w14:solidFill>
                    <w14:schemeClr w14:val="tx1"/>
                  </w14:solidFill>
                </w14:textFill>
              </w:rPr>
              <w:t>246.37</w:t>
            </w:r>
            <w:r>
              <w:rPr>
                <w:rFonts w:hint="eastAsia"/>
                <w:color w:val="000000" w:themeColor="text1"/>
                <w:highlight w:val="none"/>
                <w14:textFill>
                  <w14:solidFill>
                    <w14:schemeClr w14:val="tx1"/>
                  </w14:solidFill>
                </w14:textFill>
              </w:rPr>
              <w:t>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/a。沉砂分离水进入污水处理厂处理。</w:t>
            </w:r>
          </w:p>
          <w:p w14:paraId="2D2C624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3）污泥脱水废水</w:t>
            </w:r>
          </w:p>
          <w:p w14:paraId="4819829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扩建部分</w:t>
            </w:r>
            <w:r>
              <w:rPr>
                <w:rFonts w:hint="eastAsia"/>
                <w:color w:val="000000" w:themeColor="text1"/>
                <w:highlight w:val="none"/>
                <w14:textFill>
                  <w14:solidFill>
                    <w14:schemeClr w14:val="tx1"/>
                  </w14:solidFill>
                </w14:textFill>
              </w:rPr>
              <w:t>污泥产生量为</w:t>
            </w:r>
            <w:r>
              <w:rPr>
                <w:rFonts w:hint="eastAsia"/>
                <w:color w:val="000000" w:themeColor="text1"/>
                <w:highlight w:val="none"/>
                <w:lang w:val="en-US" w:eastAsia="zh-CN"/>
                <w14:textFill>
                  <w14:solidFill>
                    <w14:schemeClr w14:val="tx1"/>
                  </w14:solidFill>
                </w14:textFill>
              </w:rPr>
              <w:t>120</w:t>
            </w:r>
            <w:r>
              <w:rPr>
                <w:rFonts w:hint="eastAsia"/>
                <w:color w:val="000000" w:themeColor="text1"/>
                <w:highlight w:val="none"/>
                <w14:textFill>
                  <w14:solidFill>
                    <w14:schemeClr w14:val="tx1"/>
                  </w14:solidFill>
                </w14:textFill>
              </w:rPr>
              <w:t>t/d，</w:t>
            </w:r>
            <w:r>
              <w:rPr>
                <w:rFonts w:hint="eastAsia"/>
                <w:color w:val="000000" w:themeColor="text1"/>
                <w:highlight w:val="none"/>
                <w:lang w:val="en-US" w:eastAsia="zh-CN"/>
                <w14:textFill>
                  <w14:solidFill>
                    <w14:schemeClr w14:val="tx1"/>
                  </w14:solidFill>
                </w14:textFill>
              </w:rPr>
              <w:t>43800</w:t>
            </w:r>
            <w:r>
              <w:rPr>
                <w:rFonts w:hint="eastAsia"/>
                <w:color w:val="000000" w:themeColor="text1"/>
                <w:highlight w:val="none"/>
                <w14:textFill>
                  <w14:solidFill>
                    <w14:schemeClr w14:val="tx1"/>
                  </w14:solidFill>
                </w14:textFill>
              </w:rPr>
              <w:t>t/a，含水率为98%，经污泥脱水机压滤脱水处理后污泥量为</w:t>
            </w:r>
            <w:r>
              <w:rPr>
                <w:rFonts w:hint="eastAsia"/>
                <w:color w:val="000000" w:themeColor="text1"/>
                <w:highlight w:val="none"/>
                <w:lang w:val="en-US" w:eastAsia="zh-CN"/>
                <w14:textFill>
                  <w14:solidFill>
                    <w14:schemeClr w14:val="tx1"/>
                  </w14:solidFill>
                </w14:textFill>
              </w:rPr>
              <w:t>6</w:t>
            </w:r>
            <w:r>
              <w:rPr>
                <w:rFonts w:hint="eastAsia"/>
                <w:color w:val="000000" w:themeColor="text1"/>
                <w:highlight w:val="none"/>
                <w14:textFill>
                  <w14:solidFill>
                    <w14:schemeClr w14:val="tx1"/>
                  </w14:solidFill>
                </w14:textFill>
              </w:rPr>
              <w:t>t/d，</w:t>
            </w:r>
            <w:r>
              <w:rPr>
                <w:rFonts w:hint="eastAsia"/>
                <w:color w:val="000000" w:themeColor="text1"/>
                <w:highlight w:val="none"/>
                <w:lang w:val="en-US" w:eastAsia="zh-CN"/>
                <w14:textFill>
                  <w14:solidFill>
                    <w14:schemeClr w14:val="tx1"/>
                  </w14:solidFill>
                </w14:textFill>
              </w:rPr>
              <w:t>2190</w:t>
            </w:r>
            <w:r>
              <w:rPr>
                <w:rFonts w:hint="eastAsia"/>
                <w:color w:val="000000" w:themeColor="text1"/>
                <w:highlight w:val="none"/>
                <w14:textFill>
                  <w14:solidFill>
                    <w14:schemeClr w14:val="tx1"/>
                  </w14:solidFill>
                </w14:textFill>
              </w:rPr>
              <w:t>t/a，含水率为60%，则污泥脱水机压滤过程中产生的滤水量为</w:t>
            </w:r>
            <w:r>
              <w:rPr>
                <w:rFonts w:hint="eastAsia"/>
                <w:color w:val="000000" w:themeColor="text1"/>
                <w:highlight w:val="none"/>
                <w:lang w:val="en-US" w:eastAsia="zh-CN"/>
                <w14:textFill>
                  <w14:solidFill>
                    <w14:schemeClr w14:val="tx1"/>
                  </w14:solidFill>
                </w14:textFill>
              </w:rPr>
              <w:t>114</w:t>
            </w:r>
            <w:r>
              <w:rPr>
                <w:rFonts w:hint="eastAsia"/>
                <w:color w:val="000000" w:themeColor="text1"/>
                <w:highlight w:val="none"/>
                <w14:textFill>
                  <w14:solidFill>
                    <w14:schemeClr w14:val="tx1"/>
                  </w14:solidFill>
                </w14:textFill>
              </w:rPr>
              <w:t>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/d，</w:t>
            </w:r>
            <w:r>
              <w:rPr>
                <w:rFonts w:hint="eastAsia"/>
                <w:color w:val="000000" w:themeColor="text1"/>
                <w:highlight w:val="none"/>
                <w:lang w:val="en-US" w:eastAsia="zh-CN"/>
                <w14:textFill>
                  <w14:solidFill>
                    <w14:schemeClr w14:val="tx1"/>
                  </w14:solidFill>
                </w14:textFill>
              </w:rPr>
              <w:t>41610</w:t>
            </w:r>
            <w:r>
              <w:rPr>
                <w:rFonts w:hint="eastAsia"/>
                <w:color w:val="000000" w:themeColor="text1"/>
                <w:highlight w:val="none"/>
                <w14:textFill>
                  <w14:solidFill>
                    <w14:schemeClr w14:val="tx1"/>
                  </w14:solidFill>
                </w14:textFill>
              </w:rPr>
              <w:t>t/d。污泥脱水废水进入污水处理厂处理。</w:t>
            </w:r>
          </w:p>
          <w:p w14:paraId="4C78512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扩建后一期整体</w:t>
            </w:r>
            <w:r>
              <w:rPr>
                <w:rFonts w:hint="eastAsia"/>
                <w:color w:val="000000" w:themeColor="text1"/>
                <w:highlight w:val="none"/>
                <w14:textFill>
                  <w14:solidFill>
                    <w14:schemeClr w14:val="tx1"/>
                  </w14:solidFill>
                </w14:textFill>
              </w:rPr>
              <w:t>项目污泥产生量为</w:t>
            </w:r>
            <w:r>
              <w:rPr>
                <w:rFonts w:hint="eastAsia"/>
                <w:color w:val="000000" w:themeColor="text1"/>
                <w:highlight w:val="none"/>
                <w:lang w:val="en-US" w:eastAsia="zh-CN"/>
                <w14:textFill>
                  <w14:solidFill>
                    <w14:schemeClr w14:val="tx1"/>
                  </w14:solidFill>
                </w14:textFill>
              </w:rPr>
              <w:t>240</w:t>
            </w:r>
            <w:r>
              <w:rPr>
                <w:rFonts w:hint="eastAsia"/>
                <w:color w:val="000000" w:themeColor="text1"/>
                <w:highlight w:val="none"/>
                <w14:textFill>
                  <w14:solidFill>
                    <w14:schemeClr w14:val="tx1"/>
                  </w14:solidFill>
                </w14:textFill>
              </w:rPr>
              <w:t>t/d，</w:t>
            </w:r>
            <w:r>
              <w:rPr>
                <w:rFonts w:hint="eastAsia"/>
                <w:color w:val="000000" w:themeColor="text1"/>
                <w:highlight w:val="none"/>
                <w:lang w:val="en-US" w:eastAsia="zh-CN"/>
                <w14:textFill>
                  <w14:solidFill>
                    <w14:schemeClr w14:val="tx1"/>
                  </w14:solidFill>
                </w14:textFill>
              </w:rPr>
              <w:t>87600</w:t>
            </w:r>
            <w:r>
              <w:rPr>
                <w:rFonts w:hint="eastAsia"/>
                <w:color w:val="000000" w:themeColor="text1"/>
                <w:highlight w:val="none"/>
                <w14:textFill>
                  <w14:solidFill>
                    <w14:schemeClr w14:val="tx1"/>
                  </w14:solidFill>
                </w14:textFill>
              </w:rPr>
              <w:t>t/a，含水率为98%，经污泥脱水机压滤脱水处理后污泥量为</w:t>
            </w:r>
            <w:r>
              <w:rPr>
                <w:rFonts w:hint="eastAsia"/>
                <w:color w:val="000000" w:themeColor="text1"/>
                <w:highlight w:val="none"/>
                <w:lang w:val="en-US" w:eastAsia="zh-CN"/>
                <w14:textFill>
                  <w14:solidFill>
                    <w14:schemeClr w14:val="tx1"/>
                  </w14:solidFill>
                </w14:textFill>
              </w:rPr>
              <w:t>12</w:t>
            </w:r>
            <w:r>
              <w:rPr>
                <w:rFonts w:hint="eastAsia"/>
                <w:color w:val="000000" w:themeColor="text1"/>
                <w:highlight w:val="none"/>
                <w14:textFill>
                  <w14:solidFill>
                    <w14:schemeClr w14:val="tx1"/>
                  </w14:solidFill>
                </w14:textFill>
              </w:rPr>
              <w:t>t/d，</w:t>
            </w:r>
            <w:r>
              <w:rPr>
                <w:rFonts w:hint="eastAsia"/>
                <w:color w:val="000000" w:themeColor="text1"/>
                <w:highlight w:val="none"/>
                <w:lang w:val="en-US" w:eastAsia="zh-CN"/>
                <w14:textFill>
                  <w14:solidFill>
                    <w14:schemeClr w14:val="tx1"/>
                  </w14:solidFill>
                </w14:textFill>
              </w:rPr>
              <w:t>4380</w:t>
            </w:r>
            <w:r>
              <w:rPr>
                <w:rFonts w:hint="eastAsia"/>
                <w:color w:val="000000" w:themeColor="text1"/>
                <w:highlight w:val="none"/>
                <w14:textFill>
                  <w14:solidFill>
                    <w14:schemeClr w14:val="tx1"/>
                  </w14:solidFill>
                </w14:textFill>
              </w:rPr>
              <w:t>t/a，含水率为60%，则污泥脱水机压滤过程中产生的滤水量为</w:t>
            </w:r>
            <w:r>
              <w:rPr>
                <w:rFonts w:hint="eastAsia"/>
                <w:color w:val="000000" w:themeColor="text1"/>
                <w:highlight w:val="none"/>
                <w:lang w:val="en-US" w:eastAsia="zh-CN"/>
                <w14:textFill>
                  <w14:solidFill>
                    <w14:schemeClr w14:val="tx1"/>
                  </w14:solidFill>
                </w14:textFill>
              </w:rPr>
              <w:t>228</w:t>
            </w:r>
            <w:r>
              <w:rPr>
                <w:rFonts w:hint="eastAsia"/>
                <w:color w:val="000000" w:themeColor="text1"/>
                <w:highlight w:val="none"/>
                <w14:textFill>
                  <w14:solidFill>
                    <w14:schemeClr w14:val="tx1"/>
                  </w14:solidFill>
                </w14:textFill>
              </w:rPr>
              <w:t>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/d，</w:t>
            </w:r>
            <w:r>
              <w:rPr>
                <w:rFonts w:hint="eastAsia"/>
                <w:color w:val="000000" w:themeColor="text1"/>
                <w:highlight w:val="none"/>
                <w:lang w:val="en-US" w:eastAsia="zh-CN"/>
                <w14:textFill>
                  <w14:solidFill>
                    <w14:schemeClr w14:val="tx1"/>
                  </w14:solidFill>
                </w14:textFill>
              </w:rPr>
              <w:t>83220</w:t>
            </w:r>
            <w:r>
              <w:rPr>
                <w:rFonts w:hint="eastAsia"/>
                <w:color w:val="000000" w:themeColor="text1"/>
                <w:highlight w:val="none"/>
                <w14:textFill>
                  <w14:solidFill>
                    <w14:schemeClr w14:val="tx1"/>
                  </w14:solidFill>
                </w14:textFill>
              </w:rPr>
              <w:t>t/d。污泥脱水废水进入污水处理厂处理。</w:t>
            </w:r>
          </w:p>
          <w:p w14:paraId="6BDCA67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14:textFill>
                  <w14:solidFill>
                    <w14:schemeClr w14:val="tx1"/>
                  </w14:solidFill>
                </w14:textFill>
              </w:rPr>
              <w:t>）工作人员生活污水</w:t>
            </w:r>
          </w:p>
          <w:p w14:paraId="11F9D0B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本次</w:t>
            </w:r>
            <w:r>
              <w:rPr>
                <w:rFonts w:hint="eastAsia"/>
                <w:color w:val="000000" w:themeColor="text1"/>
                <w:highlight w:val="none"/>
                <w:lang w:val="en-US" w:eastAsia="zh-CN"/>
                <w14:textFill>
                  <w14:solidFill>
                    <w14:schemeClr w14:val="tx1"/>
                  </w14:solidFill>
                </w14:textFill>
              </w:rPr>
              <w:t>改</w:t>
            </w:r>
            <w:r>
              <w:rPr>
                <w:rFonts w:hint="eastAsia"/>
                <w:color w:val="000000" w:themeColor="text1"/>
                <w:highlight w:val="none"/>
                <w14:textFill>
                  <w14:solidFill>
                    <w14:schemeClr w14:val="tx1"/>
                  </w14:solidFill>
                </w14:textFill>
              </w:rPr>
              <w:t>扩建工程，不新增工作人员，无新增生活污水产生。</w:t>
            </w:r>
          </w:p>
          <w:p w14:paraId="74F3AF4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5</w:t>
            </w:r>
            <w:r>
              <w:rPr>
                <w:rFonts w:hint="eastAsia"/>
                <w:color w:val="000000" w:themeColor="text1"/>
                <w:highlight w:val="none"/>
                <w14:textFill>
                  <w14:solidFill>
                    <w14:schemeClr w14:val="tx1"/>
                  </w14:solidFill>
                </w14:textFill>
              </w:rPr>
              <w:t>）污水处理厂出水</w:t>
            </w:r>
          </w:p>
          <w:p w14:paraId="2C31B1A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污水处理厂</w:t>
            </w:r>
            <w:r>
              <w:rPr>
                <w:rFonts w:hint="eastAsia"/>
                <w:color w:val="000000" w:themeColor="text1"/>
                <w:highlight w:val="none"/>
                <w:lang w:val="en-US" w:eastAsia="zh-CN"/>
                <w14:textFill>
                  <w14:solidFill>
                    <w14:schemeClr w14:val="tx1"/>
                  </w14:solidFill>
                </w14:textFill>
              </w:rPr>
              <w:t>一期项目</w:t>
            </w:r>
            <w:r>
              <w:rPr>
                <w:rFonts w:hint="eastAsia"/>
                <w:color w:val="000000" w:themeColor="text1"/>
                <w:highlight w:val="none"/>
                <w14:textFill>
                  <w14:solidFill>
                    <w14:schemeClr w14:val="tx1"/>
                  </w14:solidFill>
                </w14:textFill>
              </w:rPr>
              <w:t>主要处理</w:t>
            </w:r>
            <w:r>
              <w:rPr>
                <w:rFonts w:hint="eastAsia"/>
                <w:color w:val="000000" w:themeColor="text1"/>
                <w:highlight w:val="none"/>
                <w:lang w:val="en-US" w:eastAsia="zh-CN"/>
                <w14:textFill>
                  <w14:solidFill>
                    <w14:schemeClr w14:val="tx1"/>
                  </w14:solidFill>
                </w14:textFill>
              </w:rPr>
              <w:t>巴彦高勒镇城区及周边区域的居民生活污水及部分工业废水</w:t>
            </w:r>
            <w:r>
              <w:rPr>
                <w:rFonts w:hint="eastAsia"/>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扩建项目</w:t>
            </w:r>
            <w:r>
              <w:rPr>
                <w:rFonts w:hint="eastAsia"/>
                <w:color w:val="000000" w:themeColor="text1"/>
                <w:highlight w:val="none"/>
                <w14:textFill>
                  <w14:solidFill>
                    <w14:schemeClr w14:val="tx1"/>
                  </w14:solidFill>
                </w14:textFill>
              </w:rPr>
              <w:t>处理规模为</w:t>
            </w:r>
            <w:r>
              <w:rPr>
                <w:rFonts w:hint="eastAsia"/>
                <w:color w:val="000000" w:themeColor="text1"/>
                <w:highlight w:val="none"/>
                <w:lang w:val="en-US" w:eastAsia="zh-CN"/>
                <w14:textFill>
                  <w14:solidFill>
                    <w14:schemeClr w14:val="tx1"/>
                  </w14:solidFill>
                </w14:textFill>
              </w:rPr>
              <w:t>15000</w:t>
            </w:r>
            <w:r>
              <w:rPr>
                <w:rFonts w:hint="eastAsia"/>
                <w:color w:val="000000" w:themeColor="text1"/>
                <w:highlight w:val="none"/>
                <w14:textFill>
                  <w14:solidFill>
                    <w14:schemeClr w14:val="tx1"/>
                  </w14:solidFill>
                </w14:textFill>
              </w:rPr>
              <w:t>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/d，经处理后达到《城镇污水处理厂污染物排放标准》（GB18918-2002）（含2006年、2025年修改单）中的一级标准的A标准后</w:t>
            </w:r>
            <w:r>
              <w:rPr>
                <w:rFonts w:hint="eastAsia"/>
                <w:color w:val="000000" w:themeColor="text1"/>
                <w:highlight w:val="none"/>
                <w:lang w:val="en-US" w:eastAsia="zh-CN"/>
                <w14:textFill>
                  <w14:solidFill>
                    <w14:schemeClr w14:val="tx1"/>
                  </w14:solidFill>
                </w14:textFill>
              </w:rPr>
              <w:t>排入人工湿地，最终</w:t>
            </w:r>
            <w:r>
              <w:rPr>
                <w:rFonts w:hint="eastAsia"/>
                <w:color w:val="000000" w:themeColor="text1"/>
                <w:highlight w:val="none"/>
                <w14:textFill>
                  <w14:solidFill>
                    <w14:schemeClr w14:val="tx1"/>
                  </w14:solidFill>
                </w14:textFill>
              </w:rPr>
              <w:t>排入</w:t>
            </w:r>
            <w:r>
              <w:rPr>
                <w:rFonts w:hint="eastAsia"/>
                <w:color w:val="000000" w:themeColor="text1"/>
                <w:highlight w:val="none"/>
                <w:lang w:val="en-US" w:eastAsia="zh-CN"/>
                <w14:textFill>
                  <w14:solidFill>
                    <w14:schemeClr w14:val="tx1"/>
                  </w14:solidFill>
                </w14:textFill>
              </w:rPr>
              <w:t>二排干</w:t>
            </w:r>
            <w:r>
              <w:rPr>
                <w:rFonts w:hint="eastAsia"/>
                <w:color w:val="000000" w:themeColor="text1"/>
                <w:highlight w:val="none"/>
                <w14:textFill>
                  <w14:solidFill>
                    <w14:schemeClr w14:val="tx1"/>
                  </w14:solidFill>
                </w14:textFill>
              </w:rPr>
              <w:t>。</w:t>
            </w:r>
          </w:p>
          <w:p w14:paraId="31600BD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根据污水处理厂进水水质分析，污水中的主要污染物为COD、BOD</w:t>
            </w:r>
            <w:r>
              <w:rPr>
                <w:rFonts w:hint="eastAsia"/>
                <w:color w:val="000000" w:themeColor="text1"/>
                <w:highlight w:val="none"/>
                <w:vertAlign w:val="subscript"/>
                <w14:textFill>
                  <w14:solidFill>
                    <w14:schemeClr w14:val="tx1"/>
                  </w14:solidFill>
                </w14:textFill>
              </w:rPr>
              <w:t>5</w:t>
            </w:r>
            <w:r>
              <w:rPr>
                <w:rFonts w:hint="eastAsia"/>
                <w:color w:val="000000" w:themeColor="text1"/>
                <w:highlight w:val="none"/>
                <w14:textFill>
                  <w14:solidFill>
                    <w14:schemeClr w14:val="tx1"/>
                  </w14:solidFill>
                </w14:textFill>
              </w:rPr>
              <w:t>、悬浮物和氨氮</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根据污水处理厂进、出水水质要求，结合《排污许可证申请与核发技术规范</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水处理（试行）》（HJ978-2018）中“排污单位水污染物年许可排放量”计算方法，本项目的废水污染物产排情况见下表。</w:t>
            </w:r>
          </w:p>
          <w:p w14:paraId="52CD6088">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表4-9  扩建部分污染物产排情况一览表</w:t>
            </w:r>
          </w:p>
          <w:tbl>
            <w:tblPr>
              <w:tblStyle w:val="12"/>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031"/>
              <w:gridCol w:w="873"/>
              <w:gridCol w:w="818"/>
              <w:gridCol w:w="804"/>
              <w:gridCol w:w="987"/>
              <w:gridCol w:w="737"/>
              <w:gridCol w:w="833"/>
              <w:gridCol w:w="849"/>
              <w:gridCol w:w="779"/>
              <w:gridCol w:w="637"/>
            </w:tblGrid>
            <w:tr w14:paraId="2DB03A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617" w:type="pct"/>
                  <w:vMerge w:val="restart"/>
                  <w:tcBorders>
                    <w:tl2br w:val="nil"/>
                    <w:tr2bl w:val="nil"/>
                  </w:tcBorders>
                  <w:noWrap w:val="0"/>
                  <w:vAlign w:val="center"/>
                </w:tcPr>
                <w:p w14:paraId="707C218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处理规模</w:t>
                  </w:r>
                </w:p>
              </w:tc>
              <w:tc>
                <w:tcPr>
                  <w:tcW w:w="522" w:type="pct"/>
                  <w:vMerge w:val="restart"/>
                  <w:tcBorders>
                    <w:tl2br w:val="nil"/>
                    <w:tr2bl w:val="nil"/>
                  </w:tcBorders>
                  <w:noWrap w:val="0"/>
                  <w:vAlign w:val="center"/>
                </w:tcPr>
                <w:p w14:paraId="1881022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污染物</w:t>
                  </w:r>
                </w:p>
              </w:tc>
              <w:tc>
                <w:tcPr>
                  <w:tcW w:w="1562" w:type="pct"/>
                  <w:gridSpan w:val="3"/>
                  <w:tcBorders>
                    <w:tl2br w:val="nil"/>
                    <w:tr2bl w:val="nil"/>
                  </w:tcBorders>
                  <w:noWrap w:val="0"/>
                  <w:vAlign w:val="center"/>
                </w:tcPr>
                <w:p w14:paraId="06F3322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处理前</w:t>
                  </w:r>
                </w:p>
              </w:tc>
              <w:tc>
                <w:tcPr>
                  <w:tcW w:w="1448" w:type="pct"/>
                  <w:gridSpan w:val="3"/>
                  <w:tcBorders>
                    <w:tl2br w:val="nil"/>
                    <w:tr2bl w:val="nil"/>
                  </w:tcBorders>
                  <w:noWrap w:val="0"/>
                  <w:vAlign w:val="center"/>
                </w:tcPr>
                <w:p w14:paraId="6634026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处理后</w:t>
                  </w:r>
                </w:p>
              </w:tc>
              <w:tc>
                <w:tcPr>
                  <w:tcW w:w="466" w:type="pct"/>
                  <w:tcBorders>
                    <w:tl2br w:val="nil"/>
                    <w:tr2bl w:val="nil"/>
                  </w:tcBorders>
                  <w:noWrap w:val="0"/>
                  <w:vAlign w:val="center"/>
                </w:tcPr>
                <w:p w14:paraId="169BB41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去除效率</w:t>
                  </w:r>
                </w:p>
              </w:tc>
              <w:tc>
                <w:tcPr>
                  <w:tcW w:w="381" w:type="pct"/>
                  <w:vMerge w:val="restart"/>
                  <w:tcBorders>
                    <w:tl2br w:val="nil"/>
                    <w:tr2bl w:val="nil"/>
                  </w:tcBorders>
                  <w:noWrap w:val="0"/>
                  <w:vAlign w:val="center"/>
                </w:tcPr>
                <w:p w14:paraId="57AAA4F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排放去向</w:t>
                  </w:r>
                </w:p>
              </w:tc>
            </w:tr>
            <w:tr w14:paraId="6ADD1D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617" w:type="pct"/>
                  <w:vMerge w:val="continue"/>
                  <w:tcBorders>
                    <w:tl2br w:val="nil"/>
                    <w:tr2bl w:val="nil"/>
                  </w:tcBorders>
                  <w:noWrap w:val="0"/>
                  <w:vAlign w:val="center"/>
                </w:tcPr>
                <w:p w14:paraId="416C4F3B">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22" w:type="pct"/>
                  <w:vMerge w:val="continue"/>
                  <w:tcBorders>
                    <w:tl2br w:val="nil"/>
                    <w:tr2bl w:val="nil"/>
                  </w:tcBorders>
                  <w:noWrap w:val="0"/>
                  <w:vAlign w:val="center"/>
                </w:tcPr>
                <w:p w14:paraId="660ADB0F">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489" w:type="pct"/>
                  <w:tcBorders>
                    <w:tl2br w:val="nil"/>
                    <w:tr2bl w:val="nil"/>
                  </w:tcBorders>
                  <w:noWrap w:val="0"/>
                  <w:vAlign w:val="center"/>
                </w:tcPr>
                <w:p w14:paraId="53029E8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mg/L</w:t>
                  </w:r>
                </w:p>
              </w:tc>
              <w:tc>
                <w:tcPr>
                  <w:tcW w:w="481" w:type="pct"/>
                  <w:tcBorders>
                    <w:tl2br w:val="nil"/>
                    <w:tr2bl w:val="nil"/>
                  </w:tcBorders>
                  <w:noWrap w:val="0"/>
                  <w:vAlign w:val="center"/>
                </w:tcPr>
                <w:p w14:paraId="2F525F0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t/d</w:t>
                  </w:r>
                </w:p>
              </w:tc>
              <w:tc>
                <w:tcPr>
                  <w:tcW w:w="591" w:type="pct"/>
                  <w:tcBorders>
                    <w:tl2br w:val="nil"/>
                    <w:tr2bl w:val="nil"/>
                  </w:tcBorders>
                  <w:noWrap w:val="0"/>
                  <w:vAlign w:val="center"/>
                </w:tcPr>
                <w:p w14:paraId="4C23B70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t/a</w:t>
                  </w:r>
                </w:p>
              </w:tc>
              <w:tc>
                <w:tcPr>
                  <w:tcW w:w="441" w:type="pct"/>
                  <w:tcBorders>
                    <w:tl2br w:val="nil"/>
                    <w:tr2bl w:val="nil"/>
                  </w:tcBorders>
                  <w:noWrap w:val="0"/>
                  <w:vAlign w:val="center"/>
                </w:tcPr>
                <w:p w14:paraId="3034D85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mg/L</w:t>
                  </w:r>
                </w:p>
              </w:tc>
              <w:tc>
                <w:tcPr>
                  <w:tcW w:w="498" w:type="pct"/>
                  <w:tcBorders>
                    <w:tl2br w:val="nil"/>
                    <w:tr2bl w:val="nil"/>
                  </w:tcBorders>
                  <w:noWrap w:val="0"/>
                  <w:vAlign w:val="center"/>
                </w:tcPr>
                <w:p w14:paraId="20C1441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t/d</w:t>
                  </w:r>
                </w:p>
              </w:tc>
              <w:tc>
                <w:tcPr>
                  <w:tcW w:w="508" w:type="pct"/>
                  <w:tcBorders>
                    <w:tl2br w:val="nil"/>
                    <w:tr2bl w:val="nil"/>
                  </w:tcBorders>
                  <w:noWrap w:val="0"/>
                  <w:vAlign w:val="center"/>
                </w:tcPr>
                <w:p w14:paraId="38D69C3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t/a</w:t>
                  </w:r>
                </w:p>
              </w:tc>
              <w:tc>
                <w:tcPr>
                  <w:tcW w:w="466" w:type="pct"/>
                  <w:tcBorders>
                    <w:tl2br w:val="nil"/>
                    <w:tr2bl w:val="nil"/>
                  </w:tcBorders>
                  <w:noWrap w:val="0"/>
                  <w:vAlign w:val="center"/>
                </w:tcPr>
                <w:p w14:paraId="1F9B022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381" w:type="pct"/>
                  <w:vMerge w:val="continue"/>
                  <w:tcBorders>
                    <w:tl2br w:val="nil"/>
                    <w:tr2bl w:val="nil"/>
                  </w:tcBorders>
                  <w:noWrap w:val="0"/>
                  <w:vAlign w:val="center"/>
                </w:tcPr>
                <w:p w14:paraId="232DFCCB">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E7CF5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617" w:type="pct"/>
                  <w:vMerge w:val="restart"/>
                  <w:tcBorders>
                    <w:tl2br w:val="nil"/>
                    <w:tr2bl w:val="nil"/>
                  </w:tcBorders>
                  <w:noWrap w:val="0"/>
                  <w:vAlign w:val="center"/>
                </w:tcPr>
                <w:p w14:paraId="07D0579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000t/d</w:t>
                  </w:r>
                </w:p>
              </w:tc>
              <w:tc>
                <w:tcPr>
                  <w:tcW w:w="522" w:type="pct"/>
                  <w:tcBorders>
                    <w:tl2br w:val="nil"/>
                    <w:tr2bl w:val="nil"/>
                  </w:tcBorders>
                  <w:noWrap w:val="0"/>
                  <w:vAlign w:val="center"/>
                </w:tcPr>
                <w:p w14:paraId="36C23DD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COD</w:t>
                  </w:r>
                </w:p>
              </w:tc>
              <w:tc>
                <w:tcPr>
                  <w:tcW w:w="489" w:type="pct"/>
                  <w:tcBorders>
                    <w:tl2br w:val="nil"/>
                    <w:tr2bl w:val="nil"/>
                  </w:tcBorders>
                  <w:noWrap w:val="0"/>
                  <w:vAlign w:val="center"/>
                </w:tcPr>
                <w:p w14:paraId="486FB27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500</w:t>
                  </w:r>
                </w:p>
              </w:tc>
              <w:tc>
                <w:tcPr>
                  <w:tcW w:w="481" w:type="pct"/>
                  <w:tcBorders>
                    <w:tl2br w:val="nil"/>
                    <w:tr2bl w:val="nil"/>
                  </w:tcBorders>
                  <w:noWrap w:val="0"/>
                  <w:vAlign w:val="center"/>
                </w:tcPr>
                <w:p w14:paraId="47DBD5E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7.5</w:t>
                  </w:r>
                </w:p>
              </w:tc>
              <w:tc>
                <w:tcPr>
                  <w:tcW w:w="591" w:type="pct"/>
                  <w:tcBorders>
                    <w:tl2br w:val="nil"/>
                    <w:tr2bl w:val="nil"/>
                  </w:tcBorders>
                  <w:noWrap w:val="0"/>
                  <w:vAlign w:val="center"/>
                </w:tcPr>
                <w:p w14:paraId="3BFE24B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2737.5</w:t>
                  </w:r>
                </w:p>
              </w:tc>
              <w:tc>
                <w:tcPr>
                  <w:tcW w:w="441" w:type="pct"/>
                  <w:tcBorders>
                    <w:tl2br w:val="nil"/>
                    <w:tr2bl w:val="nil"/>
                  </w:tcBorders>
                  <w:noWrap w:val="0"/>
                  <w:vAlign w:val="center"/>
                </w:tcPr>
                <w:p w14:paraId="5814B5A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w:t>
                  </w:r>
                </w:p>
              </w:tc>
              <w:tc>
                <w:tcPr>
                  <w:tcW w:w="498" w:type="pct"/>
                  <w:tcBorders>
                    <w:tl2br w:val="nil"/>
                    <w:tr2bl w:val="nil"/>
                  </w:tcBorders>
                  <w:noWrap w:val="0"/>
                  <w:vAlign w:val="center"/>
                </w:tcPr>
                <w:p w14:paraId="218E1B5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0.75</w:t>
                  </w:r>
                </w:p>
              </w:tc>
              <w:tc>
                <w:tcPr>
                  <w:tcW w:w="508" w:type="pct"/>
                  <w:tcBorders>
                    <w:tl2br w:val="nil"/>
                    <w:tr2bl w:val="nil"/>
                  </w:tcBorders>
                  <w:noWrap w:val="0"/>
                  <w:vAlign w:val="center"/>
                </w:tcPr>
                <w:p w14:paraId="6B04B23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273.75</w:t>
                  </w:r>
                </w:p>
              </w:tc>
              <w:tc>
                <w:tcPr>
                  <w:tcW w:w="466" w:type="pct"/>
                  <w:tcBorders>
                    <w:tl2br w:val="nil"/>
                    <w:tr2bl w:val="nil"/>
                  </w:tcBorders>
                  <w:noWrap w:val="0"/>
                  <w:vAlign w:val="center"/>
                </w:tcPr>
                <w:p w14:paraId="62474C7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90</w:t>
                  </w:r>
                </w:p>
              </w:tc>
              <w:tc>
                <w:tcPr>
                  <w:tcW w:w="381" w:type="pct"/>
                  <w:vMerge w:val="restart"/>
                  <w:tcBorders>
                    <w:tl2br w:val="nil"/>
                    <w:tr2bl w:val="nil"/>
                  </w:tcBorders>
                  <w:noWrap w:val="0"/>
                  <w:vAlign w:val="center"/>
                </w:tcPr>
                <w:p w14:paraId="1C3B79F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人工湿地+</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二排干</w:t>
                  </w:r>
                </w:p>
              </w:tc>
            </w:tr>
            <w:tr w14:paraId="24B9BD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617" w:type="pct"/>
                  <w:vMerge w:val="continue"/>
                  <w:tcBorders>
                    <w:tl2br w:val="nil"/>
                    <w:tr2bl w:val="nil"/>
                  </w:tcBorders>
                  <w:noWrap w:val="0"/>
                  <w:vAlign w:val="center"/>
                </w:tcPr>
                <w:p w14:paraId="514F1F39">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22" w:type="pct"/>
                  <w:tcBorders>
                    <w:tl2br w:val="nil"/>
                    <w:tr2bl w:val="nil"/>
                  </w:tcBorders>
                  <w:noWrap w:val="0"/>
                  <w:vAlign w:val="center"/>
                </w:tcPr>
                <w:p w14:paraId="281C093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BOD</w:t>
                  </w:r>
                  <w:r>
                    <w:rPr>
                      <w:rFonts w:hint="default" w:ascii="Times New Roman" w:hAnsi="Times New Roman" w:eastAsia="宋体" w:cs="Times New Roman"/>
                      <w:color w:val="000000" w:themeColor="text1"/>
                      <w:sz w:val="21"/>
                      <w:szCs w:val="21"/>
                      <w:highlight w:val="none"/>
                      <w:vertAlign w:val="subscript"/>
                      <w:lang w:val="en-US" w:eastAsia="zh-CN" w:bidi="ar"/>
                      <w14:textFill>
                        <w14:solidFill>
                          <w14:schemeClr w14:val="tx1"/>
                        </w14:solidFill>
                      </w14:textFill>
                    </w:rPr>
                    <w:t>5</w:t>
                  </w:r>
                </w:p>
              </w:tc>
              <w:tc>
                <w:tcPr>
                  <w:tcW w:w="489" w:type="pct"/>
                  <w:tcBorders>
                    <w:tl2br w:val="nil"/>
                    <w:tr2bl w:val="nil"/>
                  </w:tcBorders>
                  <w:noWrap w:val="0"/>
                  <w:vAlign w:val="center"/>
                </w:tcPr>
                <w:p w14:paraId="141A861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350</w:t>
                  </w:r>
                </w:p>
              </w:tc>
              <w:tc>
                <w:tcPr>
                  <w:tcW w:w="481" w:type="pct"/>
                  <w:tcBorders>
                    <w:tl2br w:val="nil"/>
                    <w:tr2bl w:val="nil"/>
                  </w:tcBorders>
                  <w:noWrap w:val="0"/>
                  <w:vAlign w:val="center"/>
                </w:tcPr>
                <w:p w14:paraId="3601261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5.25</w:t>
                  </w:r>
                </w:p>
              </w:tc>
              <w:tc>
                <w:tcPr>
                  <w:tcW w:w="591" w:type="pct"/>
                  <w:tcBorders>
                    <w:tl2br w:val="nil"/>
                    <w:tr2bl w:val="nil"/>
                  </w:tcBorders>
                  <w:noWrap w:val="0"/>
                  <w:vAlign w:val="center"/>
                </w:tcPr>
                <w:p w14:paraId="0DC41ED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1916.25</w:t>
                  </w:r>
                </w:p>
              </w:tc>
              <w:tc>
                <w:tcPr>
                  <w:tcW w:w="441" w:type="pct"/>
                  <w:tcBorders>
                    <w:tl2br w:val="nil"/>
                    <w:tr2bl w:val="nil"/>
                  </w:tcBorders>
                  <w:noWrap w:val="0"/>
                  <w:vAlign w:val="center"/>
                </w:tcPr>
                <w:p w14:paraId="6BE842E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498" w:type="pct"/>
                  <w:tcBorders>
                    <w:tl2br w:val="nil"/>
                    <w:tr2bl w:val="nil"/>
                  </w:tcBorders>
                  <w:noWrap w:val="0"/>
                  <w:vAlign w:val="center"/>
                </w:tcPr>
                <w:p w14:paraId="060602F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0.15</w:t>
                  </w:r>
                </w:p>
              </w:tc>
              <w:tc>
                <w:tcPr>
                  <w:tcW w:w="508" w:type="pct"/>
                  <w:tcBorders>
                    <w:tl2br w:val="nil"/>
                    <w:tr2bl w:val="nil"/>
                  </w:tcBorders>
                  <w:noWrap w:val="0"/>
                  <w:vAlign w:val="center"/>
                </w:tcPr>
                <w:p w14:paraId="441A0D1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54.75</w:t>
                  </w:r>
                </w:p>
              </w:tc>
              <w:tc>
                <w:tcPr>
                  <w:tcW w:w="466" w:type="pct"/>
                  <w:tcBorders>
                    <w:tl2br w:val="nil"/>
                    <w:tr2bl w:val="nil"/>
                  </w:tcBorders>
                  <w:noWrap w:val="0"/>
                  <w:vAlign w:val="center"/>
                </w:tcPr>
                <w:p w14:paraId="71529BF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97.14</w:t>
                  </w:r>
                </w:p>
              </w:tc>
              <w:tc>
                <w:tcPr>
                  <w:tcW w:w="381" w:type="pct"/>
                  <w:vMerge w:val="continue"/>
                  <w:tcBorders>
                    <w:tl2br w:val="nil"/>
                    <w:tr2bl w:val="nil"/>
                  </w:tcBorders>
                  <w:noWrap w:val="0"/>
                  <w:vAlign w:val="center"/>
                </w:tcPr>
                <w:p w14:paraId="5C2AED06">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384333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617" w:type="pct"/>
                  <w:vMerge w:val="continue"/>
                  <w:tcBorders>
                    <w:tl2br w:val="nil"/>
                    <w:tr2bl w:val="nil"/>
                  </w:tcBorders>
                  <w:noWrap w:val="0"/>
                  <w:vAlign w:val="center"/>
                </w:tcPr>
                <w:p w14:paraId="0397150D">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22" w:type="pct"/>
                  <w:tcBorders>
                    <w:tl2br w:val="nil"/>
                    <w:tr2bl w:val="nil"/>
                  </w:tcBorders>
                  <w:noWrap w:val="0"/>
                  <w:vAlign w:val="center"/>
                </w:tcPr>
                <w:p w14:paraId="35852CD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SS</w:t>
                  </w:r>
                </w:p>
              </w:tc>
              <w:tc>
                <w:tcPr>
                  <w:tcW w:w="489" w:type="pct"/>
                  <w:tcBorders>
                    <w:tl2br w:val="nil"/>
                    <w:tr2bl w:val="nil"/>
                  </w:tcBorders>
                  <w:noWrap w:val="0"/>
                  <w:vAlign w:val="center"/>
                </w:tcPr>
                <w:p w14:paraId="6EECD0D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400</w:t>
                  </w:r>
                </w:p>
              </w:tc>
              <w:tc>
                <w:tcPr>
                  <w:tcW w:w="481" w:type="pct"/>
                  <w:tcBorders>
                    <w:tl2br w:val="nil"/>
                    <w:tr2bl w:val="nil"/>
                  </w:tcBorders>
                  <w:noWrap w:val="0"/>
                  <w:vAlign w:val="center"/>
                </w:tcPr>
                <w:p w14:paraId="105A59B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591" w:type="pct"/>
                  <w:tcBorders>
                    <w:tl2br w:val="nil"/>
                    <w:tr2bl w:val="nil"/>
                  </w:tcBorders>
                  <w:noWrap w:val="0"/>
                  <w:vAlign w:val="center"/>
                </w:tcPr>
                <w:p w14:paraId="5E16CC7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2190</w:t>
                  </w:r>
                </w:p>
              </w:tc>
              <w:tc>
                <w:tcPr>
                  <w:tcW w:w="441" w:type="pct"/>
                  <w:tcBorders>
                    <w:tl2br w:val="nil"/>
                    <w:tr2bl w:val="nil"/>
                  </w:tcBorders>
                  <w:noWrap w:val="0"/>
                  <w:vAlign w:val="center"/>
                </w:tcPr>
                <w:p w14:paraId="71B4166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498" w:type="pct"/>
                  <w:tcBorders>
                    <w:tl2br w:val="nil"/>
                    <w:tr2bl w:val="nil"/>
                  </w:tcBorders>
                  <w:noWrap w:val="0"/>
                  <w:vAlign w:val="center"/>
                </w:tcPr>
                <w:p w14:paraId="19361C9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0.15</w:t>
                  </w:r>
                </w:p>
              </w:tc>
              <w:tc>
                <w:tcPr>
                  <w:tcW w:w="508" w:type="pct"/>
                  <w:tcBorders>
                    <w:tl2br w:val="nil"/>
                    <w:tr2bl w:val="nil"/>
                  </w:tcBorders>
                  <w:noWrap w:val="0"/>
                  <w:vAlign w:val="center"/>
                </w:tcPr>
                <w:p w14:paraId="3F0FCF5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54.75</w:t>
                  </w:r>
                </w:p>
              </w:tc>
              <w:tc>
                <w:tcPr>
                  <w:tcW w:w="466" w:type="pct"/>
                  <w:tcBorders>
                    <w:tl2br w:val="nil"/>
                    <w:tr2bl w:val="nil"/>
                  </w:tcBorders>
                  <w:noWrap w:val="0"/>
                  <w:vAlign w:val="center"/>
                </w:tcPr>
                <w:p w14:paraId="059AB62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97.5</w:t>
                  </w:r>
                </w:p>
              </w:tc>
              <w:tc>
                <w:tcPr>
                  <w:tcW w:w="381" w:type="pct"/>
                  <w:vMerge w:val="continue"/>
                  <w:tcBorders>
                    <w:tl2br w:val="nil"/>
                    <w:tr2bl w:val="nil"/>
                  </w:tcBorders>
                  <w:noWrap w:val="0"/>
                  <w:vAlign w:val="center"/>
                </w:tcPr>
                <w:p w14:paraId="04A403CB">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12BF21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617" w:type="pct"/>
                  <w:vMerge w:val="continue"/>
                  <w:tcBorders>
                    <w:tl2br w:val="nil"/>
                    <w:tr2bl w:val="nil"/>
                  </w:tcBorders>
                  <w:noWrap w:val="0"/>
                  <w:vAlign w:val="center"/>
                </w:tcPr>
                <w:p w14:paraId="4258B64C">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22" w:type="pct"/>
                  <w:tcBorders>
                    <w:tl2br w:val="nil"/>
                    <w:tr2bl w:val="nil"/>
                  </w:tcBorders>
                  <w:noWrap w:val="0"/>
                  <w:vAlign w:val="center"/>
                </w:tcPr>
                <w:p w14:paraId="70ADAA3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NH</w:t>
                  </w:r>
                  <w:r>
                    <w:rPr>
                      <w:rFonts w:hint="default" w:ascii="Times New Roman" w:hAnsi="Times New Roman" w:eastAsia="宋体" w:cs="Times New Roman"/>
                      <w:color w:val="000000" w:themeColor="text1"/>
                      <w:sz w:val="21"/>
                      <w:szCs w:val="21"/>
                      <w:highlight w:val="none"/>
                      <w:vertAlign w:val="subscript"/>
                      <w:lang w:val="en-US" w:eastAsia="zh-CN" w:bidi="ar"/>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-N</w:t>
                  </w:r>
                </w:p>
              </w:tc>
              <w:tc>
                <w:tcPr>
                  <w:tcW w:w="489" w:type="pct"/>
                  <w:tcBorders>
                    <w:tl2br w:val="nil"/>
                    <w:tr2bl w:val="nil"/>
                  </w:tcBorders>
                  <w:noWrap w:val="0"/>
                  <w:vAlign w:val="center"/>
                </w:tcPr>
                <w:p w14:paraId="550C053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45</w:t>
                  </w:r>
                </w:p>
              </w:tc>
              <w:tc>
                <w:tcPr>
                  <w:tcW w:w="481" w:type="pct"/>
                  <w:tcBorders>
                    <w:tl2br w:val="nil"/>
                    <w:tr2bl w:val="nil"/>
                  </w:tcBorders>
                  <w:noWrap w:val="0"/>
                  <w:vAlign w:val="center"/>
                </w:tcPr>
                <w:p w14:paraId="1088720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0.675</w:t>
                  </w:r>
                </w:p>
              </w:tc>
              <w:tc>
                <w:tcPr>
                  <w:tcW w:w="591" w:type="pct"/>
                  <w:tcBorders>
                    <w:tl2br w:val="nil"/>
                    <w:tr2bl w:val="nil"/>
                  </w:tcBorders>
                  <w:noWrap w:val="0"/>
                  <w:vAlign w:val="center"/>
                </w:tcPr>
                <w:p w14:paraId="6386433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246.375</w:t>
                  </w:r>
                </w:p>
              </w:tc>
              <w:tc>
                <w:tcPr>
                  <w:tcW w:w="441" w:type="pct"/>
                  <w:tcBorders>
                    <w:tl2br w:val="nil"/>
                    <w:tr2bl w:val="nil"/>
                  </w:tcBorders>
                  <w:noWrap w:val="0"/>
                  <w:vAlign w:val="center"/>
                </w:tcPr>
                <w:p w14:paraId="7C37A46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498" w:type="pct"/>
                  <w:tcBorders>
                    <w:tl2br w:val="nil"/>
                    <w:tr2bl w:val="nil"/>
                  </w:tcBorders>
                  <w:noWrap w:val="0"/>
                  <w:vAlign w:val="center"/>
                </w:tcPr>
                <w:p w14:paraId="3003838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0.075</w:t>
                  </w:r>
                </w:p>
              </w:tc>
              <w:tc>
                <w:tcPr>
                  <w:tcW w:w="508" w:type="pct"/>
                  <w:tcBorders>
                    <w:tl2br w:val="nil"/>
                    <w:tr2bl w:val="nil"/>
                  </w:tcBorders>
                  <w:noWrap w:val="0"/>
                  <w:vAlign w:val="center"/>
                </w:tcPr>
                <w:p w14:paraId="39741AE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27.375</w:t>
                  </w:r>
                </w:p>
              </w:tc>
              <w:tc>
                <w:tcPr>
                  <w:tcW w:w="466" w:type="pct"/>
                  <w:tcBorders>
                    <w:tl2br w:val="nil"/>
                    <w:tr2bl w:val="nil"/>
                  </w:tcBorders>
                  <w:noWrap w:val="0"/>
                  <w:vAlign w:val="center"/>
                </w:tcPr>
                <w:p w14:paraId="767F69D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88.89</w:t>
                  </w:r>
                </w:p>
              </w:tc>
              <w:tc>
                <w:tcPr>
                  <w:tcW w:w="381" w:type="pct"/>
                  <w:vMerge w:val="continue"/>
                  <w:tcBorders>
                    <w:tl2br w:val="nil"/>
                    <w:tr2bl w:val="nil"/>
                  </w:tcBorders>
                  <w:noWrap w:val="0"/>
                  <w:vAlign w:val="center"/>
                </w:tcPr>
                <w:p w14:paraId="0F2E0026">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EF093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617" w:type="pct"/>
                  <w:vMerge w:val="continue"/>
                  <w:tcBorders>
                    <w:tl2br w:val="nil"/>
                    <w:tr2bl w:val="nil"/>
                  </w:tcBorders>
                  <w:noWrap w:val="0"/>
                  <w:vAlign w:val="center"/>
                </w:tcPr>
                <w:p w14:paraId="630EC8D3">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22" w:type="pct"/>
                  <w:tcBorders>
                    <w:tl2br w:val="nil"/>
                    <w:tr2bl w:val="nil"/>
                  </w:tcBorders>
                  <w:noWrap w:val="0"/>
                  <w:vAlign w:val="center"/>
                </w:tcPr>
                <w:p w14:paraId="65FEDBD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TP</w:t>
                  </w:r>
                </w:p>
              </w:tc>
              <w:tc>
                <w:tcPr>
                  <w:tcW w:w="489" w:type="pct"/>
                  <w:tcBorders>
                    <w:tl2br w:val="nil"/>
                    <w:tr2bl w:val="nil"/>
                  </w:tcBorders>
                  <w:noWrap w:val="0"/>
                  <w:vAlign w:val="center"/>
                </w:tcPr>
                <w:p w14:paraId="64F40E9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481" w:type="pct"/>
                  <w:tcBorders>
                    <w:tl2br w:val="nil"/>
                    <w:tr2bl w:val="nil"/>
                  </w:tcBorders>
                  <w:noWrap w:val="0"/>
                  <w:vAlign w:val="center"/>
                </w:tcPr>
                <w:p w14:paraId="1D4B078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0.12</w:t>
                  </w:r>
                </w:p>
              </w:tc>
              <w:tc>
                <w:tcPr>
                  <w:tcW w:w="591" w:type="pct"/>
                  <w:tcBorders>
                    <w:tl2br w:val="nil"/>
                    <w:tr2bl w:val="nil"/>
                  </w:tcBorders>
                  <w:noWrap w:val="0"/>
                  <w:vAlign w:val="center"/>
                </w:tcPr>
                <w:p w14:paraId="1F24F6B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43.8</w:t>
                  </w:r>
                </w:p>
              </w:tc>
              <w:tc>
                <w:tcPr>
                  <w:tcW w:w="441" w:type="pct"/>
                  <w:tcBorders>
                    <w:tl2br w:val="nil"/>
                    <w:tr2bl w:val="nil"/>
                  </w:tcBorders>
                  <w:noWrap w:val="0"/>
                  <w:vAlign w:val="center"/>
                </w:tcPr>
                <w:p w14:paraId="2BBE7E3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0.5</w:t>
                  </w:r>
                </w:p>
              </w:tc>
              <w:tc>
                <w:tcPr>
                  <w:tcW w:w="498" w:type="pct"/>
                  <w:tcBorders>
                    <w:tl2br w:val="nil"/>
                    <w:tr2bl w:val="nil"/>
                  </w:tcBorders>
                  <w:noWrap w:val="0"/>
                  <w:vAlign w:val="center"/>
                </w:tcPr>
                <w:p w14:paraId="2AC6D96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0.0075</w:t>
                  </w:r>
                </w:p>
              </w:tc>
              <w:tc>
                <w:tcPr>
                  <w:tcW w:w="508" w:type="pct"/>
                  <w:tcBorders>
                    <w:tl2br w:val="nil"/>
                    <w:tr2bl w:val="nil"/>
                  </w:tcBorders>
                  <w:noWrap w:val="0"/>
                  <w:vAlign w:val="center"/>
                </w:tcPr>
                <w:p w14:paraId="0947D75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2.7375</w:t>
                  </w:r>
                </w:p>
              </w:tc>
              <w:tc>
                <w:tcPr>
                  <w:tcW w:w="466" w:type="pct"/>
                  <w:tcBorders>
                    <w:tl2br w:val="nil"/>
                    <w:tr2bl w:val="nil"/>
                  </w:tcBorders>
                  <w:noWrap w:val="0"/>
                  <w:vAlign w:val="center"/>
                </w:tcPr>
                <w:p w14:paraId="08BA7ED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93.75</w:t>
                  </w:r>
                </w:p>
              </w:tc>
              <w:tc>
                <w:tcPr>
                  <w:tcW w:w="381" w:type="pct"/>
                  <w:vMerge w:val="continue"/>
                  <w:tcBorders>
                    <w:tl2br w:val="nil"/>
                    <w:tr2bl w:val="nil"/>
                  </w:tcBorders>
                  <w:noWrap w:val="0"/>
                  <w:vAlign w:val="center"/>
                </w:tcPr>
                <w:p w14:paraId="520365AC">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02A7F6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617" w:type="pct"/>
                  <w:vMerge w:val="continue"/>
                  <w:tcBorders>
                    <w:tl2br w:val="nil"/>
                    <w:tr2bl w:val="nil"/>
                  </w:tcBorders>
                  <w:noWrap w:val="0"/>
                  <w:vAlign w:val="center"/>
                </w:tcPr>
                <w:p w14:paraId="53C0825C">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22" w:type="pct"/>
                  <w:tcBorders>
                    <w:tl2br w:val="nil"/>
                    <w:tr2bl w:val="nil"/>
                  </w:tcBorders>
                  <w:noWrap w:val="0"/>
                  <w:vAlign w:val="center"/>
                </w:tcPr>
                <w:p w14:paraId="109C1A7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TN</w:t>
                  </w:r>
                </w:p>
              </w:tc>
              <w:tc>
                <w:tcPr>
                  <w:tcW w:w="489" w:type="pct"/>
                  <w:tcBorders>
                    <w:tl2br w:val="nil"/>
                    <w:tr2bl w:val="nil"/>
                  </w:tcBorders>
                  <w:noWrap w:val="0"/>
                  <w:vAlign w:val="center"/>
                </w:tcPr>
                <w:p w14:paraId="2E9BA67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70</w:t>
                  </w:r>
                </w:p>
              </w:tc>
              <w:tc>
                <w:tcPr>
                  <w:tcW w:w="481" w:type="pct"/>
                  <w:tcBorders>
                    <w:tl2br w:val="nil"/>
                    <w:tr2bl w:val="nil"/>
                  </w:tcBorders>
                  <w:noWrap w:val="0"/>
                  <w:vAlign w:val="center"/>
                </w:tcPr>
                <w:p w14:paraId="4FE35EE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1.05</w:t>
                  </w:r>
                </w:p>
              </w:tc>
              <w:tc>
                <w:tcPr>
                  <w:tcW w:w="591" w:type="pct"/>
                  <w:tcBorders>
                    <w:tl2br w:val="nil"/>
                    <w:tr2bl w:val="nil"/>
                  </w:tcBorders>
                  <w:noWrap w:val="0"/>
                  <w:vAlign w:val="center"/>
                </w:tcPr>
                <w:p w14:paraId="7234367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383.25</w:t>
                  </w:r>
                </w:p>
              </w:tc>
              <w:tc>
                <w:tcPr>
                  <w:tcW w:w="441" w:type="pct"/>
                  <w:tcBorders>
                    <w:tl2br w:val="nil"/>
                    <w:tr2bl w:val="nil"/>
                  </w:tcBorders>
                  <w:noWrap w:val="0"/>
                  <w:vAlign w:val="center"/>
                </w:tcPr>
                <w:p w14:paraId="337107D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498" w:type="pct"/>
                  <w:tcBorders>
                    <w:tl2br w:val="nil"/>
                    <w:tr2bl w:val="nil"/>
                  </w:tcBorders>
                  <w:noWrap w:val="0"/>
                  <w:vAlign w:val="center"/>
                </w:tcPr>
                <w:p w14:paraId="3ACE833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0.225</w:t>
                  </w:r>
                </w:p>
              </w:tc>
              <w:tc>
                <w:tcPr>
                  <w:tcW w:w="508" w:type="pct"/>
                  <w:tcBorders>
                    <w:tl2br w:val="nil"/>
                    <w:tr2bl w:val="nil"/>
                  </w:tcBorders>
                  <w:noWrap w:val="0"/>
                  <w:vAlign w:val="center"/>
                </w:tcPr>
                <w:p w14:paraId="54CF208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82.125</w:t>
                  </w:r>
                </w:p>
              </w:tc>
              <w:tc>
                <w:tcPr>
                  <w:tcW w:w="466" w:type="pct"/>
                  <w:tcBorders>
                    <w:tl2br w:val="nil"/>
                    <w:tr2bl w:val="nil"/>
                  </w:tcBorders>
                  <w:noWrap w:val="0"/>
                  <w:vAlign w:val="center"/>
                </w:tcPr>
                <w:p w14:paraId="1F8C330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78.57</w:t>
                  </w:r>
                </w:p>
              </w:tc>
              <w:tc>
                <w:tcPr>
                  <w:tcW w:w="381" w:type="pct"/>
                  <w:vMerge w:val="continue"/>
                  <w:tcBorders>
                    <w:tl2br w:val="nil"/>
                    <w:tr2bl w:val="nil"/>
                  </w:tcBorders>
                  <w:noWrap w:val="0"/>
                  <w:vAlign w:val="center"/>
                </w:tcPr>
                <w:p w14:paraId="6700B79E">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bl>
          <w:p w14:paraId="3DAC642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p>
          <w:p w14:paraId="54CDEFC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按照设计，在满足污水处理厂进水水质的前提下，项目采用的工艺对污水中主要污染物的去除率CODcr</w:t>
            </w:r>
            <w:r>
              <w:rPr>
                <w:rFonts w:hint="eastAsia"/>
                <w:color w:val="000000" w:themeColor="text1"/>
                <w:highlight w:val="none"/>
                <w:lang w:val="en-US" w:eastAsia="zh-CN"/>
                <w14:textFill>
                  <w14:solidFill>
                    <w14:schemeClr w14:val="tx1"/>
                  </w14:solidFill>
                </w14:textFill>
              </w:rPr>
              <w:t>为90</w:t>
            </w:r>
            <w:r>
              <w:rPr>
                <w:rFonts w:hint="eastAsia"/>
                <w:color w:val="000000" w:themeColor="text1"/>
                <w:highlight w:val="none"/>
                <w14:textFill>
                  <w14:solidFill>
                    <w14:schemeClr w14:val="tx1"/>
                  </w14:solidFill>
                </w14:textFill>
              </w:rPr>
              <w:t>%，NH</w:t>
            </w:r>
            <w:r>
              <w:rPr>
                <w:rFonts w:hint="eastAsia"/>
                <w:color w:val="000000" w:themeColor="text1"/>
                <w:highlight w:val="none"/>
                <w:vertAlign w:val="subscript"/>
                <w14:textFill>
                  <w14:solidFill>
                    <w14:schemeClr w14:val="tx1"/>
                  </w14:solidFill>
                </w14:textFill>
              </w:rPr>
              <w:t>3</w:t>
            </w:r>
            <w:r>
              <w:rPr>
                <w:rFonts w:hint="eastAsia"/>
                <w:color w:val="000000" w:themeColor="text1"/>
                <w:highlight w:val="none"/>
                <w14:textFill>
                  <w14:solidFill>
                    <w14:schemeClr w14:val="tx1"/>
                  </w14:solidFill>
                </w14:textFill>
              </w:rPr>
              <w:t>-N的去除效率</w:t>
            </w:r>
            <w:r>
              <w:rPr>
                <w:rFonts w:hint="eastAsia"/>
                <w:color w:val="000000" w:themeColor="text1"/>
                <w:highlight w:val="none"/>
                <w:lang w:val="en-US" w:eastAsia="zh-CN"/>
                <w14:textFill>
                  <w14:solidFill>
                    <w14:schemeClr w14:val="tx1"/>
                  </w14:solidFill>
                </w14:textFill>
              </w:rPr>
              <w:t>为88.89</w:t>
            </w:r>
            <w:r>
              <w:rPr>
                <w:rFonts w:hint="eastAsia"/>
                <w:color w:val="000000" w:themeColor="text1"/>
                <w:highlight w:val="none"/>
                <w14:textFill>
                  <w14:solidFill>
                    <w14:schemeClr w14:val="tx1"/>
                  </w14:solidFill>
                </w14:textFill>
              </w:rPr>
              <w:t>%。</w:t>
            </w:r>
          </w:p>
          <w:p w14:paraId="6797964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污水处理厂达标性分析</w:t>
            </w:r>
          </w:p>
          <w:p w14:paraId="257EE25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根据《排污许可证申请与核发技术规范</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水处理（试行）》（HJ978-2018）中6.2污水处理6.2.1可行技术的内容，如下表所示：</w:t>
            </w:r>
          </w:p>
          <w:p w14:paraId="4C53840F">
            <w:pPr>
              <w:pStyle w:val="20"/>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表4-1</w:t>
            </w:r>
            <w:r>
              <w:rPr>
                <w:rFonts w:hint="eastAsia"/>
                <w:color w:val="000000" w:themeColor="text1"/>
                <w:highlight w:val="none"/>
                <w:lang w:val="en-US" w:eastAsia="zh-CN"/>
                <w14:textFill>
                  <w14:solidFill>
                    <w14:schemeClr w14:val="tx1"/>
                  </w14:solidFill>
                </w14:textFill>
              </w:rPr>
              <w:t>0</w:t>
            </w:r>
            <w:r>
              <w:rPr>
                <w:rFonts w:hint="eastAsia"/>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污水处理可行性技术参照表</w:t>
            </w:r>
          </w:p>
          <w:tbl>
            <w:tblPr>
              <w:tblStyle w:val="12"/>
              <w:tblW w:w="4998" w:type="pct"/>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133"/>
              <w:gridCol w:w="1671"/>
              <w:gridCol w:w="5541"/>
            </w:tblGrid>
            <w:tr w14:paraId="41FD88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679" w:type="pct"/>
                  <w:tcBorders>
                    <w:tl2br w:val="nil"/>
                    <w:tr2bl w:val="nil"/>
                  </w:tcBorders>
                  <w:shd w:val="clear" w:color="auto" w:fill="auto"/>
                  <w:vAlign w:val="center"/>
                </w:tcPr>
                <w:p w14:paraId="58322D9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废水类型</w:t>
                  </w:r>
                </w:p>
              </w:tc>
              <w:tc>
                <w:tcPr>
                  <w:tcW w:w="1001" w:type="pct"/>
                  <w:tcBorders>
                    <w:tl2br w:val="nil"/>
                    <w:tr2bl w:val="nil"/>
                  </w:tcBorders>
                  <w:shd w:val="clear" w:color="auto" w:fill="auto"/>
                  <w:vAlign w:val="center"/>
                </w:tcPr>
                <w:p w14:paraId="65428DD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执行标准</w:t>
                  </w:r>
                </w:p>
              </w:tc>
              <w:tc>
                <w:tcPr>
                  <w:tcW w:w="3318" w:type="pct"/>
                  <w:tcBorders>
                    <w:tl2br w:val="nil"/>
                    <w:tr2bl w:val="nil"/>
                  </w:tcBorders>
                  <w:shd w:val="clear" w:color="auto" w:fill="auto"/>
                  <w:vAlign w:val="center"/>
                </w:tcPr>
                <w:p w14:paraId="087CD00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可行技术</w:t>
                  </w:r>
                </w:p>
              </w:tc>
            </w:tr>
            <w:tr w14:paraId="78F9AA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679" w:type="pct"/>
                  <w:tcBorders>
                    <w:tl2br w:val="nil"/>
                    <w:tr2bl w:val="nil"/>
                  </w:tcBorders>
                  <w:shd w:val="clear" w:color="auto" w:fill="auto"/>
                  <w:vAlign w:val="center"/>
                </w:tcPr>
                <w:p w14:paraId="11B6602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生活污水</w:t>
                  </w:r>
                </w:p>
              </w:tc>
              <w:tc>
                <w:tcPr>
                  <w:tcW w:w="1001" w:type="pct"/>
                  <w:tcBorders>
                    <w:tl2br w:val="nil"/>
                    <w:tr2bl w:val="nil"/>
                  </w:tcBorders>
                  <w:shd w:val="clear" w:color="auto" w:fill="auto"/>
                  <w:vAlign w:val="center"/>
                </w:tcPr>
                <w:p w14:paraId="57F9373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执行GB18918中一级标准的A标准或更严格标准</w:t>
                  </w:r>
                </w:p>
              </w:tc>
              <w:tc>
                <w:tcPr>
                  <w:tcW w:w="3318" w:type="pct"/>
                  <w:tcBorders>
                    <w:tl2br w:val="nil"/>
                    <w:tr2bl w:val="nil"/>
                  </w:tcBorders>
                  <w:shd w:val="clear" w:color="auto" w:fill="auto"/>
                  <w:vAlign w:val="center"/>
                </w:tcPr>
                <w:p w14:paraId="782EB51C">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预处理：格栅、沉淀</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沉砂、初沉</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、调节；</w:t>
                  </w: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生化处理：缺氧好氧、厌氧缺氧好氧、序批式活性污泥、接触氧化、氧化沟、移动生物床反应器、膜生物反应器；</w:t>
                  </w: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深度处理：混凝沉淀、过滤、曝气生物滤池、微滤、超滤、消毒</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次氯酸钠、臭氧、紫外、二氧化氯</w:t>
                  </w:r>
                  <w:r>
                    <w:rPr>
                      <w:rFonts w:hint="eastAsia"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w:t>
                  </w:r>
                </w:p>
              </w:tc>
            </w:tr>
            <w:tr w14:paraId="26A9D9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000" w:type="pct"/>
                  <w:gridSpan w:val="3"/>
                  <w:tcBorders>
                    <w:tl2br w:val="nil"/>
                    <w:tr2bl w:val="nil"/>
                  </w:tcBorders>
                  <w:shd w:val="clear" w:color="auto" w:fill="auto"/>
                  <w:vAlign w:val="top"/>
                </w:tcPr>
                <w:p w14:paraId="5C98831C">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a工业废水间接排放时可以只有预处理段。</w:t>
                  </w:r>
                </w:p>
              </w:tc>
            </w:tr>
          </w:tbl>
          <w:p w14:paraId="287A2DD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p>
          <w:p w14:paraId="4E31A9A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本项目污水处理厂主要是收集并处理</w:t>
            </w:r>
            <w:r>
              <w:rPr>
                <w:rFonts w:hint="eastAsia"/>
                <w:color w:val="000000" w:themeColor="text1"/>
                <w:highlight w:val="none"/>
                <w:lang w:val="en-US" w:eastAsia="zh-CN"/>
                <w14:textFill>
                  <w14:solidFill>
                    <w14:schemeClr w14:val="tx1"/>
                  </w14:solidFill>
                </w14:textFill>
              </w:rPr>
              <w:t>磴口县</w:t>
            </w:r>
            <w:r>
              <w:rPr>
                <w:rFonts w:hint="eastAsia"/>
                <w:color w:val="000000" w:themeColor="text1"/>
                <w:highlight w:val="none"/>
                <w14:textFill>
                  <w14:solidFill>
                    <w14:schemeClr w14:val="tx1"/>
                  </w14:solidFill>
                </w14:textFill>
              </w:rPr>
              <w:t>城的生活污水</w:t>
            </w:r>
            <w:r>
              <w:rPr>
                <w:rFonts w:hint="eastAsia"/>
                <w:color w:val="000000" w:themeColor="text1"/>
                <w:highlight w:val="none"/>
                <w:lang w:val="en-US" w:eastAsia="zh-CN"/>
                <w14:textFill>
                  <w14:solidFill>
                    <w14:schemeClr w14:val="tx1"/>
                  </w14:solidFill>
                </w14:textFill>
              </w:rPr>
              <w:t>及园区部分工业废水</w:t>
            </w:r>
            <w:r>
              <w:rPr>
                <w:rFonts w:hint="eastAsia"/>
                <w:color w:val="000000" w:themeColor="text1"/>
                <w:highlight w:val="none"/>
                <w14:textFill>
                  <w14:solidFill>
                    <w14:schemeClr w14:val="tx1"/>
                  </w14:solidFill>
                </w14:textFill>
              </w:rPr>
              <w:t>，污水处理采用“调节池及提升泵房+细格栅及沉砂池+A</w:t>
            </w:r>
            <w:r>
              <w:rPr>
                <w:rFonts w:hint="eastAsia"/>
                <w:color w:val="000000" w:themeColor="text1"/>
                <w:highlight w:val="none"/>
                <w:vertAlign w:val="superscript"/>
                <w14:textFill>
                  <w14:solidFill>
                    <w14:schemeClr w14:val="tx1"/>
                  </w14:solidFill>
                </w14:textFill>
              </w:rPr>
              <w:t>2</w:t>
            </w:r>
            <w:r>
              <w:rPr>
                <w:rFonts w:hint="eastAsia"/>
                <w:color w:val="000000" w:themeColor="text1"/>
                <w:highlight w:val="none"/>
                <w:vertAlign w:val="baseline"/>
                <w:lang w:val="en-US" w:eastAsia="zh-CN"/>
                <w14:textFill>
                  <w14:solidFill>
                    <w14:schemeClr w14:val="tx1"/>
                  </w14:solidFill>
                </w14:textFill>
              </w:rPr>
              <w:t>/O</w:t>
            </w:r>
            <w:r>
              <w:rPr>
                <w:rFonts w:hint="eastAsia"/>
                <w:color w:val="000000" w:themeColor="text1"/>
                <w:highlight w:val="none"/>
                <w14:textFill>
                  <w14:solidFill>
                    <w14:schemeClr w14:val="tx1"/>
                  </w14:solidFill>
                </w14:textFill>
              </w:rPr>
              <w:t>生化池+MBR膜+消毒”工艺，本项目污水处理厂预处理包括：格栅、沉淀、调节；生化处理包括：A</w:t>
            </w:r>
            <w:r>
              <w:rPr>
                <w:rFonts w:hint="eastAsia"/>
                <w:color w:val="000000" w:themeColor="text1"/>
                <w:highlight w:val="none"/>
                <w:vertAlign w:val="superscript"/>
                <w14:textFill>
                  <w14:solidFill>
                    <w14:schemeClr w14:val="tx1"/>
                  </w14:solidFill>
                </w14:textFill>
              </w:rPr>
              <w:t>2</w:t>
            </w:r>
            <w:r>
              <w:rPr>
                <w:rFonts w:hint="eastAsia"/>
                <w:color w:val="000000" w:themeColor="text1"/>
                <w:highlight w:val="none"/>
                <w:vertAlign w:val="baseline"/>
                <w:lang w:val="en-US" w:eastAsia="zh-CN"/>
                <w14:textFill>
                  <w14:solidFill>
                    <w14:schemeClr w14:val="tx1"/>
                  </w14:solidFill>
                </w14:textFill>
              </w:rPr>
              <w:t>/O</w:t>
            </w:r>
            <w:r>
              <w:rPr>
                <w:rFonts w:hint="eastAsia"/>
                <w:color w:val="000000" w:themeColor="text1"/>
                <w:highlight w:val="none"/>
                <w14:textFill>
                  <w14:solidFill>
                    <w14:schemeClr w14:val="tx1"/>
                  </w14:solidFill>
                </w14:textFill>
              </w:rPr>
              <w:t>生化池</w:t>
            </w:r>
            <w:r>
              <w:rPr>
                <w:rFonts w:hint="eastAsia"/>
                <w:color w:val="000000" w:themeColor="text1"/>
                <w:highlight w:val="none"/>
                <w:lang w:eastAsia="zh-CN"/>
                <w14:textFill>
                  <w14:solidFill>
                    <w14:schemeClr w14:val="tx1"/>
                  </w14:solidFill>
                </w14:textFill>
              </w:rPr>
              <w:t>、MBR膜</w:t>
            </w:r>
            <w:r>
              <w:rPr>
                <w:rFonts w:hint="eastAsia"/>
                <w:color w:val="000000" w:themeColor="text1"/>
                <w:highlight w:val="none"/>
                <w14:textFill>
                  <w14:solidFill>
                    <w14:schemeClr w14:val="tx1"/>
                  </w14:solidFill>
                </w14:textFill>
              </w:rPr>
              <w:t>，深度处理包括：消毒。对照《排污许可证申请与核发技术规范</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水处理（试行）》（HJ978-2018）中“污水处理可行技术参照表”（表4-13），本项目污水处理厂选用的污水处理技术属于可行技术，正常运行情况下，能够确保污水处理厂出水水质稳定达标《城镇污水处理厂污染物排放标准》（GB18918-2002）（含2006年、2025年修改单）一级A标准。</w:t>
            </w:r>
          </w:p>
          <w:p w14:paraId="604C97E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人工湿地依托可行性分析</w:t>
            </w:r>
          </w:p>
          <w:p w14:paraId="0E6378F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本次项目扩建后</w:t>
            </w:r>
            <w:r>
              <w:rPr>
                <w:rFonts w:hint="eastAsia"/>
                <w:color w:val="000000" w:themeColor="text1"/>
                <w:highlight w:val="none"/>
                <w:lang w:val="en-US" w:eastAsia="zh-CN"/>
                <w14:textFill>
                  <w14:solidFill>
                    <w14:schemeClr w14:val="tx1"/>
                  </w14:solidFill>
                </w14:textFill>
              </w:rPr>
              <w:t>总规模为30000</w:t>
            </w:r>
            <w:r>
              <w:rPr>
                <w:rFonts w:hint="default"/>
                <w:color w:val="000000" w:themeColor="text1"/>
                <w:highlight w:val="none"/>
                <w:lang w:val="en-US" w:eastAsia="zh-CN"/>
                <w14:textFill>
                  <w14:solidFill>
                    <w14:schemeClr w14:val="tx1"/>
                  </w14:solidFill>
                </w14:textFill>
              </w:rPr>
              <w:t>m</w:t>
            </w:r>
            <w:r>
              <w:rPr>
                <w:rFonts w:hint="eastAsia"/>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/d</w:t>
            </w:r>
            <w:r>
              <w:rPr>
                <w:rFonts w:hint="eastAsia"/>
                <w:color w:val="000000" w:themeColor="text1"/>
                <w:highlight w:val="none"/>
                <w:lang w:val="en-US" w:eastAsia="zh-CN"/>
                <w14:textFill>
                  <w14:solidFill>
                    <w14:schemeClr w14:val="tx1"/>
                  </w14:solidFill>
                </w14:textFill>
              </w:rPr>
              <w:t>，处理后尾水一部分进入中水厂回用，一部分进入人工湿地净化后排入二排干，鉴于目前暂无法明确新增水量的回用与外排比例，按照最不利原则30000</w:t>
            </w:r>
            <w:r>
              <w:rPr>
                <w:rFonts w:hint="default"/>
                <w:color w:val="000000" w:themeColor="text1"/>
                <w:highlight w:val="none"/>
                <w:lang w:val="en-US" w:eastAsia="zh-CN"/>
                <w14:textFill>
                  <w14:solidFill>
                    <w14:schemeClr w14:val="tx1"/>
                  </w14:solidFill>
                </w14:textFill>
              </w:rPr>
              <w:t>m</w:t>
            </w:r>
            <w:r>
              <w:rPr>
                <w:rFonts w:hint="eastAsia"/>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/d（原15000m</w:t>
            </w:r>
            <w:r>
              <w:rPr>
                <w:rFonts w:hint="eastAsia"/>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/d+新增15000m</w:t>
            </w:r>
            <w:r>
              <w:rPr>
                <w:rFonts w:hint="eastAsia"/>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/d</w:t>
            </w:r>
            <w:r>
              <w:rPr>
                <w:rFonts w:hint="eastAsia"/>
                <w:color w:val="000000" w:themeColor="text1"/>
                <w:highlight w:val="none"/>
                <w:lang w:val="en-US" w:eastAsia="zh-CN"/>
                <w14:textFill>
                  <w14:solidFill>
                    <w14:schemeClr w14:val="tx1"/>
                  </w14:solidFill>
                </w14:textFill>
              </w:rPr>
              <w:t>全部进入人工湿地。</w:t>
            </w:r>
            <w:r>
              <w:rPr>
                <w:rFonts w:hint="default"/>
                <w:color w:val="000000" w:themeColor="text1"/>
                <w:highlight w:val="none"/>
                <w:lang w:val="en-US" w:eastAsia="zh-CN"/>
                <w14:textFill>
                  <w14:solidFill>
                    <w14:schemeClr w14:val="tx1"/>
                  </w14:solidFill>
                </w14:textFill>
              </w:rPr>
              <w:t>现有</w:t>
            </w:r>
            <w:r>
              <w:rPr>
                <w:rFonts w:hint="eastAsia"/>
                <w:color w:val="000000" w:themeColor="text1"/>
                <w:highlight w:val="none"/>
                <w:lang w:val="en-US" w:eastAsia="zh-CN"/>
                <w14:textFill>
                  <w14:solidFill>
                    <w14:schemeClr w14:val="tx1"/>
                  </w14:solidFill>
                </w14:textFill>
              </w:rPr>
              <w:t>人工</w:t>
            </w:r>
            <w:r>
              <w:rPr>
                <w:rFonts w:hint="default"/>
                <w:color w:val="000000" w:themeColor="text1"/>
                <w:highlight w:val="none"/>
                <w:lang w:val="en-US" w:eastAsia="zh-CN"/>
                <w14:textFill>
                  <w14:solidFill>
                    <w14:schemeClr w14:val="tx1"/>
                  </w14:solidFill>
                </w14:textFill>
              </w:rPr>
              <w:t>湿地系统作为连续流净化单元，其建设规模、工艺布局与配套设施均能充分满足该排水规模的处理需求，依托其处理后尾水达到《地表水环境质量标准》（GB3838-2002）V类标准并排入二排干具备可行性。</w:t>
            </w:r>
          </w:p>
          <w:p w14:paraId="0311306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该湿地由2座垂直潜流湿地（总占地面积41814</w:t>
            </w:r>
            <w:r>
              <w:rPr>
                <w:rFonts w:hint="eastAsia"/>
                <w:color w:val="000000" w:themeColor="text1"/>
                <w:highlight w:val="none"/>
                <w:lang w:val="en-US" w:eastAsia="zh-CN"/>
                <w14:textFill>
                  <w14:solidFill>
                    <w14:schemeClr w14:val="tx1"/>
                  </w14:solidFill>
                </w14:textFill>
              </w:rPr>
              <w:t>m</w:t>
            </w:r>
            <w:r>
              <w:rPr>
                <w:rFonts w:hint="eastAsia"/>
                <w:color w:val="000000" w:themeColor="text1"/>
                <w:highlight w:val="none"/>
                <w:vertAlign w:val="superscript"/>
                <w:lang w:val="en-US" w:eastAsia="zh-CN"/>
                <w14:textFill>
                  <w14:solidFill>
                    <w14:schemeClr w14:val="tx1"/>
                  </w14:solidFill>
                </w14:textFill>
              </w:rPr>
              <w:t>2</w:t>
            </w:r>
            <w:r>
              <w:rPr>
                <w:rFonts w:hint="default"/>
                <w:color w:val="000000" w:themeColor="text1"/>
                <w:highlight w:val="none"/>
                <w:lang w:val="en-US" w:eastAsia="zh-CN"/>
                <w14:textFill>
                  <w14:solidFill>
                    <w14:schemeClr w14:val="tx1"/>
                  </w14:solidFill>
                </w14:textFill>
              </w:rPr>
              <w:t>，有效容水量25000m</w:t>
            </w:r>
            <w:r>
              <w:rPr>
                <w:rFonts w:hint="eastAsia"/>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）与1座表流湿地（占地面积20690</w:t>
            </w:r>
            <w:r>
              <w:rPr>
                <w:rFonts w:hint="eastAsia"/>
                <w:color w:val="000000" w:themeColor="text1"/>
                <w:highlight w:val="none"/>
                <w:lang w:val="en-US" w:eastAsia="zh-CN"/>
                <w14:textFill>
                  <w14:solidFill>
                    <w14:schemeClr w14:val="tx1"/>
                  </w14:solidFill>
                </w14:textFill>
              </w:rPr>
              <w:t>m</w:t>
            </w:r>
            <w:r>
              <w:rPr>
                <w:rFonts w:hint="eastAsia"/>
                <w:color w:val="000000" w:themeColor="text1"/>
                <w:highlight w:val="none"/>
                <w:vertAlign w:val="superscript"/>
                <w:lang w:val="en-US" w:eastAsia="zh-CN"/>
                <w14:textFill>
                  <w14:solidFill>
                    <w14:schemeClr w14:val="tx1"/>
                  </w14:solidFill>
                </w14:textFill>
              </w:rPr>
              <w:t>2</w:t>
            </w:r>
            <w:r>
              <w:rPr>
                <w:rFonts w:hint="default"/>
                <w:color w:val="000000" w:themeColor="text1"/>
                <w:highlight w:val="none"/>
                <w:lang w:val="en-US" w:eastAsia="zh-CN"/>
                <w14:textFill>
                  <w14:solidFill>
                    <w14:schemeClr w14:val="tx1"/>
                  </w14:solidFill>
                </w14:textFill>
              </w:rPr>
              <w:t>，有效容水量10500m</w:t>
            </w:r>
            <w:r>
              <w:rPr>
                <w:rFonts w:hint="eastAsia"/>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）组成，总有效容水量35500m</w:t>
            </w:r>
            <w:r>
              <w:rPr>
                <w:rFonts w:hint="eastAsia"/>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，采用“并联分流+串联净化”的连续流布局，30000m</w:t>
            </w:r>
            <w:r>
              <w:rPr>
                <w:rFonts w:hint="eastAsia"/>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d尾水可通过布水系统均匀分配至各单元，经潜流湿地生态填料吸附降解、表流湿地水生植物与微生物协同净化后，由集水系统顺畅排出，维持“进水-净化-出水”动态平衡，无蓄水积压或断流风险，且潜流湿地水力负荷约0.72m</w:t>
            </w:r>
            <w:r>
              <w:rPr>
                <w:rFonts w:hint="eastAsia"/>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（m</w:t>
            </w:r>
            <w:r>
              <w:rPr>
                <w:rFonts w:hint="eastAsia"/>
                <w:color w:val="000000" w:themeColor="text1"/>
                <w:highlight w:val="none"/>
                <w:vertAlign w:val="superscript"/>
                <w:lang w:val="en-US" w:eastAsia="zh-CN"/>
                <w14:textFill>
                  <w14:solidFill>
                    <w14:schemeClr w14:val="tx1"/>
                  </w14:solidFill>
                </w14:textFill>
              </w:rPr>
              <w:t>2</w:t>
            </w:r>
            <w:r>
              <w:rPr>
                <w:rFonts w:hint="default"/>
                <w:color w:val="000000" w:themeColor="text1"/>
                <w:highlight w:val="none"/>
                <w:lang w:val="en-US" w:eastAsia="zh-CN"/>
                <w14:textFill>
                  <w14:solidFill>
                    <w14:schemeClr w14:val="tx1"/>
                  </w14:solidFill>
                </w14:textFill>
              </w:rPr>
              <w:t>・d</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、表流湿地约1.45m</w:t>
            </w:r>
            <w:r>
              <w:rPr>
                <w:rFonts w:hint="eastAsia"/>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（m</w:t>
            </w:r>
            <w:r>
              <w:rPr>
                <w:rFonts w:hint="eastAsia"/>
                <w:color w:val="000000" w:themeColor="text1"/>
                <w:highlight w:val="none"/>
                <w:vertAlign w:val="superscript"/>
                <w:lang w:val="en-US" w:eastAsia="zh-CN"/>
                <w14:textFill>
                  <w14:solidFill>
                    <w14:schemeClr w14:val="tx1"/>
                  </w14:solidFill>
                </w14:textFill>
              </w:rPr>
              <w:t>2</w:t>
            </w:r>
            <w:r>
              <w:rPr>
                <w:rFonts w:hint="default"/>
                <w:color w:val="000000" w:themeColor="text1"/>
                <w:highlight w:val="none"/>
                <w:lang w:val="en-US" w:eastAsia="zh-CN"/>
                <w14:textFill>
                  <w14:solidFill>
                    <w14:schemeClr w14:val="tx1"/>
                  </w14:solidFill>
                </w14:textFill>
              </w:rPr>
              <w:t>・d</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均处于同类连续流人工湿地适宜运行区间。结合进水为城镇污水处理厂一级A达标尾水的水质优势，连续流模式下污染物与净化介质、生物群落的持续交互可强化去除效能，类比同类工程数据，COD、氨氮、总磷等核心污染物去除率可满足达标要求，同时系统已适配原水量波动设计，生态系统具备较强抗冲击负荷能力，可稳定适配扩建后排水规模，保障长期运行效能。</w:t>
            </w:r>
          </w:p>
          <w:p w14:paraId="68FD477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（4）中水厂依托可行性分析</w:t>
            </w:r>
          </w:p>
          <w:p w14:paraId="0F48F40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从供需规模适配性来看，中水厂20000m</w:t>
            </w:r>
            <w:r>
              <w:rPr>
                <w:rFonts w:hint="eastAsia"/>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/d的设计规模与服务范围内需水企业的总用水需求相匹配，需水企业日均用水量未超过中水厂设计处理规模，可完全承接污水处理厂拟分配的出水水量，不存在处理能力与用水需求不匹配的问题。</w:t>
            </w:r>
          </w:p>
          <w:p w14:paraId="05AE3A2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从水质衔接性而言，项目升级改造后采用A²/O+MBR工艺，出水稳定达到《城镇污水处理厂污染物排放标准》（GB18918-2002）（含2006年、2025年修改单）一级A标准，该水质与中水厂进水水质要求高度契合，为中水厂后续深度处理提供了优质的水质基础，可保障深度处理后出水满足需水企业的生产用水要求。</w:t>
            </w:r>
          </w:p>
          <w:p w14:paraId="2E3371B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从输送与运行保障来看，现状已建成完善的污水输送管网与中水回用管网体系，可将污水处理厂一期出水稳定、高效输送至中水厂，经深度处理后再精准配送至各需水企业，无需新增大规模管网建设；同时，中水厂已形成成熟的运行管理机制，设备设施运行稳定，能够与污水处理厂改扩建后的出水节奏、需水企业的用水规律形成有效衔接，确保回用供水的连续性与可靠性。</w:t>
            </w:r>
          </w:p>
          <w:p w14:paraId="4768FFF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综上，依托现状中水厂的处理规模、成熟工艺、配套管网及需水企业的用水需求边界，可有效承接项目升级改造后的部分出水深度处理及回用需求。</w:t>
            </w:r>
          </w:p>
          <w:p w14:paraId="1AEF8EC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5</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地表水环境影响分析</w:t>
            </w:r>
          </w:p>
          <w:p w14:paraId="1713877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根据地表水环境专项评价预测结果可知，废水正常排放条件时，预测断面污染物浓度均能够达到《地表水环境质量标准》GB3838-2002中</w:t>
            </w:r>
            <w:r>
              <w:rPr>
                <w:rFonts w:hint="eastAsia"/>
                <w:color w:val="000000" w:themeColor="text1"/>
                <w:highlight w:val="none"/>
                <w:lang w:val="en-US" w:eastAsia="zh-CN"/>
                <w14:textFill>
                  <w14:solidFill>
                    <w14:schemeClr w14:val="tx1"/>
                  </w14:solidFill>
                </w14:textFill>
              </w:rPr>
              <w:t>V</w:t>
            </w:r>
            <w:r>
              <w:rPr>
                <w:rFonts w:hint="eastAsia"/>
                <w:color w:val="000000" w:themeColor="text1"/>
                <w:highlight w:val="none"/>
                <w14:textFill>
                  <w14:solidFill>
                    <w14:schemeClr w14:val="tx1"/>
                  </w14:solidFill>
                </w14:textFill>
              </w:rPr>
              <w:t>类目标水质标准限值，排放的主要污染物CODcr、NH</w:t>
            </w:r>
            <w:r>
              <w:rPr>
                <w:rFonts w:hint="eastAsia"/>
                <w:color w:val="000000" w:themeColor="text1"/>
                <w:highlight w:val="none"/>
                <w:vertAlign w:val="subscript"/>
                <w14:textFill>
                  <w14:solidFill>
                    <w14:schemeClr w14:val="tx1"/>
                  </w14:solidFill>
                </w14:textFill>
              </w:rPr>
              <w:t>3</w:t>
            </w:r>
            <w:r>
              <w:rPr>
                <w:rFonts w:hint="eastAsia"/>
                <w:color w:val="000000" w:themeColor="text1"/>
                <w:highlight w:val="none"/>
                <w14:textFill>
                  <w14:solidFill>
                    <w14:schemeClr w14:val="tx1"/>
                  </w14:solidFill>
                </w14:textFill>
              </w:rPr>
              <w:t>-N</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总磷</w:t>
            </w:r>
            <w:r>
              <w:rPr>
                <w:rFonts w:hint="eastAsia"/>
                <w:color w:val="000000" w:themeColor="text1"/>
                <w:highlight w:val="none"/>
                <w14:textFill>
                  <w14:solidFill>
                    <w14:schemeClr w14:val="tx1"/>
                  </w14:solidFill>
                </w14:textFill>
              </w:rPr>
              <w:t>满足受纳水体安全余量的要求。项目为</w:t>
            </w:r>
            <w:r>
              <w:rPr>
                <w:rFonts w:hint="eastAsia"/>
                <w:color w:val="000000" w:themeColor="text1"/>
                <w:highlight w:val="none"/>
                <w:lang w:val="en-US" w:eastAsia="zh-CN"/>
                <w14:textFill>
                  <w14:solidFill>
                    <w14:schemeClr w14:val="tx1"/>
                  </w14:solidFill>
                </w14:textFill>
              </w:rPr>
              <w:t>城镇</w:t>
            </w:r>
            <w:r>
              <w:rPr>
                <w:rFonts w:hint="eastAsia"/>
                <w:color w:val="000000" w:themeColor="text1"/>
                <w:highlight w:val="none"/>
                <w14:textFill>
                  <w14:solidFill>
                    <w14:schemeClr w14:val="tx1"/>
                  </w14:solidFill>
                </w14:textFill>
              </w:rPr>
              <w:t>污水集中处理项目，为区域地表水体改善工程的一部分，项目的运行可减少区域水污染物的排放量。项目采取可行的污水处理工艺和水环境影响减缓措施，可有效改善区域地表水体环境质量，本评价认为项目地表水环境影响较小。</w:t>
            </w:r>
          </w:p>
          <w:p w14:paraId="08E3C81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当</w:t>
            </w:r>
            <w:r>
              <w:rPr>
                <w:rFonts w:hint="eastAsia"/>
                <w:color w:val="000000" w:themeColor="text1"/>
                <w:highlight w:val="none"/>
                <w:lang w:val="en-US" w:eastAsia="zh-CN"/>
                <w14:textFill>
                  <w14:solidFill>
                    <w14:schemeClr w14:val="tx1"/>
                  </w14:solidFill>
                </w14:textFill>
              </w:rPr>
              <w:t>磴口县</w:t>
            </w:r>
            <w:r>
              <w:rPr>
                <w:rFonts w:hint="eastAsia"/>
                <w:color w:val="000000" w:themeColor="text1"/>
                <w:highlight w:val="none"/>
                <w14:textFill>
                  <w14:solidFill>
                    <w14:schemeClr w14:val="tx1"/>
                  </w14:solidFill>
                </w14:textFill>
              </w:rPr>
              <w:t>污水处理厂发生故障</w:t>
            </w:r>
            <w:r>
              <w:rPr>
                <w:rFonts w:hint="eastAsia"/>
                <w:color w:val="000000" w:themeColor="text1"/>
                <w:highlight w:val="none"/>
                <w:lang w:val="en-US" w:eastAsia="zh-CN"/>
                <w14:textFill>
                  <w14:solidFill>
                    <w14:schemeClr w14:val="tx1"/>
                  </w14:solidFill>
                </w14:textFill>
              </w:rPr>
              <w:t>产生</w:t>
            </w:r>
            <w:r>
              <w:rPr>
                <w:rFonts w:hint="eastAsia"/>
                <w:color w:val="000000" w:themeColor="text1"/>
                <w:highlight w:val="none"/>
                <w14:textFill>
                  <w14:solidFill>
                    <w14:schemeClr w14:val="tx1"/>
                  </w14:solidFill>
                </w14:textFill>
              </w:rPr>
              <w:t>非正常情况排放时，废水排入受纳水体</w:t>
            </w:r>
            <w:r>
              <w:rPr>
                <w:rFonts w:hint="eastAsia"/>
                <w:color w:val="000000" w:themeColor="text1"/>
                <w:highlight w:val="none"/>
                <w:lang w:val="en-US" w:eastAsia="zh-CN"/>
                <w14:textFill>
                  <w14:solidFill>
                    <w14:schemeClr w14:val="tx1"/>
                  </w14:solidFill>
                </w14:textFill>
              </w:rPr>
              <w:t>二排干</w:t>
            </w:r>
            <w:r>
              <w:rPr>
                <w:rFonts w:hint="eastAsia"/>
                <w:color w:val="000000" w:themeColor="text1"/>
                <w:highlight w:val="none"/>
                <w14:textFill>
                  <w14:solidFill>
                    <w14:schemeClr w14:val="tx1"/>
                  </w14:solidFill>
                </w14:textFill>
              </w:rPr>
              <w:t>后，预测断面处</w:t>
            </w:r>
            <w:r>
              <w:rPr>
                <w:rFonts w:hint="eastAsia"/>
                <w:color w:val="000000" w:themeColor="text1"/>
                <w:highlight w:val="none"/>
                <w:lang w:val="en-US" w:eastAsia="zh-CN"/>
                <w14:textFill>
                  <w14:solidFill>
                    <w14:schemeClr w14:val="tx1"/>
                  </w14:solidFill>
                </w14:textFill>
              </w:rPr>
              <w:t>各项污染物均</w:t>
            </w:r>
            <w:r>
              <w:rPr>
                <w:rFonts w:hint="eastAsia"/>
                <w:color w:val="000000" w:themeColor="text1"/>
                <w:highlight w:val="none"/>
                <w14:textFill>
                  <w14:solidFill>
                    <w14:schemeClr w14:val="tx1"/>
                  </w14:solidFill>
                </w14:textFill>
              </w:rPr>
              <w:t>超标，污染物排放总量较大，对受纳水体</w:t>
            </w:r>
            <w:r>
              <w:rPr>
                <w:rFonts w:hint="eastAsia"/>
                <w:color w:val="000000" w:themeColor="text1"/>
                <w:highlight w:val="none"/>
                <w:lang w:val="en-US" w:eastAsia="zh-CN"/>
                <w14:textFill>
                  <w14:solidFill>
                    <w14:schemeClr w14:val="tx1"/>
                  </w14:solidFill>
                </w14:textFill>
              </w:rPr>
              <w:t>二排干</w:t>
            </w:r>
            <w:r>
              <w:rPr>
                <w:rFonts w:hint="eastAsia"/>
                <w:color w:val="000000" w:themeColor="text1"/>
                <w:highlight w:val="none"/>
                <w14:textFill>
                  <w14:solidFill>
                    <w14:schemeClr w14:val="tx1"/>
                  </w14:solidFill>
                </w14:textFill>
              </w:rPr>
              <w:t>区域影响较大。因此要严防污水处理厂发生非正常情况下的废水排放。</w:t>
            </w:r>
          </w:p>
          <w:p w14:paraId="00C6A24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为避免非正常排放对地表水环境的影响，本环评提出采取以下措施：</w:t>
            </w:r>
          </w:p>
          <w:p w14:paraId="7EE9FE7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①加强污水处理设施的日常维护，及时发现处理设备隐患，采用双回路供电，确保处理系统正常运行；</w:t>
            </w:r>
          </w:p>
          <w:p w14:paraId="2D66DB7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②严格控制污水处理单元的水量、水质、停留时间、负荷强度等工艺参数，确保处理效果的稳定性，进、出水口安装在线监测系统，实时掌控进、出口水质变化情况；</w:t>
            </w:r>
          </w:p>
          <w:p w14:paraId="3C3F4AA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③加强污水处理厂运行管理和进出水的监督工作，未经处理达标的污水严禁外排；</w:t>
            </w:r>
          </w:p>
          <w:p w14:paraId="53837B6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④建立健全管理机制和制度，从上到下建立环境目标责任制。</w:t>
            </w:r>
          </w:p>
          <w:p w14:paraId="5166222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⑤加强工作人员的操作技能教育和培训，提高操作技能。组织操作人员上岗培训，并持证上岗。</w:t>
            </w:r>
          </w:p>
          <w:p w14:paraId="752A643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6</w:t>
            </w:r>
            <w:r>
              <w:rPr>
                <w:rFonts w:hint="eastAsia"/>
                <w:color w:val="000000" w:themeColor="text1"/>
                <w:highlight w:val="none"/>
                <w:lang w:eastAsia="zh-CN"/>
                <w14:textFill>
                  <w14:solidFill>
                    <w14:schemeClr w14:val="tx1"/>
                  </w14:solidFill>
                </w14:textFill>
              </w:rPr>
              <w:t>）非正常工况应急处置措施</w:t>
            </w:r>
          </w:p>
          <w:p w14:paraId="25CBB51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为防范进水水质超标、处理设施故障等非正常工况导致废水超标排放，结合磴口县污水处理厂一、二期工程运营、设施</w:t>
            </w:r>
            <w:r>
              <w:rPr>
                <w:rFonts w:hint="eastAsia"/>
                <w:color w:val="000000" w:themeColor="text1"/>
                <w:highlight w:val="none"/>
                <w:lang w:val="en-US" w:eastAsia="zh-CN"/>
                <w14:textFill>
                  <w14:solidFill>
                    <w14:schemeClr w14:val="tx1"/>
                  </w14:solidFill>
                </w14:textFill>
              </w:rPr>
              <w:t>运行</w:t>
            </w:r>
            <w:r>
              <w:rPr>
                <w:rFonts w:hint="eastAsia"/>
                <w:color w:val="000000" w:themeColor="text1"/>
                <w:highlight w:val="none"/>
                <w:lang w:eastAsia="zh-CN"/>
                <w14:textFill>
                  <w14:solidFill>
                    <w14:schemeClr w14:val="tx1"/>
                  </w14:solidFill>
                </w14:textFill>
              </w:rPr>
              <w:t>的实际情况，制定如下废水应急处置措施：</w:t>
            </w:r>
          </w:p>
          <w:p w14:paraId="0B2D68F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val="en-US" w:eastAsia="zh-CN"/>
                <w14:textFill>
                  <w14:solidFill>
                    <w14:schemeClr w14:val="tx1"/>
                  </w14:solidFill>
                </w14:textFill>
              </w:rPr>
              <w:t>①进水水质超标应急处置</w:t>
            </w:r>
          </w:p>
          <w:p w14:paraId="34B5F3A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先通知前端管网排查进水异常来源，从源头避免高浓度污水持续进入系统；同时强化预处理，加大格栅、沉砂池运行频次，投加50-100mg/L的PAC，去除部分悬浮物和磷以减轻生化及膜系统负荷；生化系统方面，若氨氮、总磷突升，按C:N:P=100:5:1核算投加乙酸钠以补充碳源，提高曝气强度使生化池DO维持在3-5mg/L并延长曝气时间，停止排泥将污泥浓度提升至8000-10000mg/L，若污泥解体则投加少量絮凝剂维持絮体稳定；膜系统需降低膜通量至设计值的60%-70%，将在线清洗频次从每2小时1次调整为每1小时1次且清洗时间延长至5分钟，防止膜污染；监测方面，每1</w:t>
            </w:r>
            <w:r>
              <w:rPr>
                <w:rFonts w:hint="eastAsia"/>
                <w:color w:val="000000" w:themeColor="text1"/>
                <w:highlight w:val="none"/>
                <w:lang w:val="en-US" w:eastAsia="zh-CN"/>
                <w14:textFill>
                  <w14:solidFill>
                    <w14:schemeClr w14:val="tx1"/>
                  </w14:solidFill>
                </w14:textFill>
              </w:rPr>
              <w:t>5</w:t>
            </w:r>
            <w:r>
              <w:rPr>
                <w:rFonts w:hint="eastAsia"/>
                <w:color w:val="000000" w:themeColor="text1"/>
                <w:highlight w:val="none"/>
                <w:lang w:eastAsia="zh-CN"/>
                <w14:textFill>
                  <w14:solidFill>
                    <w14:schemeClr w14:val="tx1"/>
                  </w14:solidFill>
                </w14:textFill>
              </w:rPr>
              <w:t>分钟检测进水COD、氨氮、pH、DO，每30分钟检测出水浊度、TMP，待水质恢复至设计值以内，逐步减少药剂投加量并恢复膜通量及污泥排放。</w:t>
            </w:r>
          </w:p>
          <w:p w14:paraId="54FC191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②</w:t>
            </w:r>
            <w:r>
              <w:rPr>
                <w:rFonts w:hint="eastAsia"/>
                <w:color w:val="000000" w:themeColor="text1"/>
                <w:highlight w:val="none"/>
                <w:lang w:eastAsia="zh-CN"/>
                <w14:textFill>
                  <w14:solidFill>
                    <w14:schemeClr w14:val="tx1"/>
                  </w14:solidFill>
                </w14:textFill>
              </w:rPr>
              <w:t>一期工程设施故障应急处置</w:t>
            </w:r>
          </w:p>
          <w:p w14:paraId="2FB88E8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一期工程生化系统、MBR膜系统、提升泵、配电系统等关键设备突发故障无法正常运行时，立即停止向一期系统进水，将待处理废水全部导入二期工程处理系统，依托二期工程作为事故应急备用处理设施，保障区域污水全量收集、有效处理、达标排放，杜绝未经处理的废水直接外排或溢流。</w:t>
            </w:r>
          </w:p>
          <w:p w14:paraId="064451D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③</w:t>
            </w:r>
            <w:r>
              <w:rPr>
                <w:rFonts w:hint="eastAsia"/>
                <w:color w:val="000000" w:themeColor="text1"/>
                <w:highlight w:val="none"/>
                <w:lang w:eastAsia="zh-CN"/>
                <w14:textFill>
                  <w14:solidFill>
                    <w14:schemeClr w14:val="tx1"/>
                  </w14:solidFill>
                </w14:textFill>
              </w:rPr>
              <w:t>常规运行保障与应急管控措施</w:t>
            </w:r>
          </w:p>
          <w:p w14:paraId="6217438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建立24小时值班与水质在线监测制度，实时监控进水水量、水质及各处理单元运行状态，发现异常立即启动应急响应；制定设备定期检修、维护保养制度，备齐关键设备备件及应急电源，确保故障状态下能够快速抢修、及时恢复运行；完善厂区管线、阀门及切换闸门的日常巡检，保证一、二期工程水力切换通畅、调度灵活；定期开展进水超标、设备故障等情景的应急演练，强化操作人员应急调度与协同处置能力，确保非正常工况下废水得到有效管控、稳定处理。</w:t>
            </w:r>
          </w:p>
          <w:p w14:paraId="0E37BF1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7</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废水污染物排放信息</w:t>
            </w:r>
          </w:p>
          <w:p w14:paraId="3385CD7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现状排污口于20</w:t>
            </w:r>
            <w:r>
              <w:rPr>
                <w:rFonts w:hint="eastAsia"/>
                <w:color w:val="000000" w:themeColor="text1"/>
                <w:highlight w:val="none"/>
                <w:lang w:val="en-US" w:eastAsia="zh-CN"/>
                <w14:textFill>
                  <w14:solidFill>
                    <w14:schemeClr w14:val="tx1"/>
                  </w14:solidFill>
                </w14:textFill>
              </w:rPr>
              <w:t>23</w:t>
            </w:r>
            <w:r>
              <w:rPr>
                <w:rFonts w:hint="eastAsia"/>
                <w:color w:val="000000" w:themeColor="text1"/>
                <w:highlight w:val="none"/>
                <w14:textFill>
                  <w14:solidFill>
                    <w14:schemeClr w14:val="tx1"/>
                  </w14:solidFill>
                </w14:textFill>
              </w:rPr>
              <w:t>年取得巴彦淖尔市生态环境局《关于准予设置磴口县中涵水务有限公司排污口决定书》，本次扩建工程不新增排污口，依托现状排污口进行排放。</w:t>
            </w:r>
            <w:r>
              <w:rPr>
                <w:rFonts w:hint="eastAsia"/>
                <w:color w:val="000000" w:themeColor="text1"/>
                <w:highlight w:val="none"/>
                <w:lang w:val="en-US" w:eastAsia="zh-CN"/>
                <w14:textFill>
                  <w14:solidFill>
                    <w14:schemeClr w14:val="tx1"/>
                  </w14:solidFill>
                </w14:textFill>
              </w:rPr>
              <w:t>详见地表水专项。</w:t>
            </w:r>
          </w:p>
          <w:p w14:paraId="3E05C4E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lang w:val="en-US" w:eastAsia="zh-CN"/>
                <w14:textFill>
                  <w14:solidFill>
                    <w14:schemeClr w14:val="tx1"/>
                  </w14:solidFill>
                </w14:textFill>
              </w:rPr>
            </w:pPr>
            <w:r>
              <w:rPr>
                <w:rFonts w:hint="eastAsia" w:ascii="Times New Roman" w:hAnsi="Times New Roman" w:cs="Times New Roman"/>
                <w:bCs/>
                <w:color w:val="000000" w:themeColor="text1"/>
                <w:sz w:val="24"/>
                <w:highlight w:val="none"/>
                <w:lang w:val="en-US" w:eastAsia="zh-CN"/>
                <w14:textFill>
                  <w14:solidFill>
                    <w14:schemeClr w14:val="tx1"/>
                  </w14:solidFill>
                </w14:textFill>
              </w:rPr>
              <w:t>（</w:t>
            </w:r>
            <w:r>
              <w:rPr>
                <w:rFonts w:hint="eastAsia" w:cs="Times New Roman"/>
                <w:bCs/>
                <w:color w:val="000000" w:themeColor="text1"/>
                <w:sz w:val="24"/>
                <w:highlight w:val="none"/>
                <w:lang w:val="en-US" w:eastAsia="zh-CN"/>
                <w14:textFill>
                  <w14:solidFill>
                    <w14:schemeClr w14:val="tx1"/>
                  </w14:solidFill>
                </w14:textFill>
              </w:rPr>
              <w:t>8</w:t>
            </w:r>
            <w:r>
              <w:rPr>
                <w:rFonts w:hint="eastAsia" w:ascii="Times New Roman" w:hAnsi="Times New Roman" w:cs="Times New Roman"/>
                <w:bCs/>
                <w:color w:val="000000" w:themeColor="text1"/>
                <w:sz w:val="24"/>
                <w:highlight w:val="none"/>
                <w:lang w:val="en-US" w:eastAsia="zh-CN"/>
                <w14:textFill>
                  <w14:solidFill>
                    <w14:schemeClr w14:val="tx1"/>
                  </w14:solidFill>
                </w14:textFill>
              </w:rPr>
              <w:t>）</w:t>
            </w:r>
            <w:r>
              <w:rPr>
                <w:rFonts w:hint="default" w:ascii="Times New Roman" w:hAnsi="Times New Roman" w:cs="Times New Roman"/>
                <w:bCs/>
                <w:color w:val="000000" w:themeColor="text1"/>
                <w:sz w:val="24"/>
                <w:highlight w:val="none"/>
                <w:lang w:val="en-US" w:eastAsia="zh-CN"/>
                <w14:textFill>
                  <w14:solidFill>
                    <w14:schemeClr w14:val="tx1"/>
                  </w14:solidFill>
                </w14:textFill>
              </w:rPr>
              <w:t>污水处理厂水质监测计划</w:t>
            </w:r>
          </w:p>
          <w:p w14:paraId="65A0FC4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lang w:val="en-US" w:eastAsia="zh-CN"/>
                <w14:textFill>
                  <w14:solidFill>
                    <w14:schemeClr w14:val="tx1"/>
                  </w14:solidFill>
                </w14:textFill>
              </w:rPr>
            </w:pPr>
            <w:r>
              <w:rPr>
                <w:rFonts w:hint="default" w:ascii="Times New Roman" w:hAnsi="Times New Roman" w:cs="Times New Roman"/>
                <w:bCs/>
                <w:color w:val="000000" w:themeColor="text1"/>
                <w:sz w:val="24"/>
                <w:highlight w:val="none"/>
                <w:lang w:val="en-US" w:eastAsia="zh-CN"/>
                <w14:textFill>
                  <w14:solidFill>
                    <w14:schemeClr w14:val="tx1"/>
                  </w14:solidFill>
                </w14:textFill>
              </w:rPr>
              <w:t>污水处理厂应在进、出口处安装水质自动监控系统并联网，对进、出口水质实时监测，掌握水质变化情况，确保污水处理厂正常稳定运行和出水水质稳定达标排放。未采取自动监测设施的其他水污染物，应委托具有资质的第三方监测机构按照相关要求开展手动监测，并对监测结果进行公开。根据《排污单位自行监测技术指南</w:t>
            </w:r>
            <w:r>
              <w:rPr>
                <w:rFonts w:hint="eastAsia" w:ascii="Times New Roman" w:hAnsi="Times New Roman" w:cs="Times New Roman"/>
                <w:bCs/>
                <w:color w:val="000000" w:themeColor="text1"/>
                <w:sz w:val="24"/>
                <w:highlight w:val="none"/>
                <w:lang w:val="en-US" w:eastAsia="zh-CN"/>
                <w14:textFill>
                  <w14:solidFill>
                    <w14:schemeClr w14:val="tx1"/>
                  </w14:solidFill>
                </w14:textFill>
              </w:rPr>
              <w:t xml:space="preserve"> </w:t>
            </w:r>
            <w:r>
              <w:rPr>
                <w:rFonts w:hint="default" w:ascii="Times New Roman" w:hAnsi="Times New Roman" w:cs="Times New Roman"/>
                <w:bCs/>
                <w:color w:val="000000" w:themeColor="text1"/>
                <w:sz w:val="24"/>
                <w:highlight w:val="none"/>
                <w:lang w:val="en-US" w:eastAsia="zh-CN"/>
                <w14:textFill>
                  <w14:solidFill>
                    <w14:schemeClr w14:val="tx1"/>
                  </w14:solidFill>
                </w14:textFill>
              </w:rPr>
              <w:t>水处理》（HJ1083-2020），污水处理厂水质监测计划按下表进行：</w:t>
            </w:r>
          </w:p>
          <w:p w14:paraId="603D3758">
            <w:pPr>
              <w:pStyle w:val="20"/>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表4-</w:t>
            </w:r>
            <w:r>
              <w:rPr>
                <w:rFonts w:hint="eastAsia"/>
                <w:color w:val="000000" w:themeColor="text1"/>
                <w:highlight w:val="none"/>
                <w:lang w:val="en-US" w:eastAsia="zh-CN"/>
                <w14:textFill>
                  <w14:solidFill>
                    <w14:schemeClr w14:val="tx1"/>
                  </w14:solidFill>
                </w14:textFill>
              </w:rPr>
              <w:t>11</w:t>
            </w:r>
            <w:r>
              <w:rPr>
                <w:rFonts w:hint="default"/>
                <w:color w:val="000000" w:themeColor="text1"/>
                <w:highlight w:val="none"/>
                <w:lang w:val="en-US" w:eastAsia="zh-CN"/>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rFonts w:hint="default"/>
                <w:color w:val="000000" w:themeColor="text1"/>
                <w:highlight w:val="none"/>
                <w:lang w:val="en-US" w:eastAsia="zh-CN"/>
                <w14:textFill>
                  <w14:solidFill>
                    <w14:schemeClr w14:val="tx1"/>
                  </w14:solidFill>
                </w14:textFill>
              </w:rPr>
              <w:t>污水处理厂运营期水质监测计划一览表</w:t>
            </w:r>
          </w:p>
          <w:tbl>
            <w:tblPr>
              <w:tblStyle w:val="12"/>
              <w:tblW w:w="4998" w:type="pct"/>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732"/>
              <w:gridCol w:w="5901"/>
              <w:gridCol w:w="1712"/>
            </w:tblGrid>
            <w:tr w14:paraId="764F46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38" w:type="pct"/>
                  <w:vMerge w:val="restart"/>
                  <w:tcBorders>
                    <w:tl2br w:val="nil"/>
                    <w:tr2bl w:val="nil"/>
                  </w:tcBorders>
                  <w:shd w:val="clear" w:color="auto" w:fill="auto"/>
                  <w:vAlign w:val="center"/>
                </w:tcPr>
                <w:p w14:paraId="3CE5A6A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监测点位</w:t>
                  </w:r>
                </w:p>
              </w:tc>
              <w:tc>
                <w:tcPr>
                  <w:tcW w:w="3535" w:type="pct"/>
                  <w:vMerge w:val="restart"/>
                  <w:tcBorders>
                    <w:tl2br w:val="nil"/>
                    <w:tr2bl w:val="nil"/>
                  </w:tcBorders>
                  <w:shd w:val="clear" w:color="auto" w:fill="auto"/>
                  <w:vAlign w:val="center"/>
                </w:tcPr>
                <w:p w14:paraId="3CAC164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监测指标</w:t>
                  </w:r>
                </w:p>
              </w:tc>
              <w:tc>
                <w:tcPr>
                  <w:tcW w:w="1026" w:type="pct"/>
                  <w:tcBorders>
                    <w:tl2br w:val="nil"/>
                    <w:tr2bl w:val="nil"/>
                  </w:tcBorders>
                  <w:shd w:val="clear" w:color="auto" w:fill="auto"/>
                  <w:vAlign w:val="center"/>
                </w:tcPr>
                <w:p w14:paraId="619C230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监测频次</w:t>
                  </w:r>
                </w:p>
              </w:tc>
            </w:tr>
            <w:tr w14:paraId="46864A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38" w:type="pct"/>
                  <w:vMerge w:val="continue"/>
                  <w:tcBorders>
                    <w:tl2br w:val="nil"/>
                    <w:tr2bl w:val="nil"/>
                  </w:tcBorders>
                  <w:shd w:val="clear" w:color="auto" w:fill="auto"/>
                  <w:vAlign w:val="center"/>
                </w:tcPr>
                <w:p w14:paraId="66814792">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p>
              </w:tc>
              <w:tc>
                <w:tcPr>
                  <w:tcW w:w="3535" w:type="pct"/>
                  <w:vMerge w:val="continue"/>
                  <w:tcBorders>
                    <w:tl2br w:val="nil"/>
                    <w:tr2bl w:val="nil"/>
                  </w:tcBorders>
                  <w:shd w:val="clear" w:color="auto" w:fill="auto"/>
                  <w:vAlign w:val="center"/>
                </w:tcPr>
                <w:p w14:paraId="1CFB01F2">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p>
              </w:tc>
              <w:tc>
                <w:tcPr>
                  <w:tcW w:w="1026" w:type="pct"/>
                  <w:tcBorders>
                    <w:tl2br w:val="nil"/>
                    <w:tr2bl w:val="nil"/>
                  </w:tcBorders>
                  <w:shd w:val="clear" w:color="auto" w:fill="auto"/>
                  <w:vAlign w:val="center"/>
                </w:tcPr>
                <w:p w14:paraId="6E44641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处理量≥2万m</w:t>
                  </w:r>
                  <w:r>
                    <w:rPr>
                      <w:rFonts w:hint="eastAsia" w:cs="Times New Roman" w:eastAsiaTheme="minorEastAsia"/>
                      <w:color w:val="000000" w:themeColor="text1"/>
                      <w:sz w:val="21"/>
                      <w:szCs w:val="21"/>
                      <w:highlight w:val="none"/>
                      <w:vertAlign w:val="superscript"/>
                      <w:lang w:val="en-US" w:eastAsia="zh-CN" w:bidi="ar"/>
                      <w14:textFill>
                        <w14:solidFill>
                          <w14:schemeClr w14:val="tx1"/>
                        </w14:solidFill>
                      </w14:textFill>
                    </w:rPr>
                    <w:t>3</w:t>
                  </w: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/d</w:t>
                  </w:r>
                </w:p>
              </w:tc>
            </w:tr>
            <w:tr w14:paraId="66C58E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38" w:type="pct"/>
                  <w:vMerge w:val="restart"/>
                  <w:tcBorders>
                    <w:tl2br w:val="nil"/>
                    <w:tr2bl w:val="nil"/>
                  </w:tcBorders>
                  <w:shd w:val="clear" w:color="auto" w:fill="auto"/>
                  <w:vAlign w:val="center"/>
                </w:tcPr>
                <w:p w14:paraId="18A5B3D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废水总排放口a</w:t>
                  </w:r>
                </w:p>
              </w:tc>
              <w:tc>
                <w:tcPr>
                  <w:tcW w:w="3535" w:type="pct"/>
                  <w:tcBorders>
                    <w:tl2br w:val="nil"/>
                    <w:tr2bl w:val="nil"/>
                  </w:tcBorders>
                  <w:shd w:val="clear" w:color="auto" w:fill="auto"/>
                  <w:vAlign w:val="center"/>
                </w:tcPr>
                <w:p w14:paraId="7B24E9C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left"/>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流量、pH值、水温、化学需氧量、氨氮、总磷、总氮</w:t>
                  </w:r>
                </w:p>
              </w:tc>
              <w:tc>
                <w:tcPr>
                  <w:tcW w:w="1026" w:type="pct"/>
                  <w:tcBorders>
                    <w:tl2br w:val="nil"/>
                    <w:tr2bl w:val="nil"/>
                  </w:tcBorders>
                  <w:shd w:val="clear" w:color="auto" w:fill="auto"/>
                  <w:vAlign w:val="center"/>
                </w:tcPr>
                <w:p w14:paraId="7C8B542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自动监测</w:t>
                  </w:r>
                </w:p>
              </w:tc>
            </w:tr>
            <w:tr w14:paraId="41E1D27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38" w:type="pct"/>
                  <w:vMerge w:val="continue"/>
                  <w:tcBorders>
                    <w:tl2br w:val="nil"/>
                    <w:tr2bl w:val="nil"/>
                  </w:tcBorders>
                  <w:shd w:val="clear" w:color="auto" w:fill="auto"/>
                  <w:vAlign w:val="center"/>
                </w:tcPr>
                <w:p w14:paraId="7AE8E41A">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3535" w:type="pct"/>
                  <w:tcBorders>
                    <w:tl2br w:val="nil"/>
                    <w:tr2bl w:val="nil"/>
                  </w:tcBorders>
                  <w:shd w:val="clear" w:color="auto" w:fill="auto"/>
                  <w:vAlign w:val="top"/>
                </w:tcPr>
                <w:p w14:paraId="11855B9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left"/>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悬浮物、色度、五日生化需氧量、动植物油、石油类、阴离子表面活性剂、粪大肠菌群</w:t>
                  </w:r>
                </w:p>
              </w:tc>
              <w:tc>
                <w:tcPr>
                  <w:tcW w:w="1026" w:type="pct"/>
                  <w:tcBorders>
                    <w:tl2br w:val="nil"/>
                    <w:tr2bl w:val="nil"/>
                  </w:tcBorders>
                  <w:shd w:val="clear" w:color="auto" w:fill="auto"/>
                  <w:vAlign w:val="center"/>
                </w:tcPr>
                <w:p w14:paraId="6E98700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1次/月</w:t>
                  </w:r>
                </w:p>
              </w:tc>
            </w:tr>
            <w:tr w14:paraId="690C13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38" w:type="pct"/>
                  <w:vMerge w:val="continue"/>
                  <w:tcBorders>
                    <w:tl2br w:val="nil"/>
                    <w:tr2bl w:val="nil"/>
                  </w:tcBorders>
                  <w:shd w:val="clear" w:color="auto" w:fill="auto"/>
                  <w:vAlign w:val="center"/>
                </w:tcPr>
                <w:p w14:paraId="3EDECE8D">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3535" w:type="pct"/>
                  <w:tcBorders>
                    <w:tl2br w:val="nil"/>
                    <w:tr2bl w:val="nil"/>
                  </w:tcBorders>
                  <w:shd w:val="clear" w:color="auto" w:fill="auto"/>
                  <w:vAlign w:val="center"/>
                </w:tcPr>
                <w:p w14:paraId="45D3C78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总镉、总铬、总汞、总铅、总砷、六价铬</w:t>
                  </w:r>
                </w:p>
              </w:tc>
              <w:tc>
                <w:tcPr>
                  <w:tcW w:w="1026" w:type="pct"/>
                  <w:tcBorders>
                    <w:tl2br w:val="nil"/>
                    <w:tr2bl w:val="nil"/>
                  </w:tcBorders>
                  <w:shd w:val="clear" w:color="auto" w:fill="auto"/>
                  <w:vAlign w:val="center"/>
                </w:tcPr>
                <w:p w14:paraId="6DFB8C4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1次/季度</w:t>
                  </w:r>
                </w:p>
              </w:tc>
            </w:tr>
            <w:tr w14:paraId="79C3D6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38" w:type="pct"/>
                  <w:vMerge w:val="continue"/>
                  <w:tcBorders>
                    <w:tl2br w:val="nil"/>
                    <w:tr2bl w:val="nil"/>
                  </w:tcBorders>
                  <w:shd w:val="clear" w:color="auto" w:fill="auto"/>
                  <w:vAlign w:val="center"/>
                </w:tcPr>
                <w:p w14:paraId="41EE3690">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3535" w:type="pct"/>
                  <w:tcBorders>
                    <w:tl2br w:val="nil"/>
                    <w:tr2bl w:val="nil"/>
                  </w:tcBorders>
                  <w:shd w:val="clear" w:color="auto" w:fill="auto"/>
                  <w:vAlign w:val="center"/>
                </w:tcPr>
                <w:p w14:paraId="3510BA0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烷基汞</w:t>
                  </w:r>
                </w:p>
              </w:tc>
              <w:tc>
                <w:tcPr>
                  <w:tcW w:w="1026" w:type="pct"/>
                  <w:tcBorders>
                    <w:tl2br w:val="nil"/>
                    <w:tr2bl w:val="nil"/>
                  </w:tcBorders>
                  <w:shd w:val="clear" w:color="auto" w:fill="auto"/>
                  <w:vAlign w:val="center"/>
                </w:tcPr>
                <w:p w14:paraId="4341702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1次/半年</w:t>
                  </w:r>
                </w:p>
              </w:tc>
            </w:tr>
            <w:tr w14:paraId="4D18A0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38" w:type="pct"/>
                  <w:vMerge w:val="continue"/>
                  <w:tcBorders>
                    <w:tl2br w:val="nil"/>
                    <w:tr2bl w:val="nil"/>
                  </w:tcBorders>
                  <w:shd w:val="clear" w:color="auto" w:fill="auto"/>
                  <w:vAlign w:val="center"/>
                </w:tcPr>
                <w:p w14:paraId="633D1816">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3535" w:type="pct"/>
                  <w:tcBorders>
                    <w:tl2br w:val="nil"/>
                    <w:tr2bl w:val="nil"/>
                  </w:tcBorders>
                  <w:shd w:val="clear" w:color="auto" w:fill="auto"/>
                  <w:vAlign w:val="center"/>
                </w:tcPr>
                <w:p w14:paraId="0D04557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GB18918的表3中纳入许可的指标</w:t>
                  </w:r>
                </w:p>
              </w:tc>
              <w:tc>
                <w:tcPr>
                  <w:tcW w:w="1026" w:type="pct"/>
                  <w:tcBorders>
                    <w:tl2br w:val="nil"/>
                    <w:tr2bl w:val="nil"/>
                  </w:tcBorders>
                  <w:shd w:val="clear" w:color="auto" w:fill="auto"/>
                  <w:vAlign w:val="center"/>
                </w:tcPr>
                <w:p w14:paraId="1418FA7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1次/半年</w:t>
                  </w:r>
                </w:p>
              </w:tc>
            </w:tr>
            <w:tr w14:paraId="4C57DC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38" w:type="pct"/>
                  <w:vMerge w:val="continue"/>
                  <w:tcBorders>
                    <w:tl2br w:val="nil"/>
                    <w:tr2bl w:val="nil"/>
                  </w:tcBorders>
                  <w:shd w:val="clear" w:color="auto" w:fill="auto"/>
                  <w:vAlign w:val="center"/>
                </w:tcPr>
                <w:p w14:paraId="6B74F79D">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3535" w:type="pct"/>
                  <w:tcBorders>
                    <w:tl2br w:val="nil"/>
                    <w:tr2bl w:val="nil"/>
                  </w:tcBorders>
                  <w:shd w:val="clear" w:color="auto" w:fill="auto"/>
                  <w:vAlign w:val="center"/>
                </w:tcPr>
                <w:p w14:paraId="0C74825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其他污染物C</w:t>
                  </w:r>
                </w:p>
              </w:tc>
              <w:tc>
                <w:tcPr>
                  <w:tcW w:w="1026" w:type="pct"/>
                  <w:tcBorders>
                    <w:tl2br w:val="nil"/>
                    <w:tr2bl w:val="nil"/>
                  </w:tcBorders>
                  <w:shd w:val="clear" w:color="auto" w:fill="auto"/>
                  <w:vAlign w:val="center"/>
                </w:tcPr>
                <w:p w14:paraId="1A6B2F2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1次/半年</w:t>
                  </w:r>
                </w:p>
              </w:tc>
            </w:tr>
          </w:tbl>
          <w:p w14:paraId="1DEA96A0">
            <w:pPr>
              <w:keepNext w:val="0"/>
              <w:keepLines w:val="0"/>
              <w:pageBreakBefore w:val="0"/>
              <w:widowControl w:val="0"/>
              <w:kinsoku/>
              <w:wordWrap/>
              <w:overflowPunct/>
              <w:topLinePunct w:val="0"/>
              <w:autoSpaceDE/>
              <w:autoSpaceDN/>
              <w:bidi w:val="0"/>
              <w:adjustRightInd w:val="0"/>
              <w:snapToGrid w:val="0"/>
              <w:textAlignment w:val="auto"/>
              <w:rPr>
                <w:rFonts w:hint="eastAsia"/>
                <w:b/>
                <w:bCs/>
                <w:color w:val="000000" w:themeColor="text1"/>
                <w:highlight w:val="none"/>
                <w:lang w:val="en-US" w:eastAsia="zh-CN"/>
                <w14:textFill>
                  <w14:solidFill>
                    <w14:schemeClr w14:val="tx1"/>
                  </w14:solidFill>
                </w14:textFill>
              </w:rPr>
            </w:pPr>
          </w:p>
          <w:p w14:paraId="39010882">
            <w:pPr>
              <w:keepNext w:val="0"/>
              <w:keepLines w:val="0"/>
              <w:pageBreakBefore w:val="0"/>
              <w:widowControl w:val="0"/>
              <w:kinsoku/>
              <w:wordWrap/>
              <w:overflowPunct/>
              <w:topLinePunct w:val="0"/>
              <w:autoSpaceDE/>
              <w:autoSpaceDN/>
              <w:bidi w:val="0"/>
              <w:adjustRightInd w:val="0"/>
              <w:snapToGrid w:val="0"/>
              <w:textAlignment w:val="auto"/>
              <w:rPr>
                <w:rFonts w:hint="eastAsia"/>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3、</w:t>
            </w:r>
            <w:r>
              <w:rPr>
                <w:rFonts w:hint="eastAsia"/>
                <w:b/>
                <w:bCs/>
                <w:color w:val="000000" w:themeColor="text1"/>
                <w:highlight w:val="none"/>
                <w14:textFill>
                  <w14:solidFill>
                    <w14:schemeClr w14:val="tx1"/>
                  </w14:solidFill>
                </w14:textFill>
              </w:rPr>
              <w:t>噪声</w:t>
            </w:r>
          </w:p>
          <w:p w14:paraId="13760B2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噪声源强及防治措施</w:t>
            </w:r>
          </w:p>
          <w:p w14:paraId="6E64D4E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运营期噪声主要来源于污水处理厂机械设备工作时发出的噪声，产生噪声的设备主要包括风机类、泵类、污泥脱水机以及进出厂区车辆运输噪声等。本次改扩建项目对厂区内原有风机类、泵类等主要噪声源设备进行了更换，并新增了同类型设备，</w:t>
            </w:r>
            <w:r>
              <w:rPr>
                <w:rFonts w:hint="eastAsia"/>
                <w:color w:val="000000" w:themeColor="text1"/>
                <w:highlight w:val="none"/>
                <w:lang w:val="en-US" w:eastAsia="zh-CN"/>
                <w14:textFill>
                  <w14:solidFill>
                    <w14:schemeClr w14:val="tx1"/>
                  </w14:solidFill>
                </w14:textFill>
              </w:rPr>
              <w:t>由于</w:t>
            </w:r>
            <w:r>
              <w:rPr>
                <w:rFonts w:hint="eastAsia"/>
                <w:color w:val="000000" w:themeColor="text1"/>
                <w:highlight w:val="none"/>
                <w14:textFill>
                  <w14:solidFill>
                    <w14:schemeClr w14:val="tx1"/>
                  </w14:solidFill>
                </w14:textFill>
              </w:rPr>
              <w:t>新换设备与原有设备噪声源强特征</w:t>
            </w:r>
            <w:r>
              <w:rPr>
                <w:rFonts w:hint="eastAsia"/>
                <w:color w:val="000000" w:themeColor="text1"/>
                <w:highlight w:val="none"/>
                <w:lang w:val="en-US" w:eastAsia="zh-CN"/>
                <w14:textFill>
                  <w14:solidFill>
                    <w14:schemeClr w14:val="tx1"/>
                  </w14:solidFill>
                </w14:textFill>
              </w:rPr>
              <w:t>不</w:t>
            </w:r>
            <w:r>
              <w:rPr>
                <w:rFonts w:hint="eastAsia"/>
                <w:color w:val="000000" w:themeColor="text1"/>
                <w:highlight w:val="none"/>
                <w14:textFill>
                  <w14:solidFill>
                    <w14:schemeClr w14:val="tx1"/>
                  </w14:solidFill>
                </w14:textFill>
              </w:rPr>
              <w:t>一致，因此本次项目噪声预测采用一期工程</w:t>
            </w:r>
            <w:r>
              <w:rPr>
                <w:rFonts w:hint="eastAsia"/>
                <w:color w:val="000000" w:themeColor="text1"/>
                <w:highlight w:val="none"/>
                <w:lang w:val="en-US" w:eastAsia="zh-CN"/>
                <w14:textFill>
                  <w14:solidFill>
                    <w14:schemeClr w14:val="tx1"/>
                  </w14:solidFill>
                </w14:textFill>
              </w:rPr>
              <w:t>改扩建完成后</w:t>
            </w:r>
            <w:r>
              <w:rPr>
                <w:rFonts w:hint="eastAsia"/>
                <w:color w:val="000000" w:themeColor="text1"/>
                <w:highlight w:val="none"/>
                <w14:textFill>
                  <w14:solidFill>
                    <w14:schemeClr w14:val="tx1"/>
                  </w14:solidFill>
                </w14:textFill>
              </w:rPr>
              <w:t>整体噪声排放情况进行分析。</w:t>
            </w:r>
          </w:p>
          <w:p w14:paraId="2D2BA4A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噪声源强约75~90dB（A）</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为进一步降低噪声对周边环境的影响，本项目已将风机类、泵类、污泥脱水机等主要噪声设备均布置于室内，通过建筑墙体对噪声传播形成有效阻隔，大幅削减设备噪声对外影响，除此以外，项目拟采取以下防治措施：</w:t>
            </w:r>
          </w:p>
          <w:p w14:paraId="03F279F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①在设备选型上，选购低噪声环保设备并加强设备的日常维护；</w:t>
            </w:r>
          </w:p>
          <w:p w14:paraId="47BDE4D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②安装时，加装减震垫和隔声罩，以达到隔声、减震效果，降低噪声污染；</w:t>
            </w:r>
          </w:p>
          <w:p w14:paraId="038B9A4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③车辆进出时严禁鸣笛并减速慢行；</w:t>
            </w:r>
          </w:p>
          <w:p w14:paraId="75D289B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采取厂房隔声和基础减震的措施，噪声值可降低15~20dB</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A</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；对风机加消声器、电机加隔声罩，一般噪声可降低15-30dB</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A</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。本项目声源主要分布于各污水处理车间，因此预测时以车间到厂界距离为预测衰减距离。</w:t>
            </w:r>
          </w:p>
          <w:p w14:paraId="2388B8C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污水处理厂噪声设备及噪声源强情况见下表</w:t>
            </w:r>
            <w:r>
              <w:rPr>
                <w:rFonts w:hint="eastAsia"/>
                <w:color w:val="000000" w:themeColor="text1"/>
                <w:highlight w:val="none"/>
                <w:lang w:val="en-US" w:eastAsia="zh-CN"/>
                <w14:textFill>
                  <w14:solidFill>
                    <w14:schemeClr w14:val="tx1"/>
                  </w14:solidFill>
                </w14:textFill>
              </w:rPr>
              <w:t>4-12</w:t>
            </w:r>
            <w:r>
              <w:rPr>
                <w:rFonts w:hint="eastAsia"/>
                <w:color w:val="000000" w:themeColor="text1"/>
                <w:highlight w:val="none"/>
                <w14:textFill>
                  <w14:solidFill>
                    <w14:schemeClr w14:val="tx1"/>
                  </w14:solidFill>
                </w14:textFill>
              </w:rPr>
              <w:t>。</w:t>
            </w:r>
          </w:p>
          <w:p w14:paraId="50256E7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预测模式</w:t>
            </w:r>
          </w:p>
          <w:p w14:paraId="4A48D60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根据《环境影响评价技术导则 声环境》（HJ2.4-2021）中附录A推荐模式进行预测（无指向性点声源几何发散衰减）。根据声源的分布及噪声传播规律，拟建工程噪声源为固定声源，采用点声源模式进行预测，噪声经减震、隔声后考虑扩散衰减情况下，预测模式如下：</w:t>
            </w:r>
          </w:p>
          <w:p w14:paraId="10EBAE76">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Lp</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r</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=Lp</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r</w:t>
            </w:r>
            <w:r>
              <w:rPr>
                <w:rFonts w:hint="eastAsia"/>
                <w:color w:val="000000" w:themeColor="text1"/>
                <w:highlight w:val="none"/>
                <w:vertAlign w:val="subscript"/>
                <w14:textFill>
                  <w14:solidFill>
                    <w14:schemeClr w14:val="tx1"/>
                  </w14:solidFill>
                </w14:textFill>
              </w:rPr>
              <w:t>0</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—20lg</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r/r</w:t>
            </w:r>
            <w:r>
              <w:rPr>
                <w:rFonts w:hint="eastAsia"/>
                <w:color w:val="000000" w:themeColor="text1"/>
                <w:highlight w:val="none"/>
                <w:vertAlign w:val="subscript"/>
                <w14:textFill>
                  <w14:solidFill>
                    <w14:schemeClr w14:val="tx1"/>
                  </w14:solidFill>
                </w14:textFill>
              </w:rPr>
              <w:t>0</w:t>
            </w:r>
            <w:r>
              <w:rPr>
                <w:rFonts w:hint="eastAsia"/>
                <w:color w:val="000000" w:themeColor="text1"/>
                <w:highlight w:val="none"/>
                <w:lang w:eastAsia="zh-CN"/>
                <w14:textFill>
                  <w14:solidFill>
                    <w14:schemeClr w14:val="tx1"/>
                  </w14:solidFill>
                </w14:textFill>
              </w:rPr>
              <w:t>）</w:t>
            </w:r>
          </w:p>
          <w:p w14:paraId="14EA745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式中：Lp</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r</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—预测点处声压级，dB；</w:t>
            </w:r>
          </w:p>
          <w:p w14:paraId="3696171F">
            <w:pPr>
              <w:keepNext w:val="0"/>
              <w:keepLines w:val="0"/>
              <w:pageBreakBefore w:val="0"/>
              <w:widowControl w:val="0"/>
              <w:kinsoku/>
              <w:wordWrap/>
              <w:overflowPunct/>
              <w:topLinePunct w:val="0"/>
              <w:autoSpaceDE/>
              <w:autoSpaceDN/>
              <w:bidi w:val="0"/>
              <w:adjustRightInd w:val="0"/>
              <w:snapToGrid w:val="0"/>
              <w:ind w:firstLine="1200" w:firstLineChars="5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Lp</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r</w:t>
            </w:r>
            <w:r>
              <w:rPr>
                <w:rFonts w:hint="eastAsia"/>
                <w:color w:val="000000" w:themeColor="text1"/>
                <w:highlight w:val="none"/>
                <w:vertAlign w:val="subscript"/>
                <w14:textFill>
                  <w14:solidFill>
                    <w14:schemeClr w14:val="tx1"/>
                  </w14:solidFill>
                </w14:textFill>
              </w:rPr>
              <w:t>0</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—参考位置r</w:t>
            </w:r>
            <w:r>
              <w:rPr>
                <w:rFonts w:hint="eastAsia"/>
                <w:color w:val="000000" w:themeColor="text1"/>
                <w:highlight w:val="none"/>
                <w:vertAlign w:val="subscript"/>
                <w14:textFill>
                  <w14:solidFill>
                    <w14:schemeClr w14:val="tx1"/>
                  </w14:solidFill>
                </w14:textFill>
              </w:rPr>
              <w:t>0</w:t>
            </w:r>
            <w:r>
              <w:rPr>
                <w:rFonts w:hint="eastAsia"/>
                <w:color w:val="000000" w:themeColor="text1"/>
                <w:highlight w:val="none"/>
                <w14:textFill>
                  <w14:solidFill>
                    <w14:schemeClr w14:val="tx1"/>
                  </w14:solidFill>
                </w14:textFill>
              </w:rPr>
              <w:t>处的声压级，dB；</w:t>
            </w:r>
          </w:p>
          <w:p w14:paraId="165D2025">
            <w:pPr>
              <w:keepNext w:val="0"/>
              <w:keepLines w:val="0"/>
              <w:pageBreakBefore w:val="0"/>
              <w:widowControl w:val="0"/>
              <w:kinsoku/>
              <w:wordWrap/>
              <w:overflowPunct/>
              <w:topLinePunct w:val="0"/>
              <w:autoSpaceDE/>
              <w:autoSpaceDN/>
              <w:bidi w:val="0"/>
              <w:adjustRightInd w:val="0"/>
              <w:snapToGrid w:val="0"/>
              <w:ind w:firstLine="1200" w:firstLineChars="5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r—预测点距声源的距离，m；</w:t>
            </w:r>
          </w:p>
          <w:p w14:paraId="3F900919">
            <w:pPr>
              <w:keepNext w:val="0"/>
              <w:keepLines w:val="0"/>
              <w:pageBreakBefore w:val="0"/>
              <w:widowControl w:val="0"/>
              <w:kinsoku/>
              <w:wordWrap/>
              <w:overflowPunct/>
              <w:topLinePunct w:val="0"/>
              <w:autoSpaceDE/>
              <w:autoSpaceDN/>
              <w:bidi w:val="0"/>
              <w:adjustRightInd w:val="0"/>
              <w:snapToGrid w:val="0"/>
              <w:ind w:firstLine="1200" w:firstLineChars="5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r</w:t>
            </w:r>
            <w:r>
              <w:rPr>
                <w:rFonts w:hint="eastAsia"/>
                <w:color w:val="000000" w:themeColor="text1"/>
                <w:highlight w:val="none"/>
                <w:vertAlign w:val="subscript"/>
                <w14:textFill>
                  <w14:solidFill>
                    <w14:schemeClr w14:val="tx1"/>
                  </w14:solidFill>
                </w14:textFill>
              </w:rPr>
              <w:t>0</w:t>
            </w:r>
            <w:r>
              <w:rPr>
                <w:rFonts w:hint="eastAsia"/>
                <w:color w:val="000000" w:themeColor="text1"/>
                <w:highlight w:val="none"/>
                <w14:textFill>
                  <w14:solidFill>
                    <w14:schemeClr w14:val="tx1"/>
                  </w14:solidFill>
                </w14:textFill>
              </w:rPr>
              <w:t>—参考位置距声源的距离，m。</w:t>
            </w:r>
          </w:p>
          <w:p w14:paraId="318ABAE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多点源对计算点的影响采用噪声源叠加模式：</w:t>
            </w:r>
          </w:p>
          <w:p w14:paraId="29AE536D">
            <w:pPr>
              <w:keepNext w:val="0"/>
              <w:keepLines w:val="0"/>
              <w:widowControl/>
              <w:suppressLineNumbers w:val="0"/>
              <w:jc w:val="center"/>
              <w:rPr>
                <w:color w:val="000000" w:themeColor="text1"/>
                <w:highlight w:val="none"/>
                <w14:textFill>
                  <w14:solidFill>
                    <w14:schemeClr w14:val="tx1"/>
                  </w14:solidFill>
                </w14:textFill>
              </w:rPr>
            </w:pPr>
            <w:r>
              <w:rPr>
                <w:rFonts w:hint="default" w:ascii="Times New Roman" w:hAnsi="Times New Roman" w:eastAsia="宋体" w:cs="Times New Roman"/>
                <w:i/>
                <w:iCs/>
                <w:color w:val="000000" w:themeColor="text1"/>
                <w:kern w:val="0"/>
                <w:sz w:val="20"/>
                <w:szCs w:val="20"/>
                <w:highlight w:val="none"/>
                <w:lang w:val="en-US" w:eastAsia="zh-CN" w:bidi="ar"/>
                <w14:textFill>
                  <w14:solidFill>
                    <w14:schemeClr w14:val="tx1"/>
                  </w14:solidFill>
                </w14:textFill>
              </w:rPr>
              <w:t>L</w:t>
            </w:r>
            <w:r>
              <w:rPr>
                <w:rFonts w:hint="default" w:ascii="Times New Roman" w:hAnsi="Times New Roman" w:eastAsia="宋体" w:cs="Times New Roman"/>
                <w:i/>
                <w:iCs/>
                <w:color w:val="000000" w:themeColor="text1"/>
                <w:kern w:val="0"/>
                <w:sz w:val="13"/>
                <w:szCs w:val="13"/>
                <w:highlight w:val="none"/>
                <w:lang w:val="en-US" w:eastAsia="zh-CN" w:bidi="ar"/>
                <w14:textFill>
                  <w14:solidFill>
                    <w14:schemeClr w14:val="tx1"/>
                  </w14:solidFill>
                </w14:textFill>
              </w:rPr>
              <w:t>p</w:t>
            </w:r>
            <w:r>
              <w:rPr>
                <w:rFonts w:hint="default" w:ascii="Times New Roman" w:hAnsi="Times New Roman" w:eastAsia="宋体" w:cs="Times New Roman"/>
                <w:color w:val="000000" w:themeColor="text1"/>
                <w:kern w:val="0"/>
                <w:sz w:val="20"/>
                <w:szCs w:val="20"/>
                <w:highlight w:val="none"/>
                <w:lang w:val="en-US" w:eastAsia="zh-CN" w:bidi="ar"/>
                <w14:textFill>
                  <w14:solidFill>
                    <w14:schemeClr w14:val="tx1"/>
                  </w14:solidFill>
                </w14:textFill>
              </w:rPr>
              <w:t>=10lg</w:t>
            </w:r>
            <w:r>
              <w:rPr>
                <w:rFonts w:hint="eastAsia" w:ascii="宋体" w:hAnsi="宋体" w:eastAsia="宋体" w:cs="宋体"/>
                <w:color w:val="000000" w:themeColor="text1"/>
                <w:kern w:val="0"/>
                <w:sz w:val="20"/>
                <w:szCs w:val="20"/>
                <w:highlight w:val="none"/>
                <w:lang w:val="en-US" w:eastAsia="zh-CN" w:bidi="ar"/>
                <w14:textFill>
                  <w14:solidFill>
                    <w14:schemeClr w14:val="tx1"/>
                  </w14:solidFill>
                </w14:textFill>
              </w:rPr>
              <w:t>（</w:t>
            </w:r>
            <m:oMath>
              <m:nary>
                <m:naryPr>
                  <m:chr m:val="∑"/>
                  <m:grow m:val="1"/>
                  <m:limLoc m:val="undOvr"/>
                  <m:ctrlPr>
                    <w:rPr>
                      <w:rFonts w:ascii="Cambria Math" w:hAnsi="Cambria Math" w:cs="宋体"/>
                      <w:i/>
                      <w:color w:val="000000" w:themeColor="text1"/>
                      <w:kern w:val="0"/>
                      <w:sz w:val="20"/>
                      <w:szCs w:val="20"/>
                      <w:highlight w:val="none"/>
                      <w:lang w:val="en-US" w:bidi="ar"/>
                      <w14:textFill>
                        <w14:solidFill>
                          <w14:schemeClr w14:val="tx1"/>
                        </w14:solidFill>
                      </w14:textFill>
                    </w:rPr>
                  </m:ctrlPr>
                </m:naryPr>
                <m:sub>
                  <m:r>
                    <m:rPr/>
                    <w:rPr>
                      <w:rFonts w:hint="default" w:ascii="Cambria Math" w:hAnsi="Cambria Math" w:cs="宋体"/>
                      <w:color w:val="000000" w:themeColor="text1"/>
                      <w:kern w:val="0"/>
                      <w:sz w:val="20"/>
                      <w:szCs w:val="20"/>
                      <w:highlight w:val="none"/>
                      <w:lang w:val="en-US" w:eastAsia="zh-CN" w:bidi="ar"/>
                      <w14:textFill>
                        <w14:solidFill>
                          <w14:schemeClr w14:val="tx1"/>
                        </w14:solidFill>
                      </w14:textFill>
                    </w:rPr>
                    <m:t>i</m:t>
                  </m:r>
                  <m:r>
                    <m:rPr/>
                    <w:rPr>
                      <w:rFonts w:ascii="Cambria Math" w:hAnsi="Cambria Math" w:cs="宋体"/>
                      <w:color w:val="000000" w:themeColor="text1"/>
                      <w:kern w:val="0"/>
                      <w:sz w:val="20"/>
                      <w:szCs w:val="20"/>
                      <w:highlight w:val="none"/>
                      <w:lang w:val="en-US" w:bidi="ar"/>
                      <w14:textFill>
                        <w14:solidFill>
                          <w14:schemeClr w14:val="tx1"/>
                        </w14:solidFill>
                      </w14:textFill>
                    </w:rPr>
                    <m:t>=</m:t>
                  </m:r>
                  <m:r>
                    <m:rPr/>
                    <w:rPr>
                      <w:rFonts w:hint="default" w:ascii="Cambria Math" w:hAnsi="Cambria Math" w:cs="宋体"/>
                      <w:color w:val="000000" w:themeColor="text1"/>
                      <w:kern w:val="0"/>
                      <w:sz w:val="20"/>
                      <w:szCs w:val="20"/>
                      <w:highlight w:val="none"/>
                      <w:lang w:val="en-US" w:eastAsia="zh-CN" w:bidi="ar"/>
                      <w14:textFill>
                        <w14:solidFill>
                          <w14:schemeClr w14:val="tx1"/>
                        </w14:solidFill>
                      </w14:textFill>
                    </w:rPr>
                    <m:t>1</m:t>
                  </m:r>
                  <m:ctrlPr>
                    <w:rPr>
                      <w:rFonts w:ascii="Cambria Math" w:hAnsi="Cambria Math" w:cs="宋体"/>
                      <w:i/>
                      <w:color w:val="000000" w:themeColor="text1"/>
                      <w:kern w:val="0"/>
                      <w:sz w:val="20"/>
                      <w:szCs w:val="20"/>
                      <w:highlight w:val="none"/>
                      <w:lang w:val="en-US" w:bidi="ar"/>
                      <w14:textFill>
                        <w14:solidFill>
                          <w14:schemeClr w14:val="tx1"/>
                        </w14:solidFill>
                      </w14:textFill>
                    </w:rPr>
                  </m:ctrlPr>
                </m:sub>
                <m:sup>
                  <m:r>
                    <m:rPr/>
                    <w:rPr>
                      <w:rFonts w:ascii="Cambria Math" w:hAnsi="Cambria Math" w:cs="宋体"/>
                      <w:color w:val="000000" w:themeColor="text1"/>
                      <w:kern w:val="0"/>
                      <w:sz w:val="20"/>
                      <w:szCs w:val="20"/>
                      <w:highlight w:val="none"/>
                      <w:lang w:val="en-US" w:bidi="ar"/>
                      <w14:textFill>
                        <w14:solidFill>
                          <w14:schemeClr w14:val="tx1"/>
                        </w14:solidFill>
                      </w14:textFill>
                    </w:rPr>
                    <m:t>n</m:t>
                  </m:r>
                  <m:ctrlPr>
                    <w:rPr>
                      <w:rFonts w:ascii="Cambria Math" w:hAnsi="Cambria Math" w:cs="宋体"/>
                      <w:i/>
                      <w:color w:val="000000" w:themeColor="text1"/>
                      <w:kern w:val="0"/>
                      <w:sz w:val="20"/>
                      <w:szCs w:val="20"/>
                      <w:highlight w:val="none"/>
                      <w:lang w:val="en-US" w:bidi="ar"/>
                      <w14:textFill>
                        <w14:solidFill>
                          <w14:schemeClr w14:val="tx1"/>
                        </w14:solidFill>
                      </w14:textFill>
                    </w:rPr>
                  </m:ctrlPr>
                </m:sup>
                <m:e>
                  <m:sSup>
                    <m:sSupPr>
                      <m:ctrlPr>
                        <w:rPr>
                          <w:rFonts w:ascii="Cambria Math" w:hAnsi="Cambria Math" w:cs="宋体"/>
                          <w:i w:val="0"/>
                          <w:color w:val="000000" w:themeColor="text1"/>
                          <w:kern w:val="0"/>
                          <w:sz w:val="20"/>
                          <w:szCs w:val="20"/>
                          <w:highlight w:val="none"/>
                          <w:lang w:val="en-US" w:bidi="ar"/>
                          <w14:textFill>
                            <w14:solidFill>
                              <w14:schemeClr w14:val="tx1"/>
                            </w14:solidFill>
                          </w14:textFill>
                        </w:rPr>
                      </m:ctrlPr>
                    </m:sSupPr>
                    <m:e>
                      <m:r>
                        <m:rPr>
                          <m:sty m:val="p"/>
                        </m:rPr>
                        <w:rPr>
                          <w:rFonts w:hint="default" w:ascii="Times New Roman" w:hAnsi="Times New Roman" w:eastAsia="宋体" w:cs="Times New Roman"/>
                          <w:color w:val="000000" w:themeColor="text1"/>
                          <w:kern w:val="0"/>
                          <w:sz w:val="23"/>
                          <w:szCs w:val="23"/>
                          <w:highlight w:val="none"/>
                          <w:lang w:val="en-US" w:eastAsia="zh-CN" w:bidi="ar"/>
                          <w14:textFill>
                            <w14:solidFill>
                              <w14:schemeClr w14:val="tx1"/>
                            </w14:solidFill>
                          </w14:textFill>
                        </w:rPr>
                        <m:t>10</m:t>
                      </m:r>
                      <m:ctrlPr>
                        <w:rPr>
                          <w:rFonts w:ascii="Cambria Math" w:hAnsi="Cambria Math" w:cs="宋体"/>
                          <w:i w:val="0"/>
                          <w:color w:val="000000" w:themeColor="text1"/>
                          <w:kern w:val="0"/>
                          <w:sz w:val="20"/>
                          <w:szCs w:val="20"/>
                          <w:highlight w:val="none"/>
                          <w:lang w:val="en-US" w:bidi="ar"/>
                          <w14:textFill>
                            <w14:solidFill>
                              <w14:schemeClr w14:val="tx1"/>
                            </w14:solidFill>
                          </w14:textFill>
                        </w:rPr>
                      </m:ctrlPr>
                    </m:e>
                    <m:sup>
                      <m:r>
                        <m:rPr>
                          <m:sty m:val="p"/>
                        </m:rPr>
                        <w:rPr>
                          <w:rFonts w:hint="default" w:ascii="Times New Roman" w:hAnsi="Times New Roman" w:eastAsia="宋体" w:cs="Times New Roman"/>
                          <w:color w:val="000000" w:themeColor="text1"/>
                          <w:kern w:val="0"/>
                          <w:sz w:val="24"/>
                          <w:szCs w:val="24"/>
                          <w:highlight w:val="none"/>
                          <w:vertAlign w:val="superscript"/>
                          <w:lang w:val="en-US" w:eastAsia="zh-CN" w:bidi="ar"/>
                          <w14:textFill>
                            <w14:solidFill>
                              <w14:schemeClr w14:val="tx1"/>
                            </w14:solidFill>
                          </w14:textFill>
                        </w:rPr>
                        <m:t>0.1</m:t>
                      </m:r>
                      <m:r>
                        <m:rPr/>
                        <w:rPr>
                          <w:rFonts w:hint="default" w:ascii="Times New Roman" w:hAnsi="Times New Roman" w:eastAsia="宋体" w:cs="Times New Roman"/>
                          <w:color w:val="000000" w:themeColor="text1"/>
                          <w:kern w:val="0"/>
                          <w:sz w:val="24"/>
                          <w:szCs w:val="24"/>
                          <w:highlight w:val="none"/>
                          <w:vertAlign w:val="superscript"/>
                          <w:lang w:val="en-US" w:eastAsia="zh-CN" w:bidi="ar"/>
                          <w14:textFill>
                            <w14:solidFill>
                              <w14:schemeClr w14:val="tx1"/>
                            </w14:solidFill>
                          </w14:textFill>
                        </w:rPr>
                        <m:t>Li</m:t>
                      </m:r>
                      <m:ctrlPr>
                        <w:rPr>
                          <w:rFonts w:ascii="Cambria Math" w:hAnsi="Cambria Math" w:cs="宋体"/>
                          <w:i w:val="0"/>
                          <w:color w:val="000000" w:themeColor="text1"/>
                          <w:kern w:val="0"/>
                          <w:sz w:val="20"/>
                          <w:szCs w:val="20"/>
                          <w:highlight w:val="none"/>
                          <w:lang w:val="en-US" w:bidi="ar"/>
                          <w14:textFill>
                            <w14:solidFill>
                              <w14:schemeClr w14:val="tx1"/>
                            </w14:solidFill>
                          </w14:textFill>
                        </w:rPr>
                      </m:ctrlPr>
                    </m:sup>
                  </m:sSup>
                  <m:ctrlPr>
                    <w:rPr>
                      <w:rFonts w:ascii="Cambria Math" w:hAnsi="Cambria Math" w:cs="宋体"/>
                      <w:i/>
                      <w:color w:val="000000" w:themeColor="text1"/>
                      <w:kern w:val="0"/>
                      <w:sz w:val="20"/>
                      <w:szCs w:val="20"/>
                      <w:highlight w:val="none"/>
                      <w:lang w:val="en-US" w:bidi="ar"/>
                      <w14:textFill>
                        <w14:solidFill>
                          <w14:schemeClr w14:val="tx1"/>
                        </w14:solidFill>
                      </w14:textFill>
                    </w:rPr>
                  </m:ctrlPr>
                </m:e>
              </m:nary>
            </m:oMath>
            <w:r>
              <w:rPr>
                <w:rFonts w:hint="eastAsia" w:ascii="宋体" w:hAnsi="宋体" w:eastAsia="宋体" w:cs="宋体"/>
                <w:color w:val="000000" w:themeColor="text1"/>
                <w:kern w:val="0"/>
                <w:sz w:val="20"/>
                <w:szCs w:val="20"/>
                <w:highlight w:val="none"/>
                <w:lang w:val="en-US" w:eastAsia="zh-CN" w:bidi="ar"/>
                <w14:textFill>
                  <w14:solidFill>
                    <w14:schemeClr w14:val="tx1"/>
                  </w14:solidFill>
                </w14:textFill>
              </w:rPr>
              <w:t>）</w:t>
            </w:r>
          </w:p>
          <w:p w14:paraId="6381F64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式中：Li——第i个声源的声压级，dB；</w:t>
            </w:r>
          </w:p>
          <w:p w14:paraId="7FFF16A0">
            <w:pPr>
              <w:keepNext w:val="0"/>
              <w:keepLines w:val="0"/>
              <w:pageBreakBefore w:val="0"/>
              <w:widowControl w:val="0"/>
              <w:kinsoku/>
              <w:wordWrap/>
              <w:overflowPunct/>
              <w:topLinePunct w:val="0"/>
              <w:autoSpaceDE/>
              <w:autoSpaceDN/>
              <w:bidi w:val="0"/>
              <w:adjustRightInd w:val="0"/>
              <w:snapToGrid w:val="0"/>
              <w:ind w:firstLine="1200" w:firstLineChars="5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Lp——某点噪声总叠加声压级，dB；</w:t>
            </w:r>
          </w:p>
          <w:p w14:paraId="055B4D9B">
            <w:pPr>
              <w:keepNext w:val="0"/>
              <w:keepLines w:val="0"/>
              <w:pageBreakBefore w:val="0"/>
              <w:widowControl w:val="0"/>
              <w:kinsoku/>
              <w:wordWrap/>
              <w:overflowPunct/>
              <w:topLinePunct w:val="0"/>
              <w:autoSpaceDE/>
              <w:autoSpaceDN/>
              <w:bidi w:val="0"/>
              <w:adjustRightInd w:val="0"/>
              <w:snapToGrid w:val="0"/>
              <w:ind w:firstLine="1200" w:firstLineChars="5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n——声源总数。</w:t>
            </w:r>
          </w:p>
          <w:p w14:paraId="13CBA1D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预测结果</w:t>
            </w:r>
          </w:p>
          <w:p w14:paraId="1549BA2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根据点声源衰减模式、多点源叠加模式以及与现状背景值叠加后的预测值对项目厂界噪声影响预测结果如下表</w:t>
            </w:r>
            <w:r>
              <w:rPr>
                <w:rFonts w:hint="eastAsia"/>
                <w:color w:val="000000" w:themeColor="text1"/>
                <w:highlight w:val="none"/>
                <w:lang w:val="en-US" w:eastAsia="zh-CN"/>
                <w14:textFill>
                  <w14:solidFill>
                    <w14:schemeClr w14:val="tx1"/>
                  </w14:solidFill>
                </w14:textFill>
              </w:rPr>
              <w:t>4-13。</w:t>
            </w:r>
          </w:p>
          <w:p w14:paraId="3C87A1E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由上表可以看出，根据预测结果，项目东、南、西、北面厂界处噪声昼夜预测值均能达到《工业企业厂界环境噪声排放标准》（GB12348-2008）中2类标准限值。</w:t>
            </w:r>
            <w:r>
              <w:rPr>
                <w:rFonts w:hint="eastAsia"/>
                <w:color w:val="000000" w:themeColor="text1"/>
                <w:highlight w:val="none"/>
                <w:lang w:val="en-US" w:eastAsia="zh-CN"/>
                <w14:textFill>
                  <w14:solidFill>
                    <w14:schemeClr w14:val="tx1"/>
                  </w14:solidFill>
                </w14:textFill>
              </w:rPr>
              <w:t>南</w:t>
            </w:r>
            <w:r>
              <w:rPr>
                <w:rFonts w:hint="eastAsia"/>
                <w:color w:val="000000" w:themeColor="text1"/>
                <w:highlight w:val="none"/>
                <w14:textFill>
                  <w14:solidFill>
                    <w14:schemeClr w14:val="tx1"/>
                  </w14:solidFill>
                </w14:textFill>
              </w:rPr>
              <w:t>厂界噪声预测值相对较高，是因为污水处理设施距离</w:t>
            </w:r>
            <w:r>
              <w:rPr>
                <w:rFonts w:hint="eastAsia"/>
                <w:color w:val="000000" w:themeColor="text1"/>
                <w:highlight w:val="none"/>
                <w:lang w:val="en-US" w:eastAsia="zh-CN"/>
                <w14:textFill>
                  <w14:solidFill>
                    <w14:schemeClr w14:val="tx1"/>
                  </w14:solidFill>
                </w14:textFill>
              </w:rPr>
              <w:t>南</w:t>
            </w:r>
            <w:r>
              <w:rPr>
                <w:rFonts w:hint="eastAsia"/>
                <w:color w:val="000000" w:themeColor="text1"/>
                <w:highlight w:val="none"/>
                <w14:textFill>
                  <w14:solidFill>
                    <w14:schemeClr w14:val="tx1"/>
                  </w14:solidFill>
                </w14:textFill>
              </w:rPr>
              <w:t>厂界较近，</w:t>
            </w:r>
            <w:r>
              <w:rPr>
                <w:rFonts w:hint="eastAsia"/>
                <w:color w:val="000000" w:themeColor="text1"/>
                <w:highlight w:val="none"/>
                <w:lang w:val="en-US" w:eastAsia="zh-CN"/>
                <w14:textFill>
                  <w14:solidFill>
                    <w14:schemeClr w14:val="tx1"/>
                  </w14:solidFill>
                </w14:textFill>
              </w:rPr>
              <w:t>南</w:t>
            </w:r>
            <w:r>
              <w:rPr>
                <w:rFonts w:hint="eastAsia"/>
                <w:color w:val="000000" w:themeColor="text1"/>
                <w:highlight w:val="none"/>
                <w14:textFill>
                  <w14:solidFill>
                    <w14:schemeClr w14:val="tx1"/>
                  </w14:solidFill>
                </w14:textFill>
              </w:rPr>
              <w:t>厂界外为</w:t>
            </w:r>
            <w:r>
              <w:rPr>
                <w:rFonts w:hint="eastAsia"/>
                <w:color w:val="000000" w:themeColor="text1"/>
                <w:highlight w:val="none"/>
                <w:lang w:val="en-US" w:eastAsia="zh-CN"/>
                <w14:textFill>
                  <w14:solidFill>
                    <w14:schemeClr w14:val="tx1"/>
                  </w14:solidFill>
                </w14:textFill>
              </w:rPr>
              <w:t>原德正化工（已搬迁）</w:t>
            </w:r>
            <w:r>
              <w:rPr>
                <w:rFonts w:hint="eastAsia"/>
                <w:color w:val="000000" w:themeColor="text1"/>
                <w:highlight w:val="none"/>
                <w14:textFill>
                  <w14:solidFill>
                    <w14:schemeClr w14:val="tx1"/>
                  </w14:solidFill>
                </w14:textFill>
              </w:rPr>
              <w:t>，无声环境保护目标，对声环境影响较小，因此污水处理厂的运营对声环境质量影响较小。</w:t>
            </w:r>
          </w:p>
          <w:p w14:paraId="5B8D6C3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监测要求</w:t>
            </w:r>
          </w:p>
          <w:p w14:paraId="41B7B20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项目运营期监测计划见下表：</w:t>
            </w:r>
          </w:p>
          <w:p w14:paraId="6FEA7EFF">
            <w:pPr>
              <w:pStyle w:val="20"/>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表4-14  项目噪声监测方案</w:t>
            </w:r>
          </w:p>
          <w:tbl>
            <w:tblPr>
              <w:tblStyle w:val="13"/>
              <w:tblW w:w="5000"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79"/>
              <w:gridCol w:w="1395"/>
              <w:gridCol w:w="2764"/>
              <w:gridCol w:w="2910"/>
            </w:tblGrid>
            <w:tr w14:paraId="011502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66" w:type="pct"/>
                  <w:tcBorders>
                    <w:tl2br w:val="nil"/>
                    <w:tr2bl w:val="nil"/>
                  </w:tcBorders>
                  <w:vAlign w:val="center"/>
                </w:tcPr>
                <w:p w14:paraId="409D70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aj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ajorEastAsia"/>
                      <w:color w:val="000000" w:themeColor="text1"/>
                      <w:sz w:val="21"/>
                      <w:szCs w:val="21"/>
                      <w:highlight w:val="none"/>
                      <w:vertAlign w:val="baseline"/>
                      <w:lang w:val="en-US" w:eastAsia="zh-CN"/>
                      <w14:textFill>
                        <w14:solidFill>
                          <w14:schemeClr w14:val="tx1"/>
                        </w14:solidFill>
                      </w14:textFill>
                    </w:rPr>
                    <w:t>监测点位</w:t>
                  </w:r>
                </w:p>
              </w:tc>
              <w:tc>
                <w:tcPr>
                  <w:tcW w:w="835" w:type="pct"/>
                  <w:tcBorders>
                    <w:tl2br w:val="nil"/>
                    <w:tr2bl w:val="nil"/>
                  </w:tcBorders>
                  <w:vAlign w:val="center"/>
                </w:tcPr>
                <w:p w14:paraId="19D006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aj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ajorEastAsia"/>
                      <w:color w:val="000000" w:themeColor="text1"/>
                      <w:sz w:val="21"/>
                      <w:szCs w:val="21"/>
                      <w:highlight w:val="none"/>
                      <w:vertAlign w:val="baseline"/>
                      <w:lang w:val="en-US" w:eastAsia="zh-CN"/>
                      <w14:textFill>
                        <w14:solidFill>
                          <w14:schemeClr w14:val="tx1"/>
                        </w14:solidFill>
                      </w14:textFill>
                    </w:rPr>
                    <w:t>监测指标</w:t>
                  </w:r>
                </w:p>
              </w:tc>
              <w:tc>
                <w:tcPr>
                  <w:tcW w:w="1655" w:type="pct"/>
                  <w:tcBorders>
                    <w:tl2br w:val="nil"/>
                    <w:tr2bl w:val="nil"/>
                  </w:tcBorders>
                  <w:vAlign w:val="center"/>
                </w:tcPr>
                <w:p w14:paraId="55EFB4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aj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ajorEastAsia"/>
                      <w:color w:val="000000" w:themeColor="text1"/>
                      <w:sz w:val="21"/>
                      <w:szCs w:val="21"/>
                      <w:highlight w:val="none"/>
                      <w:vertAlign w:val="baseline"/>
                      <w:lang w:val="en-US" w:eastAsia="zh-CN"/>
                      <w14:textFill>
                        <w14:solidFill>
                          <w14:schemeClr w14:val="tx1"/>
                        </w14:solidFill>
                      </w14:textFill>
                    </w:rPr>
                    <w:t>监测频次</w:t>
                  </w:r>
                </w:p>
              </w:tc>
              <w:tc>
                <w:tcPr>
                  <w:tcW w:w="1742" w:type="pct"/>
                  <w:tcBorders>
                    <w:tl2br w:val="nil"/>
                    <w:tr2bl w:val="nil"/>
                  </w:tcBorders>
                  <w:vAlign w:val="center"/>
                </w:tcPr>
                <w:p w14:paraId="235151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aj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ajorEastAsia"/>
                      <w:color w:val="000000" w:themeColor="text1"/>
                      <w:sz w:val="21"/>
                      <w:szCs w:val="21"/>
                      <w:highlight w:val="none"/>
                      <w:vertAlign w:val="baseline"/>
                      <w:lang w:val="en-US" w:eastAsia="zh-CN"/>
                      <w14:textFill>
                        <w14:solidFill>
                          <w14:schemeClr w14:val="tx1"/>
                        </w14:solidFill>
                      </w14:textFill>
                    </w:rPr>
                    <w:t>执行标准</w:t>
                  </w:r>
                </w:p>
              </w:tc>
            </w:tr>
            <w:tr w14:paraId="1B2490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66" w:type="pct"/>
                  <w:tcBorders>
                    <w:tl2br w:val="nil"/>
                    <w:tr2bl w:val="nil"/>
                  </w:tcBorders>
                  <w:vAlign w:val="center"/>
                </w:tcPr>
                <w:p w14:paraId="628BCE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aj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ajorEastAsia"/>
                      <w:color w:val="000000" w:themeColor="text1"/>
                      <w:sz w:val="21"/>
                      <w:szCs w:val="21"/>
                      <w:highlight w:val="none"/>
                      <w:vertAlign w:val="baseline"/>
                      <w:lang w:val="en-US" w:eastAsia="zh-CN"/>
                      <w14:textFill>
                        <w14:solidFill>
                          <w14:schemeClr w14:val="tx1"/>
                        </w14:solidFill>
                      </w14:textFill>
                    </w:rPr>
                    <w:t>四周厂界</w:t>
                  </w:r>
                </w:p>
              </w:tc>
              <w:tc>
                <w:tcPr>
                  <w:tcW w:w="835" w:type="pct"/>
                  <w:tcBorders>
                    <w:tl2br w:val="nil"/>
                    <w:tr2bl w:val="nil"/>
                  </w:tcBorders>
                  <w:vAlign w:val="center"/>
                </w:tcPr>
                <w:p w14:paraId="09FD32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aj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ajorEastAsia"/>
                      <w:color w:val="000000" w:themeColor="text1"/>
                      <w:sz w:val="21"/>
                      <w:szCs w:val="21"/>
                      <w:highlight w:val="none"/>
                      <w:vertAlign w:val="baseline"/>
                      <w:lang w:val="en-US" w:eastAsia="zh-CN"/>
                      <w14:textFill>
                        <w14:solidFill>
                          <w14:schemeClr w14:val="tx1"/>
                        </w14:solidFill>
                      </w14:textFill>
                    </w:rPr>
                    <w:t>LepA（dB）</w:t>
                  </w:r>
                </w:p>
              </w:tc>
              <w:tc>
                <w:tcPr>
                  <w:tcW w:w="1655" w:type="pct"/>
                  <w:tcBorders>
                    <w:tl2br w:val="nil"/>
                    <w:tr2bl w:val="nil"/>
                  </w:tcBorders>
                  <w:vAlign w:val="center"/>
                </w:tcPr>
                <w:p w14:paraId="3A0AEF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aj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ajorEastAsia"/>
                      <w:color w:val="000000" w:themeColor="text1"/>
                      <w:sz w:val="21"/>
                      <w:szCs w:val="21"/>
                      <w:highlight w:val="none"/>
                      <w:vertAlign w:val="baseline"/>
                      <w:lang w:val="en-US" w:eastAsia="zh-CN"/>
                      <w14:textFill>
                        <w14:solidFill>
                          <w14:schemeClr w14:val="tx1"/>
                        </w14:solidFill>
                      </w14:textFill>
                    </w:rPr>
                    <w:t>每季度至少开展一次，昼、夜间各监测1次</w:t>
                  </w:r>
                </w:p>
              </w:tc>
              <w:tc>
                <w:tcPr>
                  <w:tcW w:w="1742" w:type="pct"/>
                  <w:tcBorders>
                    <w:tl2br w:val="nil"/>
                    <w:tr2bl w:val="nil"/>
                  </w:tcBorders>
                  <w:vAlign w:val="center"/>
                </w:tcPr>
                <w:p w14:paraId="4A4C4F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aj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ajorEastAsia"/>
                      <w:color w:val="000000" w:themeColor="text1"/>
                      <w:sz w:val="21"/>
                      <w:szCs w:val="21"/>
                      <w:highlight w:val="none"/>
                      <w:vertAlign w:val="baseline"/>
                      <w:lang w:val="en-US" w:eastAsia="zh-CN"/>
                      <w14:textFill>
                        <w14:solidFill>
                          <w14:schemeClr w14:val="tx1"/>
                        </w14:solidFill>
                      </w14:textFill>
                    </w:rPr>
                    <w:t>《工业企业厂界环境噪声排放标准》（GB12348-2008）2类</w:t>
                  </w:r>
                </w:p>
              </w:tc>
            </w:tr>
          </w:tbl>
          <w:p w14:paraId="1A2E1AF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p>
          <w:p w14:paraId="4D5A563D">
            <w:pPr>
              <w:keepNext w:val="0"/>
              <w:keepLines w:val="0"/>
              <w:pageBreakBefore w:val="0"/>
              <w:widowControl w:val="0"/>
              <w:kinsoku/>
              <w:wordWrap/>
              <w:overflowPunct/>
              <w:topLinePunct w:val="0"/>
              <w:autoSpaceDE/>
              <w:autoSpaceDN/>
              <w:bidi w:val="0"/>
              <w:adjustRightInd w:val="0"/>
              <w:snapToGrid w:val="0"/>
              <w:ind w:firstLine="440" w:firstLineChars="200"/>
              <w:textAlignment w:val="auto"/>
              <w:rPr>
                <w:rFonts w:ascii="宋体" w:hAnsi="宋体" w:cs="宋体"/>
                <w:bCs/>
                <w:color w:val="000000" w:themeColor="text1"/>
                <w:spacing w:val="-10"/>
                <w:szCs w:val="21"/>
                <w:highlight w:val="none"/>
                <w14:textFill>
                  <w14:solidFill>
                    <w14:schemeClr w14:val="tx1"/>
                  </w14:solidFill>
                </w14:textFill>
              </w:rPr>
            </w:pPr>
          </w:p>
        </w:tc>
      </w:tr>
    </w:tbl>
    <w:p w14:paraId="0C436AF3">
      <w:pPr>
        <w:rPr>
          <w:color w:val="000000" w:themeColor="text1"/>
          <w:highlight w:val="none"/>
          <w14:textFill>
            <w14:solidFill>
              <w14:schemeClr w14:val="tx1"/>
            </w14:solidFill>
          </w14:textFill>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1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8"/>
        <w:gridCol w:w="12669"/>
      </w:tblGrid>
      <w:tr w14:paraId="4C174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3" w:type="pct"/>
          </w:tcPr>
          <w:p w14:paraId="2D698500">
            <w:pPr>
              <w:rPr>
                <w:color w:val="000000" w:themeColor="text1"/>
                <w:highlight w:val="none"/>
                <w:vertAlign w:val="baseline"/>
                <w14:textFill>
                  <w14:solidFill>
                    <w14:schemeClr w14:val="tx1"/>
                  </w14:solidFill>
                </w14:textFill>
              </w:rPr>
            </w:pPr>
          </w:p>
        </w:tc>
        <w:tc>
          <w:tcPr>
            <w:tcW w:w="4706" w:type="pct"/>
          </w:tcPr>
          <w:p w14:paraId="51FC6025">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表4-12  污水处理厂噪声设备及源强情况一览表</w:t>
            </w:r>
          </w:p>
          <w:tbl>
            <w:tblPr>
              <w:tblStyle w:val="12"/>
              <w:tblW w:w="4997" w:type="pct"/>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15" w:type="dxa"/>
                <w:left w:w="15" w:type="dxa"/>
                <w:bottom w:w="15" w:type="dxa"/>
                <w:right w:w="15" w:type="dxa"/>
              </w:tblCellMar>
            </w:tblPr>
            <w:tblGrid>
              <w:gridCol w:w="508"/>
              <w:gridCol w:w="796"/>
              <w:gridCol w:w="782"/>
              <w:gridCol w:w="903"/>
              <w:gridCol w:w="2399"/>
              <w:gridCol w:w="877"/>
              <w:gridCol w:w="643"/>
              <w:gridCol w:w="641"/>
              <w:gridCol w:w="574"/>
              <w:gridCol w:w="1195"/>
              <w:gridCol w:w="1085"/>
              <w:gridCol w:w="782"/>
              <w:gridCol w:w="625"/>
              <w:gridCol w:w="606"/>
            </w:tblGrid>
            <w:tr w14:paraId="2347036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15" w:type="dxa"/>
                  <w:left w:w="15" w:type="dxa"/>
                  <w:bottom w:w="15" w:type="dxa"/>
                  <w:right w:w="15" w:type="dxa"/>
                </w:tblCellMar>
              </w:tblPrEx>
              <w:trPr>
                <w:trHeight w:val="23" w:hRule="atLeast"/>
              </w:trPr>
              <w:tc>
                <w:tcPr>
                  <w:tcW w:w="188" w:type="pct"/>
                  <w:vMerge w:val="restart"/>
                  <w:tcBorders>
                    <w:tl2br w:val="nil"/>
                    <w:tr2bl w:val="nil"/>
                  </w:tcBorders>
                  <w:shd w:val="clear" w:color="auto" w:fill="auto"/>
                  <w:tcMar>
                    <w:top w:w="120" w:type="dxa"/>
                    <w:left w:w="120" w:type="dxa"/>
                    <w:bottom w:w="120" w:type="dxa"/>
                    <w:right w:w="120" w:type="dxa"/>
                  </w:tcMar>
                  <w:vAlign w:val="center"/>
                </w:tcPr>
                <w:p w14:paraId="6BD4E19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序号</w:t>
                  </w:r>
                </w:p>
              </w:tc>
              <w:tc>
                <w:tcPr>
                  <w:tcW w:w="337" w:type="pct"/>
                  <w:vMerge w:val="restart"/>
                  <w:tcBorders>
                    <w:tl2br w:val="nil"/>
                    <w:tr2bl w:val="nil"/>
                  </w:tcBorders>
                  <w:shd w:val="clear" w:color="auto" w:fill="auto"/>
                  <w:tcMar>
                    <w:top w:w="120" w:type="dxa"/>
                    <w:left w:w="120" w:type="dxa"/>
                    <w:bottom w:w="120" w:type="dxa"/>
                    <w:right w:w="120" w:type="dxa"/>
                  </w:tcMar>
                  <w:vAlign w:val="center"/>
                </w:tcPr>
                <w:p w14:paraId="7BAFA0B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声源名称</w:t>
                  </w:r>
                </w:p>
              </w:tc>
              <w:tc>
                <w:tcPr>
                  <w:tcW w:w="322" w:type="pct"/>
                  <w:vMerge w:val="restart"/>
                  <w:tcBorders>
                    <w:tl2br w:val="nil"/>
                    <w:tr2bl w:val="nil"/>
                  </w:tcBorders>
                  <w:shd w:val="clear" w:color="auto" w:fill="auto"/>
                  <w:tcMar>
                    <w:top w:w="120" w:type="dxa"/>
                    <w:left w:w="120" w:type="dxa"/>
                    <w:bottom w:w="120" w:type="dxa"/>
                    <w:right w:w="120" w:type="dxa"/>
                  </w:tcMar>
                  <w:vAlign w:val="center"/>
                </w:tcPr>
                <w:p w14:paraId="32327FD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所在房间</w:t>
                  </w:r>
                </w:p>
              </w:tc>
              <w:tc>
                <w:tcPr>
                  <w:tcW w:w="389" w:type="pct"/>
                  <w:vMerge w:val="restart"/>
                  <w:tcBorders>
                    <w:tl2br w:val="nil"/>
                    <w:tr2bl w:val="nil"/>
                  </w:tcBorders>
                  <w:shd w:val="clear" w:color="auto" w:fill="auto"/>
                  <w:tcMar>
                    <w:top w:w="120" w:type="dxa"/>
                    <w:left w:w="120" w:type="dxa"/>
                    <w:bottom w:w="120" w:type="dxa"/>
                    <w:right w:w="120" w:type="dxa"/>
                  </w:tcMar>
                  <w:vAlign w:val="center"/>
                </w:tcPr>
                <w:p w14:paraId="2198AC3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声源类型</w:t>
                  </w:r>
                </w:p>
              </w:tc>
              <w:tc>
                <w:tcPr>
                  <w:tcW w:w="782" w:type="pct"/>
                  <w:vMerge w:val="restart"/>
                  <w:tcBorders>
                    <w:tl2br w:val="nil"/>
                    <w:tr2bl w:val="nil"/>
                  </w:tcBorders>
                  <w:shd w:val="clear" w:color="auto" w:fill="auto"/>
                  <w:tcMar>
                    <w:top w:w="120" w:type="dxa"/>
                    <w:left w:w="120" w:type="dxa"/>
                    <w:bottom w:w="120" w:type="dxa"/>
                    <w:right w:w="120" w:type="dxa"/>
                  </w:tcMar>
                  <w:vAlign w:val="center"/>
                </w:tcPr>
                <w:p w14:paraId="156F2D1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规格/型号</w:t>
                  </w:r>
                </w:p>
              </w:tc>
              <w:tc>
                <w:tcPr>
                  <w:tcW w:w="369" w:type="pct"/>
                  <w:vMerge w:val="restart"/>
                  <w:tcBorders>
                    <w:tl2br w:val="nil"/>
                    <w:tr2bl w:val="nil"/>
                  </w:tcBorders>
                  <w:shd w:val="clear" w:color="auto" w:fill="auto"/>
                  <w:tcMar>
                    <w:top w:w="120" w:type="dxa"/>
                    <w:left w:w="120" w:type="dxa"/>
                    <w:bottom w:w="120" w:type="dxa"/>
                    <w:right w:w="120" w:type="dxa"/>
                  </w:tcMar>
                  <w:vAlign w:val="center"/>
                </w:tcPr>
                <w:p w14:paraId="36C99D0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数量（台/套）</w:t>
                  </w:r>
                </w:p>
              </w:tc>
              <w:tc>
                <w:tcPr>
                  <w:tcW w:w="792" w:type="pct"/>
                  <w:gridSpan w:val="3"/>
                  <w:tcBorders>
                    <w:tl2br w:val="nil"/>
                    <w:tr2bl w:val="nil"/>
                  </w:tcBorders>
                  <w:shd w:val="clear" w:color="auto" w:fill="auto"/>
                  <w:tcMar>
                    <w:top w:w="120" w:type="dxa"/>
                    <w:left w:w="120" w:type="dxa"/>
                    <w:bottom w:w="120" w:type="dxa"/>
                    <w:right w:w="120" w:type="dxa"/>
                  </w:tcMar>
                  <w:vAlign w:val="center"/>
                </w:tcPr>
                <w:p w14:paraId="79A92AA5">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声源位置相对坐标（m）</w:t>
                  </w:r>
                </w:p>
              </w:tc>
              <w:tc>
                <w:tcPr>
                  <w:tcW w:w="502" w:type="pct"/>
                  <w:tcBorders>
                    <w:tl2br w:val="nil"/>
                    <w:tr2bl w:val="nil"/>
                  </w:tcBorders>
                  <w:shd w:val="clear" w:color="auto" w:fill="auto"/>
                  <w:tcMar>
                    <w:top w:w="120" w:type="dxa"/>
                    <w:left w:w="120" w:type="dxa"/>
                    <w:bottom w:w="120" w:type="dxa"/>
                    <w:right w:w="120" w:type="dxa"/>
                  </w:tcMar>
                  <w:vAlign w:val="center"/>
                </w:tcPr>
                <w:p w14:paraId="3E00EF0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声源源强（距声源1m）</w:t>
                  </w:r>
                </w:p>
              </w:tc>
              <w:tc>
                <w:tcPr>
                  <w:tcW w:w="453" w:type="pct"/>
                  <w:vMerge w:val="restart"/>
                  <w:tcBorders>
                    <w:tl2br w:val="nil"/>
                    <w:tr2bl w:val="nil"/>
                  </w:tcBorders>
                  <w:shd w:val="clear" w:color="auto" w:fill="auto"/>
                  <w:tcMar>
                    <w:top w:w="120" w:type="dxa"/>
                    <w:left w:w="120" w:type="dxa"/>
                    <w:bottom w:w="120" w:type="dxa"/>
                    <w:right w:w="120" w:type="dxa"/>
                  </w:tcMar>
                  <w:vAlign w:val="center"/>
                </w:tcPr>
                <w:p w14:paraId="120947A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隔声措施</w:t>
                  </w:r>
                </w:p>
              </w:tc>
              <w:tc>
                <w:tcPr>
                  <w:tcW w:w="331" w:type="pct"/>
                  <w:vMerge w:val="restart"/>
                  <w:tcBorders>
                    <w:tl2br w:val="nil"/>
                    <w:tr2bl w:val="nil"/>
                  </w:tcBorders>
                  <w:shd w:val="clear" w:color="auto" w:fill="auto"/>
                  <w:tcMar>
                    <w:top w:w="120" w:type="dxa"/>
                    <w:left w:w="120" w:type="dxa"/>
                    <w:bottom w:w="120" w:type="dxa"/>
                    <w:right w:w="120" w:type="dxa"/>
                  </w:tcMar>
                  <w:vAlign w:val="center"/>
                </w:tcPr>
                <w:p w14:paraId="722B311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室内平均吸声系数</w:t>
                  </w:r>
                </w:p>
              </w:tc>
              <w:tc>
                <w:tcPr>
                  <w:tcW w:w="268" w:type="pct"/>
                  <w:vMerge w:val="restart"/>
                  <w:tcBorders>
                    <w:tl2br w:val="nil"/>
                    <w:tr2bl w:val="nil"/>
                  </w:tcBorders>
                  <w:shd w:val="clear" w:color="auto" w:fill="auto"/>
                  <w:tcMar>
                    <w:top w:w="120" w:type="dxa"/>
                    <w:left w:w="120" w:type="dxa"/>
                    <w:bottom w:w="120" w:type="dxa"/>
                    <w:right w:w="120" w:type="dxa"/>
                  </w:tcMar>
                  <w:vAlign w:val="center"/>
                </w:tcPr>
                <w:p w14:paraId="295AB32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降噪后声级</w:t>
                  </w:r>
                </w:p>
              </w:tc>
              <w:tc>
                <w:tcPr>
                  <w:tcW w:w="260" w:type="pct"/>
                  <w:vMerge w:val="restart"/>
                  <w:tcBorders>
                    <w:tl2br w:val="nil"/>
                    <w:tr2bl w:val="nil"/>
                  </w:tcBorders>
                  <w:shd w:val="clear" w:color="auto" w:fill="auto"/>
                  <w:tcMar>
                    <w:top w:w="120" w:type="dxa"/>
                    <w:left w:w="120" w:type="dxa"/>
                    <w:bottom w:w="120" w:type="dxa"/>
                    <w:right w:w="120" w:type="dxa"/>
                  </w:tcMar>
                  <w:vAlign w:val="center"/>
                </w:tcPr>
                <w:p w14:paraId="12165D9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运行时段</w:t>
                  </w:r>
                </w:p>
              </w:tc>
            </w:tr>
            <w:tr w14:paraId="39BE459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15" w:type="dxa"/>
                  <w:left w:w="15" w:type="dxa"/>
                  <w:bottom w:w="15" w:type="dxa"/>
                  <w:right w:w="15" w:type="dxa"/>
                </w:tblCellMar>
              </w:tblPrEx>
              <w:trPr>
                <w:trHeight w:val="23" w:hRule="atLeast"/>
              </w:trPr>
              <w:tc>
                <w:tcPr>
                  <w:tcW w:w="188" w:type="pct"/>
                  <w:vMerge w:val="continue"/>
                  <w:tcBorders>
                    <w:tl2br w:val="nil"/>
                    <w:tr2bl w:val="nil"/>
                  </w:tcBorders>
                  <w:shd w:val="clear" w:color="auto" w:fill="auto"/>
                  <w:tcMar>
                    <w:top w:w="120" w:type="dxa"/>
                    <w:left w:w="120" w:type="dxa"/>
                    <w:bottom w:w="120" w:type="dxa"/>
                    <w:right w:w="120" w:type="dxa"/>
                  </w:tcMar>
                  <w:vAlign w:val="center"/>
                </w:tcPr>
                <w:p w14:paraId="0E34B90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37" w:type="pct"/>
                  <w:vMerge w:val="continue"/>
                  <w:tcBorders>
                    <w:tl2br w:val="nil"/>
                    <w:tr2bl w:val="nil"/>
                  </w:tcBorders>
                  <w:shd w:val="clear" w:color="auto" w:fill="auto"/>
                  <w:tcMar>
                    <w:top w:w="120" w:type="dxa"/>
                    <w:left w:w="120" w:type="dxa"/>
                    <w:bottom w:w="120" w:type="dxa"/>
                    <w:right w:w="120" w:type="dxa"/>
                  </w:tcMar>
                  <w:vAlign w:val="center"/>
                </w:tcPr>
                <w:p w14:paraId="54CFF67A">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22" w:type="pct"/>
                  <w:vMerge w:val="continue"/>
                  <w:tcBorders>
                    <w:tl2br w:val="nil"/>
                    <w:tr2bl w:val="nil"/>
                  </w:tcBorders>
                  <w:shd w:val="clear" w:color="auto" w:fill="auto"/>
                  <w:tcMar>
                    <w:top w:w="120" w:type="dxa"/>
                    <w:left w:w="120" w:type="dxa"/>
                    <w:bottom w:w="120" w:type="dxa"/>
                    <w:right w:w="120" w:type="dxa"/>
                  </w:tcMar>
                  <w:vAlign w:val="center"/>
                </w:tcPr>
                <w:p w14:paraId="7BD4743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89" w:type="pct"/>
                  <w:vMerge w:val="continue"/>
                  <w:tcBorders>
                    <w:tl2br w:val="nil"/>
                    <w:tr2bl w:val="nil"/>
                  </w:tcBorders>
                  <w:shd w:val="clear" w:color="auto" w:fill="auto"/>
                  <w:tcMar>
                    <w:top w:w="120" w:type="dxa"/>
                    <w:left w:w="120" w:type="dxa"/>
                    <w:bottom w:w="120" w:type="dxa"/>
                    <w:right w:w="120" w:type="dxa"/>
                  </w:tcMar>
                  <w:vAlign w:val="center"/>
                </w:tcPr>
                <w:p w14:paraId="6B3132A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782" w:type="pct"/>
                  <w:vMerge w:val="continue"/>
                  <w:tcBorders>
                    <w:tl2br w:val="nil"/>
                    <w:tr2bl w:val="nil"/>
                  </w:tcBorders>
                  <w:shd w:val="clear" w:color="auto" w:fill="auto"/>
                  <w:tcMar>
                    <w:top w:w="120" w:type="dxa"/>
                    <w:left w:w="120" w:type="dxa"/>
                    <w:bottom w:w="120" w:type="dxa"/>
                    <w:right w:w="120" w:type="dxa"/>
                  </w:tcMar>
                  <w:vAlign w:val="center"/>
                </w:tcPr>
                <w:p w14:paraId="5D167B2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69" w:type="pct"/>
                  <w:vMerge w:val="continue"/>
                  <w:tcBorders>
                    <w:tl2br w:val="nil"/>
                    <w:tr2bl w:val="nil"/>
                  </w:tcBorders>
                  <w:shd w:val="clear" w:color="auto" w:fill="auto"/>
                  <w:tcMar>
                    <w:top w:w="120" w:type="dxa"/>
                    <w:left w:w="120" w:type="dxa"/>
                    <w:bottom w:w="120" w:type="dxa"/>
                    <w:right w:w="120" w:type="dxa"/>
                  </w:tcMar>
                  <w:vAlign w:val="center"/>
                </w:tcPr>
                <w:p w14:paraId="3EC362C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275" w:type="pct"/>
                  <w:tcBorders>
                    <w:tl2br w:val="nil"/>
                    <w:tr2bl w:val="nil"/>
                  </w:tcBorders>
                  <w:shd w:val="clear" w:color="auto" w:fill="auto"/>
                  <w:tcMar>
                    <w:top w:w="120" w:type="dxa"/>
                    <w:left w:w="120" w:type="dxa"/>
                    <w:bottom w:w="120" w:type="dxa"/>
                    <w:right w:w="120" w:type="dxa"/>
                  </w:tcMar>
                  <w:vAlign w:val="center"/>
                </w:tcPr>
                <w:p w14:paraId="047ECBE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X</w:t>
                  </w:r>
                </w:p>
              </w:tc>
              <w:tc>
                <w:tcPr>
                  <w:tcW w:w="266" w:type="pct"/>
                  <w:tcBorders>
                    <w:tl2br w:val="nil"/>
                    <w:tr2bl w:val="nil"/>
                  </w:tcBorders>
                  <w:shd w:val="clear" w:color="auto" w:fill="auto"/>
                  <w:tcMar>
                    <w:top w:w="120" w:type="dxa"/>
                    <w:left w:w="120" w:type="dxa"/>
                    <w:bottom w:w="120" w:type="dxa"/>
                    <w:right w:w="120" w:type="dxa"/>
                  </w:tcMar>
                  <w:vAlign w:val="center"/>
                </w:tcPr>
                <w:p w14:paraId="0C64CB4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Y</w:t>
                  </w:r>
                </w:p>
              </w:tc>
              <w:tc>
                <w:tcPr>
                  <w:tcW w:w="250" w:type="pct"/>
                  <w:tcBorders>
                    <w:tl2br w:val="nil"/>
                    <w:tr2bl w:val="nil"/>
                  </w:tcBorders>
                  <w:shd w:val="clear" w:color="auto" w:fill="auto"/>
                  <w:tcMar>
                    <w:top w:w="120" w:type="dxa"/>
                    <w:left w:w="120" w:type="dxa"/>
                    <w:bottom w:w="120" w:type="dxa"/>
                    <w:right w:w="120" w:type="dxa"/>
                  </w:tcMar>
                  <w:vAlign w:val="center"/>
                </w:tcPr>
                <w:p w14:paraId="2D14AA5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Z</w:t>
                  </w:r>
                </w:p>
              </w:tc>
              <w:tc>
                <w:tcPr>
                  <w:tcW w:w="502" w:type="pct"/>
                  <w:tcBorders>
                    <w:tl2br w:val="nil"/>
                    <w:tr2bl w:val="nil"/>
                  </w:tcBorders>
                  <w:shd w:val="clear" w:color="auto" w:fill="auto"/>
                  <w:tcMar>
                    <w:top w:w="120" w:type="dxa"/>
                    <w:left w:w="120" w:type="dxa"/>
                    <w:bottom w:w="120" w:type="dxa"/>
                    <w:right w:w="120" w:type="dxa"/>
                  </w:tcMar>
                  <w:vAlign w:val="center"/>
                </w:tcPr>
                <w:p w14:paraId="615F5C2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声压级</w:t>
                  </w:r>
                </w:p>
              </w:tc>
              <w:tc>
                <w:tcPr>
                  <w:tcW w:w="453" w:type="pct"/>
                  <w:vMerge w:val="continue"/>
                  <w:tcBorders>
                    <w:tl2br w:val="nil"/>
                    <w:tr2bl w:val="nil"/>
                  </w:tcBorders>
                  <w:shd w:val="clear" w:color="auto" w:fill="auto"/>
                  <w:tcMar>
                    <w:top w:w="120" w:type="dxa"/>
                    <w:left w:w="120" w:type="dxa"/>
                    <w:bottom w:w="120" w:type="dxa"/>
                    <w:right w:w="120" w:type="dxa"/>
                  </w:tcMar>
                  <w:vAlign w:val="center"/>
                </w:tcPr>
                <w:p w14:paraId="4BF61E0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31" w:type="pct"/>
                  <w:vMerge w:val="continue"/>
                  <w:tcBorders>
                    <w:tl2br w:val="nil"/>
                    <w:tr2bl w:val="nil"/>
                  </w:tcBorders>
                  <w:shd w:val="clear" w:color="auto" w:fill="auto"/>
                  <w:tcMar>
                    <w:top w:w="120" w:type="dxa"/>
                    <w:left w:w="120" w:type="dxa"/>
                    <w:bottom w:w="120" w:type="dxa"/>
                    <w:right w:w="120" w:type="dxa"/>
                  </w:tcMar>
                  <w:vAlign w:val="center"/>
                </w:tcPr>
                <w:p w14:paraId="56D3F58B">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268" w:type="pct"/>
                  <w:vMerge w:val="continue"/>
                  <w:tcBorders>
                    <w:tl2br w:val="nil"/>
                    <w:tr2bl w:val="nil"/>
                  </w:tcBorders>
                  <w:shd w:val="clear" w:color="auto" w:fill="auto"/>
                  <w:tcMar>
                    <w:top w:w="120" w:type="dxa"/>
                    <w:left w:w="120" w:type="dxa"/>
                    <w:bottom w:w="120" w:type="dxa"/>
                    <w:right w:w="120" w:type="dxa"/>
                  </w:tcMar>
                  <w:vAlign w:val="center"/>
                </w:tcPr>
                <w:p w14:paraId="50F9E71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260" w:type="pct"/>
                  <w:vMerge w:val="continue"/>
                  <w:tcBorders>
                    <w:tl2br w:val="nil"/>
                    <w:tr2bl w:val="nil"/>
                  </w:tcBorders>
                  <w:shd w:val="clear" w:color="auto" w:fill="auto"/>
                  <w:tcMar>
                    <w:top w:w="120" w:type="dxa"/>
                    <w:left w:w="120" w:type="dxa"/>
                    <w:bottom w:w="120" w:type="dxa"/>
                    <w:right w:w="120" w:type="dxa"/>
                  </w:tcMar>
                  <w:vAlign w:val="center"/>
                </w:tcPr>
                <w:p w14:paraId="231C6A95">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r>
            <w:tr w14:paraId="644D5F6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15" w:type="dxa"/>
                  <w:left w:w="15" w:type="dxa"/>
                  <w:bottom w:w="15" w:type="dxa"/>
                  <w:right w:w="15" w:type="dxa"/>
                </w:tblCellMar>
              </w:tblPrEx>
              <w:trPr>
                <w:trHeight w:val="23" w:hRule="atLeast"/>
              </w:trPr>
              <w:tc>
                <w:tcPr>
                  <w:tcW w:w="188" w:type="pct"/>
                  <w:tcBorders>
                    <w:tl2br w:val="nil"/>
                    <w:tr2bl w:val="nil"/>
                  </w:tcBorders>
                  <w:shd w:val="clear" w:color="auto" w:fill="auto"/>
                  <w:tcMar>
                    <w:top w:w="120" w:type="dxa"/>
                    <w:left w:w="120" w:type="dxa"/>
                    <w:bottom w:w="120" w:type="dxa"/>
                    <w:right w:w="120" w:type="dxa"/>
                  </w:tcMar>
                  <w:vAlign w:val="center"/>
                </w:tcPr>
                <w:p w14:paraId="6EF128F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w:t>
                  </w:r>
                </w:p>
              </w:tc>
              <w:tc>
                <w:tcPr>
                  <w:tcW w:w="337" w:type="pct"/>
                  <w:tcBorders>
                    <w:tl2br w:val="nil"/>
                    <w:tr2bl w:val="nil"/>
                  </w:tcBorders>
                  <w:shd w:val="clear" w:color="auto" w:fill="auto"/>
                  <w:tcMar>
                    <w:top w:w="120" w:type="dxa"/>
                    <w:left w:w="120" w:type="dxa"/>
                    <w:bottom w:w="120" w:type="dxa"/>
                    <w:right w:w="120" w:type="dxa"/>
                  </w:tcMar>
                  <w:vAlign w:val="center"/>
                </w:tcPr>
                <w:p w14:paraId="786E6AE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提升泵</w:t>
                  </w:r>
                </w:p>
              </w:tc>
              <w:tc>
                <w:tcPr>
                  <w:tcW w:w="322" w:type="pct"/>
                  <w:tcBorders>
                    <w:tl2br w:val="nil"/>
                    <w:tr2bl w:val="nil"/>
                  </w:tcBorders>
                  <w:shd w:val="clear" w:color="auto" w:fill="auto"/>
                  <w:tcMar>
                    <w:top w:w="120" w:type="dxa"/>
                    <w:left w:w="120" w:type="dxa"/>
                    <w:bottom w:w="120" w:type="dxa"/>
                    <w:right w:w="120" w:type="dxa"/>
                  </w:tcMar>
                  <w:vAlign w:val="center"/>
                </w:tcPr>
                <w:p w14:paraId="57B3D6C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提升泵房</w:t>
                  </w:r>
                </w:p>
              </w:tc>
              <w:tc>
                <w:tcPr>
                  <w:tcW w:w="389" w:type="pct"/>
                  <w:tcBorders>
                    <w:tl2br w:val="nil"/>
                    <w:tr2bl w:val="nil"/>
                  </w:tcBorders>
                  <w:shd w:val="clear" w:color="auto" w:fill="auto"/>
                  <w:tcMar>
                    <w:top w:w="120" w:type="dxa"/>
                    <w:left w:w="120" w:type="dxa"/>
                    <w:bottom w:w="120" w:type="dxa"/>
                    <w:right w:w="120" w:type="dxa"/>
                  </w:tcMar>
                  <w:vAlign w:val="center"/>
                </w:tcPr>
                <w:p w14:paraId="3CB457D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室内点声源</w:t>
                  </w:r>
                </w:p>
              </w:tc>
              <w:tc>
                <w:tcPr>
                  <w:tcW w:w="782" w:type="pct"/>
                  <w:tcBorders>
                    <w:tl2br w:val="nil"/>
                    <w:tr2bl w:val="nil"/>
                  </w:tcBorders>
                  <w:shd w:val="clear" w:color="auto" w:fill="auto"/>
                  <w:tcMar>
                    <w:top w:w="120" w:type="dxa"/>
                    <w:left w:w="120" w:type="dxa"/>
                    <w:bottom w:w="120" w:type="dxa"/>
                    <w:right w:w="120" w:type="dxa"/>
                  </w:tcMar>
                  <w:vAlign w:val="center"/>
                </w:tcPr>
                <w:p w14:paraId="7DAAE7A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Q=375m</w:t>
                  </w:r>
                  <w:r>
                    <w:rPr>
                      <w:rFonts w:hint="eastAsia" w:ascii="Times New Roman" w:hAnsi="Times New Roman" w:eastAsia="宋体" w:cs="Times New Roman"/>
                      <w:b w:val="0"/>
                      <w:bCs w:val="0"/>
                      <w:color w:val="000000" w:themeColor="text1"/>
                      <w:kern w:val="0"/>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/h，H=14m，N=22kW</w:t>
                  </w:r>
                </w:p>
              </w:tc>
              <w:tc>
                <w:tcPr>
                  <w:tcW w:w="369" w:type="pct"/>
                  <w:tcBorders>
                    <w:tl2br w:val="nil"/>
                    <w:tr2bl w:val="nil"/>
                  </w:tcBorders>
                  <w:shd w:val="clear" w:color="auto" w:fill="auto"/>
                  <w:tcMar>
                    <w:top w:w="120" w:type="dxa"/>
                    <w:left w:w="120" w:type="dxa"/>
                    <w:bottom w:w="120" w:type="dxa"/>
                    <w:right w:w="120" w:type="dxa"/>
                  </w:tcMar>
                  <w:vAlign w:val="center"/>
                </w:tcPr>
                <w:p w14:paraId="6E91AA1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w:t>
                  </w:r>
                </w:p>
              </w:tc>
              <w:tc>
                <w:tcPr>
                  <w:tcW w:w="275" w:type="pct"/>
                  <w:tcBorders>
                    <w:tl2br w:val="nil"/>
                    <w:tr2bl w:val="nil"/>
                  </w:tcBorders>
                  <w:shd w:val="clear" w:color="auto" w:fill="auto"/>
                  <w:tcMar>
                    <w:top w:w="120" w:type="dxa"/>
                    <w:left w:w="120" w:type="dxa"/>
                    <w:bottom w:w="120" w:type="dxa"/>
                    <w:right w:w="120" w:type="dxa"/>
                  </w:tcMar>
                  <w:vAlign w:val="center"/>
                </w:tcPr>
                <w:p w14:paraId="0BE8EDE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68</w:t>
                  </w:r>
                </w:p>
              </w:tc>
              <w:tc>
                <w:tcPr>
                  <w:tcW w:w="266" w:type="pct"/>
                  <w:tcBorders>
                    <w:tl2br w:val="nil"/>
                    <w:tr2bl w:val="nil"/>
                  </w:tcBorders>
                  <w:shd w:val="clear" w:color="auto" w:fill="auto"/>
                  <w:tcMar>
                    <w:top w:w="120" w:type="dxa"/>
                    <w:left w:w="120" w:type="dxa"/>
                    <w:bottom w:w="120" w:type="dxa"/>
                    <w:right w:w="120" w:type="dxa"/>
                  </w:tcMar>
                  <w:vAlign w:val="center"/>
                </w:tcPr>
                <w:p w14:paraId="6B3CFE8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112</w:t>
                  </w:r>
                </w:p>
              </w:tc>
              <w:tc>
                <w:tcPr>
                  <w:tcW w:w="250" w:type="pct"/>
                  <w:tcBorders>
                    <w:tl2br w:val="nil"/>
                    <w:tr2bl w:val="nil"/>
                  </w:tcBorders>
                  <w:shd w:val="clear" w:color="auto" w:fill="auto"/>
                  <w:tcMar>
                    <w:top w:w="120" w:type="dxa"/>
                    <w:left w:w="120" w:type="dxa"/>
                    <w:bottom w:w="120" w:type="dxa"/>
                    <w:right w:w="120" w:type="dxa"/>
                  </w:tcMar>
                  <w:vAlign w:val="center"/>
                </w:tcPr>
                <w:p w14:paraId="6B80255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0.5</w:t>
                  </w:r>
                </w:p>
              </w:tc>
              <w:tc>
                <w:tcPr>
                  <w:tcW w:w="502" w:type="pct"/>
                  <w:tcBorders>
                    <w:tl2br w:val="nil"/>
                    <w:tr2bl w:val="nil"/>
                  </w:tcBorders>
                  <w:shd w:val="clear" w:color="auto" w:fill="auto"/>
                  <w:tcMar>
                    <w:top w:w="120" w:type="dxa"/>
                    <w:left w:w="120" w:type="dxa"/>
                    <w:bottom w:w="120" w:type="dxa"/>
                    <w:right w:w="120" w:type="dxa"/>
                  </w:tcMar>
                  <w:vAlign w:val="center"/>
                </w:tcPr>
                <w:p w14:paraId="4F65405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80</w:t>
                  </w:r>
                </w:p>
              </w:tc>
              <w:tc>
                <w:tcPr>
                  <w:tcW w:w="453" w:type="pct"/>
                  <w:tcBorders>
                    <w:tl2br w:val="nil"/>
                    <w:tr2bl w:val="nil"/>
                  </w:tcBorders>
                  <w:shd w:val="clear" w:color="auto" w:fill="auto"/>
                  <w:tcMar>
                    <w:top w:w="120" w:type="dxa"/>
                    <w:left w:w="120" w:type="dxa"/>
                    <w:bottom w:w="120" w:type="dxa"/>
                    <w:right w:w="120" w:type="dxa"/>
                  </w:tcMar>
                  <w:vAlign w:val="center"/>
                </w:tcPr>
                <w:p w14:paraId="7C5D635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kern w:val="0"/>
                      <w:sz w:val="21"/>
                      <w:szCs w:val="21"/>
                      <w:highlight w:val="none"/>
                      <w:lang w:val="en-US" w:eastAsia="zh-CN" w:bidi="ar"/>
                      <w14:textFill>
                        <w14:solidFill>
                          <w14:schemeClr w14:val="tx1"/>
                        </w14:solidFill>
                      </w14:textFill>
                    </w:rPr>
                    <w:t>减震</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、建筑隔声</w:t>
                  </w:r>
                </w:p>
              </w:tc>
              <w:tc>
                <w:tcPr>
                  <w:tcW w:w="331" w:type="pct"/>
                  <w:tcBorders>
                    <w:tl2br w:val="nil"/>
                    <w:tr2bl w:val="nil"/>
                  </w:tcBorders>
                  <w:shd w:val="clear" w:color="auto" w:fill="auto"/>
                  <w:tcMar>
                    <w:top w:w="120" w:type="dxa"/>
                    <w:left w:w="120" w:type="dxa"/>
                    <w:bottom w:w="120" w:type="dxa"/>
                    <w:right w:w="120" w:type="dxa"/>
                  </w:tcMar>
                  <w:vAlign w:val="center"/>
                </w:tcPr>
                <w:p w14:paraId="2D3BB8B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0.30</w:t>
                  </w:r>
                </w:p>
              </w:tc>
              <w:tc>
                <w:tcPr>
                  <w:tcW w:w="268" w:type="pct"/>
                  <w:tcBorders>
                    <w:tl2br w:val="nil"/>
                    <w:tr2bl w:val="nil"/>
                  </w:tcBorders>
                  <w:shd w:val="clear" w:color="auto" w:fill="auto"/>
                  <w:tcMar>
                    <w:top w:w="120" w:type="dxa"/>
                    <w:left w:w="120" w:type="dxa"/>
                    <w:bottom w:w="120" w:type="dxa"/>
                    <w:right w:w="120" w:type="dxa"/>
                  </w:tcMar>
                  <w:vAlign w:val="center"/>
                </w:tcPr>
                <w:p w14:paraId="3FA2C17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55</w:t>
                  </w:r>
                </w:p>
              </w:tc>
              <w:tc>
                <w:tcPr>
                  <w:tcW w:w="260" w:type="pct"/>
                  <w:tcBorders>
                    <w:tl2br w:val="nil"/>
                    <w:tr2bl w:val="nil"/>
                  </w:tcBorders>
                  <w:shd w:val="clear" w:color="auto" w:fill="auto"/>
                  <w:tcMar>
                    <w:top w:w="120" w:type="dxa"/>
                    <w:left w:w="120" w:type="dxa"/>
                    <w:bottom w:w="120" w:type="dxa"/>
                    <w:right w:w="120" w:type="dxa"/>
                  </w:tcMar>
                  <w:vAlign w:val="center"/>
                </w:tcPr>
                <w:p w14:paraId="1F6ED9C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连续</w:t>
                  </w:r>
                </w:p>
              </w:tc>
            </w:tr>
            <w:tr w14:paraId="7D0381A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15" w:type="dxa"/>
                  <w:left w:w="15" w:type="dxa"/>
                  <w:bottom w:w="15" w:type="dxa"/>
                  <w:right w:w="15" w:type="dxa"/>
                </w:tblCellMar>
              </w:tblPrEx>
              <w:trPr>
                <w:trHeight w:val="23" w:hRule="atLeast"/>
              </w:trPr>
              <w:tc>
                <w:tcPr>
                  <w:tcW w:w="188" w:type="pct"/>
                  <w:tcBorders>
                    <w:tl2br w:val="nil"/>
                    <w:tr2bl w:val="nil"/>
                  </w:tcBorders>
                  <w:shd w:val="clear" w:color="auto" w:fill="auto"/>
                  <w:tcMar>
                    <w:top w:w="120" w:type="dxa"/>
                    <w:left w:w="120" w:type="dxa"/>
                    <w:bottom w:w="120" w:type="dxa"/>
                    <w:right w:w="120" w:type="dxa"/>
                  </w:tcMar>
                  <w:vAlign w:val="center"/>
                </w:tcPr>
                <w:p w14:paraId="64D73FD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2</w:t>
                  </w:r>
                </w:p>
              </w:tc>
              <w:tc>
                <w:tcPr>
                  <w:tcW w:w="337" w:type="pct"/>
                  <w:tcBorders>
                    <w:tl2br w:val="nil"/>
                    <w:tr2bl w:val="nil"/>
                  </w:tcBorders>
                  <w:shd w:val="clear" w:color="auto" w:fill="auto"/>
                  <w:tcMar>
                    <w:top w:w="120" w:type="dxa"/>
                    <w:left w:w="120" w:type="dxa"/>
                    <w:bottom w:w="120" w:type="dxa"/>
                    <w:right w:w="120" w:type="dxa"/>
                  </w:tcMar>
                  <w:vAlign w:val="center"/>
                </w:tcPr>
                <w:p w14:paraId="4BEAC0E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磁悬浮风机</w:t>
                  </w:r>
                </w:p>
              </w:tc>
              <w:tc>
                <w:tcPr>
                  <w:tcW w:w="322" w:type="pct"/>
                  <w:tcBorders>
                    <w:tl2br w:val="nil"/>
                    <w:tr2bl w:val="nil"/>
                  </w:tcBorders>
                  <w:shd w:val="clear" w:color="auto" w:fill="auto"/>
                  <w:tcMar>
                    <w:top w:w="120" w:type="dxa"/>
                    <w:left w:w="120" w:type="dxa"/>
                    <w:bottom w:w="120" w:type="dxa"/>
                    <w:right w:w="120" w:type="dxa"/>
                  </w:tcMar>
                  <w:vAlign w:val="center"/>
                </w:tcPr>
                <w:p w14:paraId="039D521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MBR 膜设备间</w:t>
                  </w:r>
                </w:p>
              </w:tc>
              <w:tc>
                <w:tcPr>
                  <w:tcW w:w="389" w:type="pct"/>
                  <w:tcBorders>
                    <w:tl2br w:val="nil"/>
                    <w:tr2bl w:val="nil"/>
                  </w:tcBorders>
                  <w:shd w:val="clear" w:color="auto" w:fill="auto"/>
                  <w:tcMar>
                    <w:top w:w="120" w:type="dxa"/>
                    <w:left w:w="120" w:type="dxa"/>
                    <w:bottom w:w="120" w:type="dxa"/>
                    <w:right w:w="120" w:type="dxa"/>
                  </w:tcMar>
                  <w:vAlign w:val="center"/>
                </w:tcPr>
                <w:p w14:paraId="449C2FD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室内点声源</w:t>
                  </w:r>
                </w:p>
              </w:tc>
              <w:tc>
                <w:tcPr>
                  <w:tcW w:w="782" w:type="pct"/>
                  <w:tcBorders>
                    <w:tl2br w:val="nil"/>
                    <w:tr2bl w:val="nil"/>
                  </w:tcBorders>
                  <w:shd w:val="clear" w:color="auto" w:fill="auto"/>
                  <w:tcMar>
                    <w:top w:w="120" w:type="dxa"/>
                    <w:left w:w="120" w:type="dxa"/>
                    <w:bottom w:w="120" w:type="dxa"/>
                    <w:right w:w="120" w:type="dxa"/>
                  </w:tcMar>
                  <w:vAlign w:val="center"/>
                </w:tcPr>
                <w:p w14:paraId="79F6A1A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Q=113m</w:t>
                  </w:r>
                  <w:r>
                    <w:rPr>
                      <w:rFonts w:hint="eastAsia" w:ascii="Times New Roman" w:hAnsi="Times New Roman" w:eastAsia="宋体" w:cs="Times New Roman"/>
                      <w:b w:val="0"/>
                      <w:bCs w:val="0"/>
                      <w:color w:val="000000" w:themeColor="text1"/>
                      <w:kern w:val="0"/>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//min，30kPa，N=75kW</w:t>
                  </w:r>
                </w:p>
              </w:tc>
              <w:tc>
                <w:tcPr>
                  <w:tcW w:w="369" w:type="pct"/>
                  <w:tcBorders>
                    <w:tl2br w:val="nil"/>
                    <w:tr2bl w:val="nil"/>
                  </w:tcBorders>
                  <w:shd w:val="clear" w:color="auto" w:fill="auto"/>
                  <w:tcMar>
                    <w:top w:w="120" w:type="dxa"/>
                    <w:left w:w="120" w:type="dxa"/>
                    <w:bottom w:w="120" w:type="dxa"/>
                    <w:right w:w="120" w:type="dxa"/>
                  </w:tcMar>
                  <w:vAlign w:val="center"/>
                </w:tcPr>
                <w:p w14:paraId="092C127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w:t>
                  </w:r>
                </w:p>
              </w:tc>
              <w:tc>
                <w:tcPr>
                  <w:tcW w:w="275" w:type="pct"/>
                  <w:tcBorders>
                    <w:tl2br w:val="nil"/>
                    <w:tr2bl w:val="nil"/>
                  </w:tcBorders>
                  <w:shd w:val="clear" w:color="auto" w:fill="auto"/>
                  <w:tcMar>
                    <w:top w:w="120" w:type="dxa"/>
                    <w:left w:w="120" w:type="dxa"/>
                    <w:bottom w:w="120" w:type="dxa"/>
                    <w:right w:w="120" w:type="dxa"/>
                  </w:tcMar>
                  <w:vAlign w:val="center"/>
                </w:tcPr>
                <w:p w14:paraId="738A8DE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135</w:t>
                  </w:r>
                </w:p>
              </w:tc>
              <w:tc>
                <w:tcPr>
                  <w:tcW w:w="266" w:type="pct"/>
                  <w:tcBorders>
                    <w:tl2br w:val="nil"/>
                    <w:tr2bl w:val="nil"/>
                  </w:tcBorders>
                  <w:shd w:val="clear" w:color="auto" w:fill="auto"/>
                  <w:tcMar>
                    <w:top w:w="120" w:type="dxa"/>
                    <w:left w:w="120" w:type="dxa"/>
                    <w:bottom w:w="120" w:type="dxa"/>
                    <w:right w:w="120" w:type="dxa"/>
                  </w:tcMar>
                  <w:vAlign w:val="center"/>
                </w:tcPr>
                <w:p w14:paraId="2EB6E22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168</w:t>
                  </w:r>
                </w:p>
              </w:tc>
              <w:tc>
                <w:tcPr>
                  <w:tcW w:w="250" w:type="pct"/>
                  <w:tcBorders>
                    <w:tl2br w:val="nil"/>
                    <w:tr2bl w:val="nil"/>
                  </w:tcBorders>
                  <w:shd w:val="clear" w:color="auto" w:fill="auto"/>
                  <w:tcMar>
                    <w:top w:w="120" w:type="dxa"/>
                    <w:left w:w="120" w:type="dxa"/>
                    <w:bottom w:w="120" w:type="dxa"/>
                    <w:right w:w="120" w:type="dxa"/>
                  </w:tcMar>
                  <w:vAlign w:val="center"/>
                </w:tcPr>
                <w:p w14:paraId="07411F6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1.0</w:t>
                  </w:r>
                </w:p>
              </w:tc>
              <w:tc>
                <w:tcPr>
                  <w:tcW w:w="502" w:type="pct"/>
                  <w:tcBorders>
                    <w:tl2br w:val="nil"/>
                    <w:tr2bl w:val="nil"/>
                  </w:tcBorders>
                  <w:shd w:val="clear" w:color="auto" w:fill="auto"/>
                  <w:tcMar>
                    <w:top w:w="120" w:type="dxa"/>
                    <w:left w:w="120" w:type="dxa"/>
                    <w:bottom w:w="120" w:type="dxa"/>
                    <w:right w:w="120" w:type="dxa"/>
                  </w:tcMar>
                  <w:vAlign w:val="center"/>
                </w:tcPr>
                <w:p w14:paraId="1CF7B33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90</w:t>
                  </w:r>
                </w:p>
              </w:tc>
              <w:tc>
                <w:tcPr>
                  <w:tcW w:w="453" w:type="pct"/>
                  <w:tcBorders>
                    <w:tl2br w:val="nil"/>
                    <w:tr2bl w:val="nil"/>
                  </w:tcBorders>
                  <w:shd w:val="clear" w:color="auto" w:fill="auto"/>
                  <w:tcMar>
                    <w:top w:w="120" w:type="dxa"/>
                    <w:left w:w="120" w:type="dxa"/>
                    <w:bottom w:w="120" w:type="dxa"/>
                    <w:right w:w="120" w:type="dxa"/>
                  </w:tcMar>
                  <w:vAlign w:val="center"/>
                </w:tcPr>
                <w:p w14:paraId="1C52E08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kern w:val="0"/>
                      <w:sz w:val="21"/>
                      <w:szCs w:val="21"/>
                      <w:highlight w:val="none"/>
                      <w:lang w:val="en-US" w:eastAsia="zh-CN" w:bidi="ar"/>
                      <w14:textFill>
                        <w14:solidFill>
                          <w14:schemeClr w14:val="tx1"/>
                        </w14:solidFill>
                      </w14:textFill>
                    </w:rPr>
                    <w:t>减震</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、隔声罩、消声器</w:t>
                  </w:r>
                </w:p>
              </w:tc>
              <w:tc>
                <w:tcPr>
                  <w:tcW w:w="331" w:type="pct"/>
                  <w:tcBorders>
                    <w:tl2br w:val="nil"/>
                    <w:tr2bl w:val="nil"/>
                  </w:tcBorders>
                  <w:shd w:val="clear" w:color="auto" w:fill="auto"/>
                  <w:tcMar>
                    <w:top w:w="120" w:type="dxa"/>
                    <w:left w:w="120" w:type="dxa"/>
                    <w:bottom w:w="120" w:type="dxa"/>
                    <w:right w:w="120" w:type="dxa"/>
                  </w:tcMar>
                  <w:vAlign w:val="center"/>
                </w:tcPr>
                <w:p w14:paraId="371C713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0.35</w:t>
                  </w:r>
                </w:p>
              </w:tc>
              <w:tc>
                <w:tcPr>
                  <w:tcW w:w="268" w:type="pct"/>
                  <w:tcBorders>
                    <w:tl2br w:val="nil"/>
                    <w:tr2bl w:val="nil"/>
                  </w:tcBorders>
                  <w:shd w:val="clear" w:color="auto" w:fill="auto"/>
                  <w:tcMar>
                    <w:top w:w="120" w:type="dxa"/>
                    <w:left w:w="120" w:type="dxa"/>
                    <w:bottom w:w="120" w:type="dxa"/>
                    <w:right w:w="120" w:type="dxa"/>
                  </w:tcMar>
                  <w:vAlign w:val="center"/>
                </w:tcPr>
                <w:p w14:paraId="3867990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65</w:t>
                  </w:r>
                </w:p>
              </w:tc>
              <w:tc>
                <w:tcPr>
                  <w:tcW w:w="260" w:type="pct"/>
                  <w:tcBorders>
                    <w:tl2br w:val="nil"/>
                    <w:tr2bl w:val="nil"/>
                  </w:tcBorders>
                  <w:shd w:val="clear" w:color="auto" w:fill="auto"/>
                  <w:tcMar>
                    <w:top w:w="120" w:type="dxa"/>
                    <w:left w:w="120" w:type="dxa"/>
                    <w:bottom w:w="120" w:type="dxa"/>
                    <w:right w:w="120" w:type="dxa"/>
                  </w:tcMar>
                  <w:vAlign w:val="center"/>
                </w:tcPr>
                <w:p w14:paraId="0417566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连续</w:t>
                  </w:r>
                </w:p>
              </w:tc>
            </w:tr>
            <w:tr w14:paraId="143A6D6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15" w:type="dxa"/>
                  <w:left w:w="15" w:type="dxa"/>
                  <w:bottom w:w="15" w:type="dxa"/>
                  <w:right w:w="15" w:type="dxa"/>
                </w:tblCellMar>
              </w:tblPrEx>
              <w:trPr>
                <w:trHeight w:val="23" w:hRule="atLeast"/>
              </w:trPr>
              <w:tc>
                <w:tcPr>
                  <w:tcW w:w="188" w:type="pct"/>
                  <w:tcBorders>
                    <w:tl2br w:val="nil"/>
                    <w:tr2bl w:val="nil"/>
                  </w:tcBorders>
                  <w:shd w:val="clear" w:color="auto" w:fill="auto"/>
                  <w:tcMar>
                    <w:top w:w="120" w:type="dxa"/>
                    <w:left w:w="120" w:type="dxa"/>
                    <w:bottom w:w="120" w:type="dxa"/>
                    <w:right w:w="120" w:type="dxa"/>
                  </w:tcMar>
                  <w:vAlign w:val="center"/>
                </w:tcPr>
                <w:p w14:paraId="2BB6B77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3</w:t>
                  </w:r>
                </w:p>
              </w:tc>
              <w:tc>
                <w:tcPr>
                  <w:tcW w:w="337" w:type="pct"/>
                  <w:tcBorders>
                    <w:tl2br w:val="nil"/>
                    <w:tr2bl w:val="nil"/>
                  </w:tcBorders>
                  <w:shd w:val="clear" w:color="auto" w:fill="auto"/>
                  <w:tcMar>
                    <w:top w:w="120" w:type="dxa"/>
                    <w:left w:w="120" w:type="dxa"/>
                    <w:bottom w:w="120" w:type="dxa"/>
                    <w:right w:w="120" w:type="dxa"/>
                  </w:tcMar>
                  <w:vAlign w:val="center"/>
                </w:tcPr>
                <w:p w14:paraId="283D055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空气悬浮风机</w:t>
                  </w:r>
                </w:p>
              </w:tc>
              <w:tc>
                <w:tcPr>
                  <w:tcW w:w="322" w:type="pct"/>
                  <w:tcBorders>
                    <w:tl2br w:val="nil"/>
                    <w:tr2bl w:val="nil"/>
                  </w:tcBorders>
                  <w:shd w:val="clear" w:color="auto" w:fill="auto"/>
                  <w:tcMar>
                    <w:top w:w="120" w:type="dxa"/>
                    <w:left w:w="120" w:type="dxa"/>
                    <w:bottom w:w="120" w:type="dxa"/>
                    <w:right w:w="120" w:type="dxa"/>
                  </w:tcMar>
                  <w:vAlign w:val="center"/>
                </w:tcPr>
                <w:p w14:paraId="744FCED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鼓风机房</w:t>
                  </w:r>
                </w:p>
              </w:tc>
              <w:tc>
                <w:tcPr>
                  <w:tcW w:w="389" w:type="pct"/>
                  <w:tcBorders>
                    <w:tl2br w:val="nil"/>
                    <w:tr2bl w:val="nil"/>
                  </w:tcBorders>
                  <w:shd w:val="clear" w:color="auto" w:fill="auto"/>
                  <w:tcMar>
                    <w:top w:w="120" w:type="dxa"/>
                    <w:left w:w="120" w:type="dxa"/>
                    <w:bottom w:w="120" w:type="dxa"/>
                    <w:right w:w="120" w:type="dxa"/>
                  </w:tcMar>
                  <w:vAlign w:val="center"/>
                </w:tcPr>
                <w:p w14:paraId="52EE4F7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室内点声源</w:t>
                  </w:r>
                </w:p>
              </w:tc>
              <w:tc>
                <w:tcPr>
                  <w:tcW w:w="782" w:type="pct"/>
                  <w:tcBorders>
                    <w:tl2br w:val="nil"/>
                    <w:tr2bl w:val="nil"/>
                  </w:tcBorders>
                  <w:shd w:val="clear" w:color="auto" w:fill="auto"/>
                  <w:tcMar>
                    <w:top w:w="120" w:type="dxa"/>
                    <w:left w:w="120" w:type="dxa"/>
                    <w:bottom w:w="120" w:type="dxa"/>
                    <w:right w:w="120" w:type="dxa"/>
                  </w:tcMar>
                  <w:vAlign w:val="center"/>
                </w:tcPr>
                <w:p w14:paraId="10682FB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Q=165m</w:t>
                  </w:r>
                  <w:r>
                    <w:rPr>
                      <w:rFonts w:hint="eastAsia" w:ascii="Times New Roman" w:hAnsi="Times New Roman" w:eastAsia="宋体" w:cs="Times New Roman"/>
                      <w:b w:val="0"/>
                      <w:bCs w:val="0"/>
                      <w:color w:val="000000" w:themeColor="text1"/>
                      <w:kern w:val="0"/>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//min，58.8kPa，N=220kW</w:t>
                  </w:r>
                </w:p>
              </w:tc>
              <w:tc>
                <w:tcPr>
                  <w:tcW w:w="369" w:type="pct"/>
                  <w:tcBorders>
                    <w:tl2br w:val="nil"/>
                    <w:tr2bl w:val="nil"/>
                  </w:tcBorders>
                  <w:shd w:val="clear" w:color="auto" w:fill="auto"/>
                  <w:tcMar>
                    <w:top w:w="120" w:type="dxa"/>
                    <w:left w:w="120" w:type="dxa"/>
                    <w:bottom w:w="120" w:type="dxa"/>
                    <w:right w:w="120" w:type="dxa"/>
                  </w:tcMar>
                  <w:vAlign w:val="center"/>
                </w:tcPr>
                <w:p w14:paraId="43AEBD5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3</w:t>
                  </w:r>
                </w:p>
              </w:tc>
              <w:tc>
                <w:tcPr>
                  <w:tcW w:w="275" w:type="pct"/>
                  <w:tcBorders>
                    <w:tl2br w:val="nil"/>
                    <w:tr2bl w:val="nil"/>
                  </w:tcBorders>
                  <w:shd w:val="clear" w:color="auto" w:fill="auto"/>
                  <w:tcMar>
                    <w:top w:w="120" w:type="dxa"/>
                    <w:left w:w="120" w:type="dxa"/>
                    <w:bottom w:w="120" w:type="dxa"/>
                    <w:right w:w="120" w:type="dxa"/>
                  </w:tcMar>
                  <w:vAlign w:val="center"/>
                </w:tcPr>
                <w:p w14:paraId="79E2432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72</w:t>
                  </w:r>
                </w:p>
              </w:tc>
              <w:tc>
                <w:tcPr>
                  <w:tcW w:w="266" w:type="pct"/>
                  <w:tcBorders>
                    <w:tl2br w:val="nil"/>
                    <w:tr2bl w:val="nil"/>
                  </w:tcBorders>
                  <w:shd w:val="clear" w:color="auto" w:fill="auto"/>
                  <w:tcMar>
                    <w:top w:w="120" w:type="dxa"/>
                    <w:left w:w="120" w:type="dxa"/>
                    <w:bottom w:w="120" w:type="dxa"/>
                    <w:right w:w="120" w:type="dxa"/>
                  </w:tcMar>
                  <w:vAlign w:val="center"/>
                </w:tcPr>
                <w:p w14:paraId="4BD7D9B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105</w:t>
                  </w:r>
                </w:p>
              </w:tc>
              <w:tc>
                <w:tcPr>
                  <w:tcW w:w="250" w:type="pct"/>
                  <w:tcBorders>
                    <w:tl2br w:val="nil"/>
                    <w:tr2bl w:val="nil"/>
                  </w:tcBorders>
                  <w:shd w:val="clear" w:color="auto" w:fill="auto"/>
                  <w:tcMar>
                    <w:top w:w="120" w:type="dxa"/>
                    <w:left w:w="120" w:type="dxa"/>
                    <w:bottom w:w="120" w:type="dxa"/>
                    <w:right w:w="120" w:type="dxa"/>
                  </w:tcMar>
                  <w:vAlign w:val="center"/>
                </w:tcPr>
                <w:p w14:paraId="6A18653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1.0</w:t>
                  </w:r>
                </w:p>
              </w:tc>
              <w:tc>
                <w:tcPr>
                  <w:tcW w:w="502" w:type="pct"/>
                  <w:tcBorders>
                    <w:tl2br w:val="nil"/>
                    <w:tr2bl w:val="nil"/>
                  </w:tcBorders>
                  <w:shd w:val="clear" w:color="auto" w:fill="auto"/>
                  <w:tcMar>
                    <w:top w:w="120" w:type="dxa"/>
                    <w:left w:w="120" w:type="dxa"/>
                    <w:bottom w:w="120" w:type="dxa"/>
                    <w:right w:w="120" w:type="dxa"/>
                  </w:tcMar>
                  <w:vAlign w:val="center"/>
                </w:tcPr>
                <w:p w14:paraId="57A08A6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90</w:t>
                  </w:r>
                </w:p>
              </w:tc>
              <w:tc>
                <w:tcPr>
                  <w:tcW w:w="453" w:type="pct"/>
                  <w:tcBorders>
                    <w:tl2br w:val="nil"/>
                    <w:tr2bl w:val="nil"/>
                  </w:tcBorders>
                  <w:shd w:val="clear" w:color="auto" w:fill="auto"/>
                  <w:tcMar>
                    <w:top w:w="120" w:type="dxa"/>
                    <w:left w:w="120" w:type="dxa"/>
                    <w:bottom w:w="120" w:type="dxa"/>
                    <w:right w:w="120" w:type="dxa"/>
                  </w:tcMar>
                  <w:vAlign w:val="center"/>
                </w:tcPr>
                <w:p w14:paraId="40CCFA6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kern w:val="0"/>
                      <w:sz w:val="21"/>
                      <w:szCs w:val="21"/>
                      <w:highlight w:val="none"/>
                      <w:lang w:val="en-US" w:eastAsia="zh-CN" w:bidi="ar"/>
                      <w14:textFill>
                        <w14:solidFill>
                          <w14:schemeClr w14:val="tx1"/>
                        </w14:solidFill>
                      </w14:textFill>
                    </w:rPr>
                    <w:t>减震</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、隔声罩、消声器</w:t>
                  </w:r>
                </w:p>
              </w:tc>
              <w:tc>
                <w:tcPr>
                  <w:tcW w:w="331" w:type="pct"/>
                  <w:tcBorders>
                    <w:tl2br w:val="nil"/>
                    <w:tr2bl w:val="nil"/>
                  </w:tcBorders>
                  <w:shd w:val="clear" w:color="auto" w:fill="auto"/>
                  <w:tcMar>
                    <w:top w:w="120" w:type="dxa"/>
                    <w:left w:w="120" w:type="dxa"/>
                    <w:bottom w:w="120" w:type="dxa"/>
                    <w:right w:w="120" w:type="dxa"/>
                  </w:tcMar>
                  <w:vAlign w:val="center"/>
                </w:tcPr>
                <w:p w14:paraId="13F4929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0.35</w:t>
                  </w:r>
                </w:p>
              </w:tc>
              <w:tc>
                <w:tcPr>
                  <w:tcW w:w="268" w:type="pct"/>
                  <w:tcBorders>
                    <w:tl2br w:val="nil"/>
                    <w:tr2bl w:val="nil"/>
                  </w:tcBorders>
                  <w:shd w:val="clear" w:color="auto" w:fill="auto"/>
                  <w:tcMar>
                    <w:top w:w="120" w:type="dxa"/>
                    <w:left w:w="120" w:type="dxa"/>
                    <w:bottom w:w="120" w:type="dxa"/>
                    <w:right w:w="120" w:type="dxa"/>
                  </w:tcMar>
                  <w:vAlign w:val="center"/>
                </w:tcPr>
                <w:p w14:paraId="6BC685F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65</w:t>
                  </w:r>
                </w:p>
              </w:tc>
              <w:tc>
                <w:tcPr>
                  <w:tcW w:w="260" w:type="pct"/>
                  <w:tcBorders>
                    <w:tl2br w:val="nil"/>
                    <w:tr2bl w:val="nil"/>
                  </w:tcBorders>
                  <w:shd w:val="clear" w:color="auto" w:fill="auto"/>
                  <w:tcMar>
                    <w:top w:w="120" w:type="dxa"/>
                    <w:left w:w="120" w:type="dxa"/>
                    <w:bottom w:w="120" w:type="dxa"/>
                    <w:right w:w="120" w:type="dxa"/>
                  </w:tcMar>
                  <w:vAlign w:val="center"/>
                </w:tcPr>
                <w:p w14:paraId="0A90201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连续</w:t>
                  </w:r>
                </w:p>
              </w:tc>
            </w:tr>
            <w:tr w14:paraId="0D758E0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15" w:type="dxa"/>
                  <w:left w:w="15" w:type="dxa"/>
                  <w:bottom w:w="15" w:type="dxa"/>
                  <w:right w:w="15" w:type="dxa"/>
                </w:tblCellMar>
              </w:tblPrEx>
              <w:trPr>
                <w:trHeight w:val="23" w:hRule="atLeast"/>
              </w:trPr>
              <w:tc>
                <w:tcPr>
                  <w:tcW w:w="188" w:type="pct"/>
                  <w:tcBorders>
                    <w:tl2br w:val="nil"/>
                    <w:tr2bl w:val="nil"/>
                  </w:tcBorders>
                  <w:shd w:val="clear" w:color="auto" w:fill="auto"/>
                  <w:tcMar>
                    <w:top w:w="120" w:type="dxa"/>
                    <w:left w:w="120" w:type="dxa"/>
                    <w:bottom w:w="120" w:type="dxa"/>
                    <w:right w:w="120" w:type="dxa"/>
                  </w:tcMar>
                  <w:vAlign w:val="center"/>
                </w:tcPr>
                <w:p w14:paraId="024C26B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w:t>
                  </w:r>
                </w:p>
              </w:tc>
              <w:tc>
                <w:tcPr>
                  <w:tcW w:w="337" w:type="pct"/>
                  <w:tcBorders>
                    <w:tl2br w:val="nil"/>
                    <w:tr2bl w:val="nil"/>
                  </w:tcBorders>
                  <w:shd w:val="clear" w:color="auto" w:fill="auto"/>
                  <w:tcMar>
                    <w:top w:w="120" w:type="dxa"/>
                    <w:left w:w="120" w:type="dxa"/>
                    <w:bottom w:w="120" w:type="dxa"/>
                    <w:right w:w="120" w:type="dxa"/>
                  </w:tcMar>
                  <w:vAlign w:val="center"/>
                </w:tcPr>
                <w:p w14:paraId="133520A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潜水推流器</w:t>
                  </w:r>
                </w:p>
              </w:tc>
              <w:tc>
                <w:tcPr>
                  <w:tcW w:w="322" w:type="pct"/>
                  <w:tcBorders>
                    <w:tl2br w:val="nil"/>
                    <w:tr2bl w:val="nil"/>
                  </w:tcBorders>
                  <w:shd w:val="clear" w:color="auto" w:fill="auto"/>
                  <w:tcMar>
                    <w:top w:w="120" w:type="dxa"/>
                    <w:left w:w="120" w:type="dxa"/>
                    <w:bottom w:w="120" w:type="dxa"/>
                    <w:right w:w="120" w:type="dxa"/>
                  </w:tcMar>
                  <w:vAlign w:val="center"/>
                </w:tcPr>
                <w:p w14:paraId="5F5DC14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厌氧池</w:t>
                  </w:r>
                </w:p>
              </w:tc>
              <w:tc>
                <w:tcPr>
                  <w:tcW w:w="389" w:type="pct"/>
                  <w:tcBorders>
                    <w:tl2br w:val="nil"/>
                    <w:tr2bl w:val="nil"/>
                  </w:tcBorders>
                  <w:shd w:val="clear" w:color="auto" w:fill="auto"/>
                  <w:tcMar>
                    <w:top w:w="120" w:type="dxa"/>
                    <w:left w:w="120" w:type="dxa"/>
                    <w:bottom w:w="120" w:type="dxa"/>
                    <w:right w:w="120" w:type="dxa"/>
                  </w:tcMar>
                  <w:vAlign w:val="center"/>
                </w:tcPr>
                <w:p w14:paraId="509C9B0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半室内点声源</w:t>
                  </w:r>
                </w:p>
              </w:tc>
              <w:tc>
                <w:tcPr>
                  <w:tcW w:w="782" w:type="pct"/>
                  <w:tcBorders>
                    <w:tl2br w:val="nil"/>
                    <w:tr2bl w:val="nil"/>
                  </w:tcBorders>
                  <w:shd w:val="clear" w:color="auto" w:fill="auto"/>
                  <w:tcMar>
                    <w:top w:w="120" w:type="dxa"/>
                    <w:left w:w="120" w:type="dxa"/>
                    <w:bottom w:w="120" w:type="dxa"/>
                    <w:right w:w="120" w:type="dxa"/>
                  </w:tcMar>
                  <w:vAlign w:val="center"/>
                </w:tcPr>
                <w:p w14:paraId="0A72AC4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D=2500mm，N=7.5kW</w:t>
                  </w:r>
                </w:p>
              </w:tc>
              <w:tc>
                <w:tcPr>
                  <w:tcW w:w="369" w:type="pct"/>
                  <w:tcBorders>
                    <w:tl2br w:val="nil"/>
                    <w:tr2bl w:val="nil"/>
                  </w:tcBorders>
                  <w:shd w:val="clear" w:color="auto" w:fill="auto"/>
                  <w:tcMar>
                    <w:top w:w="120" w:type="dxa"/>
                    <w:left w:w="120" w:type="dxa"/>
                    <w:bottom w:w="120" w:type="dxa"/>
                    <w:right w:w="120" w:type="dxa"/>
                  </w:tcMar>
                  <w:vAlign w:val="center"/>
                </w:tcPr>
                <w:p w14:paraId="42A3C28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2</w:t>
                  </w:r>
                </w:p>
              </w:tc>
              <w:tc>
                <w:tcPr>
                  <w:tcW w:w="275" w:type="pct"/>
                  <w:tcBorders>
                    <w:tl2br w:val="nil"/>
                    <w:tr2bl w:val="nil"/>
                  </w:tcBorders>
                  <w:shd w:val="clear" w:color="auto" w:fill="auto"/>
                  <w:tcMar>
                    <w:top w:w="120" w:type="dxa"/>
                    <w:left w:w="120" w:type="dxa"/>
                    <w:bottom w:w="120" w:type="dxa"/>
                    <w:right w:w="120" w:type="dxa"/>
                  </w:tcMar>
                  <w:vAlign w:val="center"/>
                </w:tcPr>
                <w:p w14:paraId="7BC7030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95</w:t>
                  </w:r>
                </w:p>
              </w:tc>
              <w:tc>
                <w:tcPr>
                  <w:tcW w:w="266" w:type="pct"/>
                  <w:tcBorders>
                    <w:tl2br w:val="nil"/>
                    <w:tr2bl w:val="nil"/>
                  </w:tcBorders>
                  <w:shd w:val="clear" w:color="auto" w:fill="auto"/>
                  <w:tcMar>
                    <w:top w:w="120" w:type="dxa"/>
                    <w:left w:w="120" w:type="dxa"/>
                    <w:bottom w:w="120" w:type="dxa"/>
                    <w:right w:w="120" w:type="dxa"/>
                  </w:tcMar>
                  <w:vAlign w:val="center"/>
                </w:tcPr>
                <w:p w14:paraId="5B8A2E7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155</w:t>
                  </w:r>
                </w:p>
              </w:tc>
              <w:tc>
                <w:tcPr>
                  <w:tcW w:w="250" w:type="pct"/>
                  <w:tcBorders>
                    <w:tl2br w:val="nil"/>
                    <w:tr2bl w:val="nil"/>
                  </w:tcBorders>
                  <w:shd w:val="clear" w:color="auto" w:fill="auto"/>
                  <w:tcMar>
                    <w:top w:w="120" w:type="dxa"/>
                    <w:left w:w="120" w:type="dxa"/>
                    <w:bottom w:w="120" w:type="dxa"/>
                    <w:right w:w="120" w:type="dxa"/>
                  </w:tcMar>
                  <w:vAlign w:val="center"/>
                </w:tcPr>
                <w:p w14:paraId="6C59B99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0.0</w:t>
                  </w:r>
                </w:p>
              </w:tc>
              <w:tc>
                <w:tcPr>
                  <w:tcW w:w="502" w:type="pct"/>
                  <w:tcBorders>
                    <w:tl2br w:val="nil"/>
                    <w:tr2bl w:val="nil"/>
                  </w:tcBorders>
                  <w:shd w:val="clear" w:color="auto" w:fill="auto"/>
                  <w:tcMar>
                    <w:top w:w="120" w:type="dxa"/>
                    <w:left w:w="120" w:type="dxa"/>
                    <w:bottom w:w="120" w:type="dxa"/>
                    <w:right w:w="120" w:type="dxa"/>
                  </w:tcMar>
                  <w:vAlign w:val="center"/>
                </w:tcPr>
                <w:p w14:paraId="7FB2DEB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85</w:t>
                  </w:r>
                </w:p>
              </w:tc>
              <w:tc>
                <w:tcPr>
                  <w:tcW w:w="453" w:type="pct"/>
                  <w:tcBorders>
                    <w:tl2br w:val="nil"/>
                    <w:tr2bl w:val="nil"/>
                  </w:tcBorders>
                  <w:shd w:val="clear" w:color="auto" w:fill="auto"/>
                  <w:tcMar>
                    <w:top w:w="120" w:type="dxa"/>
                    <w:left w:w="120" w:type="dxa"/>
                    <w:bottom w:w="120" w:type="dxa"/>
                    <w:right w:w="120" w:type="dxa"/>
                  </w:tcMar>
                  <w:vAlign w:val="center"/>
                </w:tcPr>
                <w:p w14:paraId="42BCE3C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设备</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减震</w:t>
                  </w:r>
                </w:p>
              </w:tc>
              <w:tc>
                <w:tcPr>
                  <w:tcW w:w="331" w:type="pct"/>
                  <w:tcBorders>
                    <w:tl2br w:val="nil"/>
                    <w:tr2bl w:val="nil"/>
                  </w:tcBorders>
                  <w:shd w:val="clear" w:color="auto" w:fill="auto"/>
                  <w:tcMar>
                    <w:top w:w="120" w:type="dxa"/>
                    <w:left w:w="120" w:type="dxa"/>
                    <w:bottom w:w="120" w:type="dxa"/>
                    <w:right w:w="120" w:type="dxa"/>
                  </w:tcMar>
                  <w:vAlign w:val="center"/>
                </w:tcPr>
                <w:p w14:paraId="0D8B5FA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0.25</w:t>
                  </w:r>
                </w:p>
              </w:tc>
              <w:tc>
                <w:tcPr>
                  <w:tcW w:w="268" w:type="pct"/>
                  <w:tcBorders>
                    <w:tl2br w:val="nil"/>
                    <w:tr2bl w:val="nil"/>
                  </w:tcBorders>
                  <w:shd w:val="clear" w:color="auto" w:fill="auto"/>
                  <w:tcMar>
                    <w:top w:w="120" w:type="dxa"/>
                    <w:left w:w="120" w:type="dxa"/>
                    <w:bottom w:w="120" w:type="dxa"/>
                    <w:right w:w="120" w:type="dxa"/>
                  </w:tcMar>
                  <w:vAlign w:val="center"/>
                </w:tcPr>
                <w:p w14:paraId="3B231A4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60</w:t>
                  </w:r>
                </w:p>
              </w:tc>
              <w:tc>
                <w:tcPr>
                  <w:tcW w:w="260" w:type="pct"/>
                  <w:tcBorders>
                    <w:tl2br w:val="nil"/>
                    <w:tr2bl w:val="nil"/>
                  </w:tcBorders>
                  <w:shd w:val="clear" w:color="auto" w:fill="auto"/>
                  <w:tcMar>
                    <w:top w:w="120" w:type="dxa"/>
                    <w:left w:w="120" w:type="dxa"/>
                    <w:bottom w:w="120" w:type="dxa"/>
                    <w:right w:w="120" w:type="dxa"/>
                  </w:tcMar>
                  <w:vAlign w:val="center"/>
                </w:tcPr>
                <w:p w14:paraId="58747A3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连续</w:t>
                  </w:r>
                </w:p>
              </w:tc>
            </w:tr>
            <w:tr w14:paraId="688CD6B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15" w:type="dxa"/>
                  <w:left w:w="15" w:type="dxa"/>
                  <w:bottom w:w="15" w:type="dxa"/>
                  <w:right w:w="15" w:type="dxa"/>
                </w:tblCellMar>
              </w:tblPrEx>
              <w:trPr>
                <w:trHeight w:val="23" w:hRule="atLeast"/>
              </w:trPr>
              <w:tc>
                <w:tcPr>
                  <w:tcW w:w="188" w:type="pct"/>
                  <w:tcBorders>
                    <w:tl2br w:val="nil"/>
                    <w:tr2bl w:val="nil"/>
                  </w:tcBorders>
                  <w:shd w:val="clear" w:color="auto" w:fill="auto"/>
                  <w:tcMar>
                    <w:top w:w="120" w:type="dxa"/>
                    <w:left w:w="120" w:type="dxa"/>
                    <w:bottom w:w="120" w:type="dxa"/>
                    <w:right w:w="120" w:type="dxa"/>
                  </w:tcMar>
                  <w:vAlign w:val="center"/>
                </w:tcPr>
                <w:p w14:paraId="3CCD04B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w:t>
                  </w:r>
                </w:p>
              </w:tc>
              <w:tc>
                <w:tcPr>
                  <w:tcW w:w="337" w:type="pct"/>
                  <w:tcBorders>
                    <w:tl2br w:val="nil"/>
                    <w:tr2bl w:val="nil"/>
                  </w:tcBorders>
                  <w:shd w:val="clear" w:color="auto" w:fill="auto"/>
                  <w:tcMar>
                    <w:top w:w="120" w:type="dxa"/>
                    <w:left w:w="120" w:type="dxa"/>
                    <w:bottom w:w="120" w:type="dxa"/>
                    <w:right w:w="120" w:type="dxa"/>
                  </w:tcMar>
                  <w:vAlign w:val="center"/>
                </w:tcPr>
                <w:p w14:paraId="3ACCEC1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潜水推流器</w:t>
                  </w:r>
                </w:p>
              </w:tc>
              <w:tc>
                <w:tcPr>
                  <w:tcW w:w="322" w:type="pct"/>
                  <w:tcBorders>
                    <w:tl2br w:val="nil"/>
                    <w:tr2bl w:val="nil"/>
                  </w:tcBorders>
                  <w:shd w:val="clear" w:color="auto" w:fill="auto"/>
                  <w:tcMar>
                    <w:top w:w="120" w:type="dxa"/>
                    <w:left w:w="120" w:type="dxa"/>
                    <w:bottom w:w="120" w:type="dxa"/>
                    <w:right w:w="120" w:type="dxa"/>
                  </w:tcMar>
                  <w:vAlign w:val="center"/>
                </w:tcPr>
                <w:p w14:paraId="398EA33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缺氧池</w:t>
                  </w:r>
                </w:p>
              </w:tc>
              <w:tc>
                <w:tcPr>
                  <w:tcW w:w="389" w:type="pct"/>
                  <w:tcBorders>
                    <w:tl2br w:val="nil"/>
                    <w:tr2bl w:val="nil"/>
                  </w:tcBorders>
                  <w:shd w:val="clear" w:color="auto" w:fill="auto"/>
                  <w:tcMar>
                    <w:top w:w="120" w:type="dxa"/>
                    <w:left w:w="120" w:type="dxa"/>
                    <w:bottom w:w="120" w:type="dxa"/>
                    <w:right w:w="120" w:type="dxa"/>
                  </w:tcMar>
                  <w:vAlign w:val="center"/>
                </w:tcPr>
                <w:p w14:paraId="19DA131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半室内点声源</w:t>
                  </w:r>
                </w:p>
              </w:tc>
              <w:tc>
                <w:tcPr>
                  <w:tcW w:w="782" w:type="pct"/>
                  <w:tcBorders>
                    <w:tl2br w:val="nil"/>
                    <w:tr2bl w:val="nil"/>
                  </w:tcBorders>
                  <w:shd w:val="clear" w:color="auto" w:fill="auto"/>
                  <w:tcMar>
                    <w:top w:w="120" w:type="dxa"/>
                    <w:left w:w="120" w:type="dxa"/>
                    <w:bottom w:w="120" w:type="dxa"/>
                    <w:right w:w="120" w:type="dxa"/>
                  </w:tcMar>
                  <w:vAlign w:val="center"/>
                </w:tcPr>
                <w:p w14:paraId="38901EC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D=2500mm，N=7.5kW</w:t>
                  </w:r>
                </w:p>
              </w:tc>
              <w:tc>
                <w:tcPr>
                  <w:tcW w:w="369" w:type="pct"/>
                  <w:tcBorders>
                    <w:tl2br w:val="nil"/>
                    <w:tr2bl w:val="nil"/>
                  </w:tcBorders>
                  <w:shd w:val="clear" w:color="auto" w:fill="auto"/>
                  <w:tcMar>
                    <w:top w:w="120" w:type="dxa"/>
                    <w:left w:w="120" w:type="dxa"/>
                    <w:bottom w:w="120" w:type="dxa"/>
                    <w:right w:w="120" w:type="dxa"/>
                  </w:tcMar>
                  <w:vAlign w:val="center"/>
                </w:tcPr>
                <w:p w14:paraId="29C9CE0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w:t>
                  </w:r>
                </w:p>
              </w:tc>
              <w:tc>
                <w:tcPr>
                  <w:tcW w:w="275" w:type="pct"/>
                  <w:tcBorders>
                    <w:tl2br w:val="nil"/>
                    <w:tr2bl w:val="nil"/>
                  </w:tcBorders>
                  <w:shd w:val="clear" w:color="auto" w:fill="auto"/>
                  <w:tcMar>
                    <w:top w:w="120" w:type="dxa"/>
                    <w:left w:w="120" w:type="dxa"/>
                    <w:bottom w:w="120" w:type="dxa"/>
                    <w:right w:w="120" w:type="dxa"/>
                  </w:tcMar>
                  <w:vAlign w:val="center"/>
                </w:tcPr>
                <w:p w14:paraId="1C3D0D7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102</w:t>
                  </w:r>
                </w:p>
              </w:tc>
              <w:tc>
                <w:tcPr>
                  <w:tcW w:w="266" w:type="pct"/>
                  <w:tcBorders>
                    <w:tl2br w:val="nil"/>
                    <w:tr2bl w:val="nil"/>
                  </w:tcBorders>
                  <w:shd w:val="clear" w:color="auto" w:fill="auto"/>
                  <w:tcMar>
                    <w:top w:w="120" w:type="dxa"/>
                    <w:left w:w="120" w:type="dxa"/>
                    <w:bottom w:w="120" w:type="dxa"/>
                    <w:right w:w="120" w:type="dxa"/>
                  </w:tcMar>
                  <w:vAlign w:val="center"/>
                </w:tcPr>
                <w:p w14:paraId="745DD26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155</w:t>
                  </w:r>
                </w:p>
              </w:tc>
              <w:tc>
                <w:tcPr>
                  <w:tcW w:w="250" w:type="pct"/>
                  <w:tcBorders>
                    <w:tl2br w:val="nil"/>
                    <w:tr2bl w:val="nil"/>
                  </w:tcBorders>
                  <w:shd w:val="clear" w:color="auto" w:fill="auto"/>
                  <w:tcMar>
                    <w:top w:w="120" w:type="dxa"/>
                    <w:left w:w="120" w:type="dxa"/>
                    <w:bottom w:w="120" w:type="dxa"/>
                    <w:right w:w="120" w:type="dxa"/>
                  </w:tcMar>
                  <w:vAlign w:val="center"/>
                </w:tcPr>
                <w:p w14:paraId="3B2D4E7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0.0</w:t>
                  </w:r>
                </w:p>
              </w:tc>
              <w:tc>
                <w:tcPr>
                  <w:tcW w:w="502" w:type="pct"/>
                  <w:tcBorders>
                    <w:tl2br w:val="nil"/>
                    <w:tr2bl w:val="nil"/>
                  </w:tcBorders>
                  <w:shd w:val="clear" w:color="auto" w:fill="auto"/>
                  <w:tcMar>
                    <w:top w:w="120" w:type="dxa"/>
                    <w:left w:w="120" w:type="dxa"/>
                    <w:bottom w:w="120" w:type="dxa"/>
                    <w:right w:w="120" w:type="dxa"/>
                  </w:tcMar>
                  <w:vAlign w:val="center"/>
                </w:tcPr>
                <w:p w14:paraId="0FD4590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85</w:t>
                  </w:r>
                </w:p>
              </w:tc>
              <w:tc>
                <w:tcPr>
                  <w:tcW w:w="453" w:type="pct"/>
                  <w:tcBorders>
                    <w:tl2br w:val="nil"/>
                    <w:tr2bl w:val="nil"/>
                  </w:tcBorders>
                  <w:shd w:val="clear" w:color="auto" w:fill="auto"/>
                  <w:tcMar>
                    <w:top w:w="120" w:type="dxa"/>
                    <w:left w:w="120" w:type="dxa"/>
                    <w:bottom w:w="120" w:type="dxa"/>
                    <w:right w:w="120" w:type="dxa"/>
                  </w:tcMar>
                  <w:vAlign w:val="center"/>
                </w:tcPr>
                <w:p w14:paraId="206E00A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设备</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减震</w:t>
                  </w:r>
                </w:p>
              </w:tc>
              <w:tc>
                <w:tcPr>
                  <w:tcW w:w="331" w:type="pct"/>
                  <w:tcBorders>
                    <w:tl2br w:val="nil"/>
                    <w:tr2bl w:val="nil"/>
                  </w:tcBorders>
                  <w:shd w:val="clear" w:color="auto" w:fill="auto"/>
                  <w:tcMar>
                    <w:top w:w="120" w:type="dxa"/>
                    <w:left w:w="120" w:type="dxa"/>
                    <w:bottom w:w="120" w:type="dxa"/>
                    <w:right w:w="120" w:type="dxa"/>
                  </w:tcMar>
                  <w:vAlign w:val="center"/>
                </w:tcPr>
                <w:p w14:paraId="02D70F5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0.25</w:t>
                  </w:r>
                </w:p>
              </w:tc>
              <w:tc>
                <w:tcPr>
                  <w:tcW w:w="268" w:type="pct"/>
                  <w:tcBorders>
                    <w:tl2br w:val="nil"/>
                    <w:tr2bl w:val="nil"/>
                  </w:tcBorders>
                  <w:shd w:val="clear" w:color="auto" w:fill="auto"/>
                  <w:tcMar>
                    <w:top w:w="120" w:type="dxa"/>
                    <w:left w:w="120" w:type="dxa"/>
                    <w:bottom w:w="120" w:type="dxa"/>
                    <w:right w:w="120" w:type="dxa"/>
                  </w:tcMar>
                  <w:vAlign w:val="center"/>
                </w:tcPr>
                <w:p w14:paraId="6480A64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60</w:t>
                  </w:r>
                </w:p>
              </w:tc>
              <w:tc>
                <w:tcPr>
                  <w:tcW w:w="260" w:type="pct"/>
                  <w:tcBorders>
                    <w:tl2br w:val="nil"/>
                    <w:tr2bl w:val="nil"/>
                  </w:tcBorders>
                  <w:shd w:val="clear" w:color="auto" w:fill="auto"/>
                  <w:tcMar>
                    <w:top w:w="120" w:type="dxa"/>
                    <w:left w:w="120" w:type="dxa"/>
                    <w:bottom w:w="120" w:type="dxa"/>
                    <w:right w:w="120" w:type="dxa"/>
                  </w:tcMar>
                  <w:vAlign w:val="center"/>
                </w:tcPr>
                <w:p w14:paraId="58BFB72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连续</w:t>
                  </w:r>
                </w:p>
              </w:tc>
            </w:tr>
            <w:tr w14:paraId="50D05DB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15" w:type="dxa"/>
                  <w:left w:w="15" w:type="dxa"/>
                  <w:bottom w:w="15" w:type="dxa"/>
                  <w:right w:w="15" w:type="dxa"/>
                </w:tblCellMar>
              </w:tblPrEx>
              <w:trPr>
                <w:trHeight w:val="23" w:hRule="atLeast"/>
              </w:trPr>
              <w:tc>
                <w:tcPr>
                  <w:tcW w:w="188" w:type="pct"/>
                  <w:tcBorders>
                    <w:tl2br w:val="nil"/>
                    <w:tr2bl w:val="nil"/>
                  </w:tcBorders>
                  <w:shd w:val="clear" w:color="auto" w:fill="auto"/>
                  <w:tcMar>
                    <w:top w:w="120" w:type="dxa"/>
                    <w:left w:w="120" w:type="dxa"/>
                    <w:bottom w:w="120" w:type="dxa"/>
                    <w:right w:w="120" w:type="dxa"/>
                  </w:tcMar>
                  <w:vAlign w:val="center"/>
                </w:tcPr>
                <w:p w14:paraId="40F57B7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6</w:t>
                  </w:r>
                </w:p>
              </w:tc>
              <w:tc>
                <w:tcPr>
                  <w:tcW w:w="337" w:type="pct"/>
                  <w:tcBorders>
                    <w:tl2br w:val="nil"/>
                    <w:tr2bl w:val="nil"/>
                  </w:tcBorders>
                  <w:shd w:val="clear" w:color="auto" w:fill="auto"/>
                  <w:tcMar>
                    <w:top w:w="120" w:type="dxa"/>
                    <w:left w:w="120" w:type="dxa"/>
                    <w:bottom w:w="120" w:type="dxa"/>
                    <w:right w:w="120" w:type="dxa"/>
                  </w:tcMar>
                  <w:vAlign w:val="center"/>
                </w:tcPr>
                <w:p w14:paraId="763C864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潜水搅拌机</w:t>
                  </w:r>
                </w:p>
              </w:tc>
              <w:tc>
                <w:tcPr>
                  <w:tcW w:w="322" w:type="pct"/>
                  <w:tcBorders>
                    <w:tl2br w:val="nil"/>
                    <w:tr2bl w:val="nil"/>
                  </w:tcBorders>
                  <w:shd w:val="clear" w:color="auto" w:fill="auto"/>
                  <w:tcMar>
                    <w:top w:w="120" w:type="dxa"/>
                    <w:left w:w="120" w:type="dxa"/>
                    <w:bottom w:w="120" w:type="dxa"/>
                    <w:right w:w="120" w:type="dxa"/>
                  </w:tcMar>
                  <w:vAlign w:val="center"/>
                </w:tcPr>
                <w:p w14:paraId="3D78F66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生化池</w:t>
                  </w:r>
                </w:p>
              </w:tc>
              <w:tc>
                <w:tcPr>
                  <w:tcW w:w="389" w:type="pct"/>
                  <w:tcBorders>
                    <w:tl2br w:val="nil"/>
                    <w:tr2bl w:val="nil"/>
                  </w:tcBorders>
                  <w:shd w:val="clear" w:color="auto" w:fill="auto"/>
                  <w:tcMar>
                    <w:top w:w="120" w:type="dxa"/>
                    <w:left w:w="120" w:type="dxa"/>
                    <w:bottom w:w="120" w:type="dxa"/>
                    <w:right w:w="120" w:type="dxa"/>
                  </w:tcMar>
                  <w:vAlign w:val="center"/>
                </w:tcPr>
                <w:p w14:paraId="242BD2B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半室内点声源</w:t>
                  </w:r>
                </w:p>
              </w:tc>
              <w:tc>
                <w:tcPr>
                  <w:tcW w:w="782" w:type="pct"/>
                  <w:tcBorders>
                    <w:tl2br w:val="nil"/>
                    <w:tr2bl w:val="nil"/>
                  </w:tcBorders>
                  <w:shd w:val="clear" w:color="auto" w:fill="auto"/>
                  <w:tcMar>
                    <w:top w:w="120" w:type="dxa"/>
                    <w:left w:w="120" w:type="dxa"/>
                    <w:bottom w:w="120" w:type="dxa"/>
                    <w:right w:w="120" w:type="dxa"/>
                  </w:tcMar>
                  <w:vAlign w:val="center"/>
                </w:tcPr>
                <w:p w14:paraId="09C8BD9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低速大扇叶，N=1.5kW</w:t>
                  </w:r>
                </w:p>
              </w:tc>
              <w:tc>
                <w:tcPr>
                  <w:tcW w:w="369" w:type="pct"/>
                  <w:tcBorders>
                    <w:tl2br w:val="nil"/>
                    <w:tr2bl w:val="nil"/>
                  </w:tcBorders>
                  <w:shd w:val="clear" w:color="auto" w:fill="auto"/>
                  <w:tcMar>
                    <w:top w:w="120" w:type="dxa"/>
                    <w:left w:w="120" w:type="dxa"/>
                    <w:bottom w:w="120" w:type="dxa"/>
                    <w:right w:w="120" w:type="dxa"/>
                  </w:tcMar>
                  <w:vAlign w:val="center"/>
                </w:tcPr>
                <w:p w14:paraId="7D9A5BC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6</w:t>
                  </w:r>
                </w:p>
              </w:tc>
              <w:tc>
                <w:tcPr>
                  <w:tcW w:w="275" w:type="pct"/>
                  <w:tcBorders>
                    <w:tl2br w:val="nil"/>
                    <w:tr2bl w:val="nil"/>
                  </w:tcBorders>
                  <w:shd w:val="clear" w:color="auto" w:fill="auto"/>
                  <w:tcMar>
                    <w:top w:w="120" w:type="dxa"/>
                    <w:left w:w="120" w:type="dxa"/>
                    <w:bottom w:w="120" w:type="dxa"/>
                    <w:right w:w="120" w:type="dxa"/>
                  </w:tcMar>
                  <w:vAlign w:val="center"/>
                </w:tcPr>
                <w:p w14:paraId="559361E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110</w:t>
                  </w:r>
                </w:p>
              </w:tc>
              <w:tc>
                <w:tcPr>
                  <w:tcW w:w="266" w:type="pct"/>
                  <w:tcBorders>
                    <w:tl2br w:val="nil"/>
                    <w:tr2bl w:val="nil"/>
                  </w:tcBorders>
                  <w:shd w:val="clear" w:color="auto" w:fill="auto"/>
                  <w:tcMar>
                    <w:top w:w="120" w:type="dxa"/>
                    <w:left w:w="120" w:type="dxa"/>
                    <w:bottom w:w="120" w:type="dxa"/>
                    <w:right w:w="120" w:type="dxa"/>
                  </w:tcMar>
                  <w:vAlign w:val="center"/>
                </w:tcPr>
                <w:p w14:paraId="5E6C031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148</w:t>
                  </w:r>
                </w:p>
              </w:tc>
              <w:tc>
                <w:tcPr>
                  <w:tcW w:w="250" w:type="pct"/>
                  <w:tcBorders>
                    <w:tl2br w:val="nil"/>
                    <w:tr2bl w:val="nil"/>
                  </w:tcBorders>
                  <w:shd w:val="clear" w:color="auto" w:fill="auto"/>
                  <w:tcMar>
                    <w:top w:w="120" w:type="dxa"/>
                    <w:left w:w="120" w:type="dxa"/>
                    <w:bottom w:w="120" w:type="dxa"/>
                    <w:right w:w="120" w:type="dxa"/>
                  </w:tcMar>
                  <w:vAlign w:val="center"/>
                </w:tcPr>
                <w:p w14:paraId="19A5D73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0.0</w:t>
                  </w:r>
                </w:p>
              </w:tc>
              <w:tc>
                <w:tcPr>
                  <w:tcW w:w="502" w:type="pct"/>
                  <w:tcBorders>
                    <w:tl2br w:val="nil"/>
                    <w:tr2bl w:val="nil"/>
                  </w:tcBorders>
                  <w:shd w:val="clear" w:color="auto" w:fill="auto"/>
                  <w:tcMar>
                    <w:top w:w="120" w:type="dxa"/>
                    <w:left w:w="120" w:type="dxa"/>
                    <w:bottom w:w="120" w:type="dxa"/>
                    <w:right w:w="120" w:type="dxa"/>
                  </w:tcMar>
                  <w:vAlign w:val="center"/>
                </w:tcPr>
                <w:p w14:paraId="773F428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85</w:t>
                  </w:r>
                </w:p>
              </w:tc>
              <w:tc>
                <w:tcPr>
                  <w:tcW w:w="453" w:type="pct"/>
                  <w:tcBorders>
                    <w:tl2br w:val="nil"/>
                    <w:tr2bl w:val="nil"/>
                  </w:tcBorders>
                  <w:shd w:val="clear" w:color="auto" w:fill="auto"/>
                  <w:tcMar>
                    <w:top w:w="120" w:type="dxa"/>
                    <w:left w:w="120" w:type="dxa"/>
                    <w:bottom w:w="120" w:type="dxa"/>
                    <w:right w:w="120" w:type="dxa"/>
                  </w:tcMar>
                  <w:vAlign w:val="center"/>
                </w:tcPr>
                <w:p w14:paraId="5870D3C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设备</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减震</w:t>
                  </w:r>
                </w:p>
              </w:tc>
              <w:tc>
                <w:tcPr>
                  <w:tcW w:w="331" w:type="pct"/>
                  <w:tcBorders>
                    <w:tl2br w:val="nil"/>
                    <w:tr2bl w:val="nil"/>
                  </w:tcBorders>
                  <w:shd w:val="clear" w:color="auto" w:fill="auto"/>
                  <w:tcMar>
                    <w:top w:w="120" w:type="dxa"/>
                    <w:left w:w="120" w:type="dxa"/>
                    <w:bottom w:w="120" w:type="dxa"/>
                    <w:right w:w="120" w:type="dxa"/>
                  </w:tcMar>
                  <w:vAlign w:val="center"/>
                </w:tcPr>
                <w:p w14:paraId="08AE979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0.25</w:t>
                  </w:r>
                </w:p>
              </w:tc>
              <w:tc>
                <w:tcPr>
                  <w:tcW w:w="268" w:type="pct"/>
                  <w:tcBorders>
                    <w:tl2br w:val="nil"/>
                    <w:tr2bl w:val="nil"/>
                  </w:tcBorders>
                  <w:shd w:val="clear" w:color="auto" w:fill="auto"/>
                  <w:tcMar>
                    <w:top w:w="120" w:type="dxa"/>
                    <w:left w:w="120" w:type="dxa"/>
                    <w:bottom w:w="120" w:type="dxa"/>
                    <w:right w:w="120" w:type="dxa"/>
                  </w:tcMar>
                  <w:vAlign w:val="center"/>
                </w:tcPr>
                <w:p w14:paraId="0159906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60</w:t>
                  </w:r>
                </w:p>
              </w:tc>
              <w:tc>
                <w:tcPr>
                  <w:tcW w:w="260" w:type="pct"/>
                  <w:tcBorders>
                    <w:tl2br w:val="nil"/>
                    <w:tr2bl w:val="nil"/>
                  </w:tcBorders>
                  <w:shd w:val="clear" w:color="auto" w:fill="auto"/>
                  <w:tcMar>
                    <w:top w:w="120" w:type="dxa"/>
                    <w:left w:w="120" w:type="dxa"/>
                    <w:bottom w:w="120" w:type="dxa"/>
                    <w:right w:w="120" w:type="dxa"/>
                  </w:tcMar>
                  <w:vAlign w:val="center"/>
                </w:tcPr>
                <w:p w14:paraId="174D866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连续</w:t>
                  </w:r>
                </w:p>
              </w:tc>
            </w:tr>
            <w:tr w14:paraId="5A5C73C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15" w:type="dxa"/>
                  <w:left w:w="15" w:type="dxa"/>
                  <w:bottom w:w="15" w:type="dxa"/>
                  <w:right w:w="15" w:type="dxa"/>
                </w:tblCellMar>
              </w:tblPrEx>
              <w:trPr>
                <w:trHeight w:val="23" w:hRule="atLeast"/>
              </w:trPr>
              <w:tc>
                <w:tcPr>
                  <w:tcW w:w="188" w:type="pct"/>
                  <w:tcBorders>
                    <w:tl2br w:val="nil"/>
                    <w:tr2bl w:val="nil"/>
                  </w:tcBorders>
                  <w:shd w:val="clear" w:color="auto" w:fill="auto"/>
                  <w:tcMar>
                    <w:top w:w="120" w:type="dxa"/>
                    <w:left w:w="120" w:type="dxa"/>
                    <w:bottom w:w="120" w:type="dxa"/>
                    <w:right w:w="120" w:type="dxa"/>
                  </w:tcMar>
                  <w:vAlign w:val="center"/>
                </w:tcPr>
                <w:p w14:paraId="057C0B3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7</w:t>
                  </w:r>
                </w:p>
              </w:tc>
              <w:tc>
                <w:tcPr>
                  <w:tcW w:w="337" w:type="pct"/>
                  <w:tcBorders>
                    <w:tl2br w:val="nil"/>
                    <w:tr2bl w:val="nil"/>
                  </w:tcBorders>
                  <w:shd w:val="clear" w:color="auto" w:fill="auto"/>
                  <w:tcMar>
                    <w:top w:w="120" w:type="dxa"/>
                    <w:left w:w="120" w:type="dxa"/>
                    <w:bottom w:w="120" w:type="dxa"/>
                    <w:right w:w="120" w:type="dxa"/>
                  </w:tcMar>
                  <w:vAlign w:val="center"/>
                </w:tcPr>
                <w:p w14:paraId="6CFE02D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污泥脱水机</w:t>
                  </w:r>
                </w:p>
              </w:tc>
              <w:tc>
                <w:tcPr>
                  <w:tcW w:w="322" w:type="pct"/>
                  <w:tcBorders>
                    <w:tl2br w:val="nil"/>
                    <w:tr2bl w:val="nil"/>
                  </w:tcBorders>
                  <w:shd w:val="clear" w:color="auto" w:fill="auto"/>
                  <w:tcMar>
                    <w:top w:w="120" w:type="dxa"/>
                    <w:left w:w="120" w:type="dxa"/>
                    <w:bottom w:w="120" w:type="dxa"/>
                    <w:right w:w="120" w:type="dxa"/>
                  </w:tcMar>
                  <w:vAlign w:val="center"/>
                </w:tcPr>
                <w:p w14:paraId="2D42B1D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污泥脱水机房</w:t>
                  </w:r>
                </w:p>
              </w:tc>
              <w:tc>
                <w:tcPr>
                  <w:tcW w:w="389" w:type="pct"/>
                  <w:tcBorders>
                    <w:tl2br w:val="nil"/>
                    <w:tr2bl w:val="nil"/>
                  </w:tcBorders>
                  <w:shd w:val="clear" w:color="auto" w:fill="auto"/>
                  <w:tcMar>
                    <w:top w:w="120" w:type="dxa"/>
                    <w:left w:w="120" w:type="dxa"/>
                    <w:bottom w:w="120" w:type="dxa"/>
                    <w:right w:w="120" w:type="dxa"/>
                  </w:tcMar>
                  <w:vAlign w:val="center"/>
                </w:tcPr>
                <w:p w14:paraId="4201825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室内点声源</w:t>
                  </w:r>
                </w:p>
              </w:tc>
              <w:tc>
                <w:tcPr>
                  <w:tcW w:w="782" w:type="pct"/>
                  <w:tcBorders>
                    <w:tl2br w:val="nil"/>
                    <w:tr2bl w:val="nil"/>
                  </w:tcBorders>
                  <w:shd w:val="clear" w:color="auto" w:fill="auto"/>
                  <w:tcMar>
                    <w:top w:w="120" w:type="dxa"/>
                    <w:left w:w="120" w:type="dxa"/>
                    <w:bottom w:w="120" w:type="dxa"/>
                    <w:right w:w="120" w:type="dxa"/>
                  </w:tcMar>
                  <w:vAlign w:val="center"/>
                </w:tcPr>
                <w:p w14:paraId="3F9A4C0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37.5~49m</w:t>
                  </w:r>
                  <w:r>
                    <w:rPr>
                      <w:rFonts w:hint="eastAsia" w:ascii="Times New Roman" w:hAnsi="Times New Roman" w:eastAsia="宋体" w:cs="Times New Roman"/>
                      <w:b w:val="0"/>
                      <w:bCs w:val="0"/>
                      <w:color w:val="000000" w:themeColor="text1"/>
                      <w:kern w:val="0"/>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//h</w:t>
                  </w:r>
                </w:p>
              </w:tc>
              <w:tc>
                <w:tcPr>
                  <w:tcW w:w="369" w:type="pct"/>
                  <w:tcBorders>
                    <w:tl2br w:val="nil"/>
                    <w:tr2bl w:val="nil"/>
                  </w:tcBorders>
                  <w:shd w:val="clear" w:color="auto" w:fill="auto"/>
                  <w:tcMar>
                    <w:top w:w="120" w:type="dxa"/>
                    <w:left w:w="120" w:type="dxa"/>
                    <w:bottom w:w="120" w:type="dxa"/>
                    <w:right w:w="120" w:type="dxa"/>
                  </w:tcMar>
                  <w:vAlign w:val="center"/>
                </w:tcPr>
                <w:p w14:paraId="6136217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3</w:t>
                  </w:r>
                </w:p>
              </w:tc>
              <w:tc>
                <w:tcPr>
                  <w:tcW w:w="275" w:type="pct"/>
                  <w:tcBorders>
                    <w:tl2br w:val="nil"/>
                    <w:tr2bl w:val="nil"/>
                  </w:tcBorders>
                  <w:shd w:val="clear" w:color="auto" w:fill="auto"/>
                  <w:tcMar>
                    <w:top w:w="120" w:type="dxa"/>
                    <w:left w:w="120" w:type="dxa"/>
                    <w:bottom w:w="120" w:type="dxa"/>
                    <w:right w:w="120" w:type="dxa"/>
                  </w:tcMar>
                  <w:vAlign w:val="center"/>
                </w:tcPr>
                <w:p w14:paraId="58C6521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65</w:t>
                  </w:r>
                </w:p>
              </w:tc>
              <w:tc>
                <w:tcPr>
                  <w:tcW w:w="266" w:type="pct"/>
                  <w:tcBorders>
                    <w:tl2br w:val="nil"/>
                    <w:tr2bl w:val="nil"/>
                  </w:tcBorders>
                  <w:shd w:val="clear" w:color="auto" w:fill="auto"/>
                  <w:tcMar>
                    <w:top w:w="120" w:type="dxa"/>
                    <w:left w:w="120" w:type="dxa"/>
                    <w:bottom w:w="120" w:type="dxa"/>
                    <w:right w:w="120" w:type="dxa"/>
                  </w:tcMar>
                  <w:vAlign w:val="center"/>
                </w:tcPr>
                <w:p w14:paraId="01AD9E7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88</w:t>
                  </w:r>
                </w:p>
              </w:tc>
              <w:tc>
                <w:tcPr>
                  <w:tcW w:w="250" w:type="pct"/>
                  <w:tcBorders>
                    <w:tl2br w:val="nil"/>
                    <w:tr2bl w:val="nil"/>
                  </w:tcBorders>
                  <w:shd w:val="clear" w:color="auto" w:fill="auto"/>
                  <w:tcMar>
                    <w:top w:w="120" w:type="dxa"/>
                    <w:left w:w="120" w:type="dxa"/>
                    <w:bottom w:w="120" w:type="dxa"/>
                    <w:right w:w="120" w:type="dxa"/>
                  </w:tcMar>
                  <w:vAlign w:val="center"/>
                </w:tcPr>
                <w:p w14:paraId="4C5D565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1.0</w:t>
                  </w:r>
                </w:p>
              </w:tc>
              <w:tc>
                <w:tcPr>
                  <w:tcW w:w="502" w:type="pct"/>
                  <w:tcBorders>
                    <w:tl2br w:val="nil"/>
                    <w:tr2bl w:val="nil"/>
                  </w:tcBorders>
                  <w:shd w:val="clear" w:color="auto" w:fill="auto"/>
                  <w:tcMar>
                    <w:top w:w="120" w:type="dxa"/>
                    <w:left w:w="120" w:type="dxa"/>
                    <w:bottom w:w="120" w:type="dxa"/>
                    <w:right w:w="120" w:type="dxa"/>
                  </w:tcMar>
                  <w:vAlign w:val="center"/>
                </w:tcPr>
                <w:p w14:paraId="6C81860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85</w:t>
                  </w:r>
                </w:p>
              </w:tc>
              <w:tc>
                <w:tcPr>
                  <w:tcW w:w="453" w:type="pct"/>
                  <w:tcBorders>
                    <w:tl2br w:val="nil"/>
                    <w:tr2bl w:val="nil"/>
                  </w:tcBorders>
                  <w:shd w:val="clear" w:color="auto" w:fill="auto"/>
                  <w:tcMar>
                    <w:top w:w="120" w:type="dxa"/>
                    <w:left w:w="120" w:type="dxa"/>
                    <w:bottom w:w="120" w:type="dxa"/>
                    <w:right w:w="120" w:type="dxa"/>
                  </w:tcMar>
                  <w:vAlign w:val="center"/>
                </w:tcPr>
                <w:p w14:paraId="0902F89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kern w:val="0"/>
                      <w:sz w:val="21"/>
                      <w:szCs w:val="21"/>
                      <w:highlight w:val="none"/>
                      <w:lang w:val="en-US" w:eastAsia="zh-CN" w:bidi="ar"/>
                      <w14:textFill>
                        <w14:solidFill>
                          <w14:schemeClr w14:val="tx1"/>
                        </w14:solidFill>
                      </w14:textFill>
                    </w:rPr>
                    <w:t>减震</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、建筑隔声</w:t>
                  </w:r>
                </w:p>
              </w:tc>
              <w:tc>
                <w:tcPr>
                  <w:tcW w:w="331" w:type="pct"/>
                  <w:tcBorders>
                    <w:tl2br w:val="nil"/>
                    <w:tr2bl w:val="nil"/>
                  </w:tcBorders>
                  <w:shd w:val="clear" w:color="auto" w:fill="auto"/>
                  <w:tcMar>
                    <w:top w:w="120" w:type="dxa"/>
                    <w:left w:w="120" w:type="dxa"/>
                    <w:bottom w:w="120" w:type="dxa"/>
                    <w:right w:w="120" w:type="dxa"/>
                  </w:tcMar>
                  <w:vAlign w:val="center"/>
                </w:tcPr>
                <w:p w14:paraId="5CC139B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0.30</w:t>
                  </w:r>
                </w:p>
              </w:tc>
              <w:tc>
                <w:tcPr>
                  <w:tcW w:w="268" w:type="pct"/>
                  <w:tcBorders>
                    <w:tl2br w:val="nil"/>
                    <w:tr2bl w:val="nil"/>
                  </w:tcBorders>
                  <w:shd w:val="clear" w:color="auto" w:fill="auto"/>
                  <w:tcMar>
                    <w:top w:w="120" w:type="dxa"/>
                    <w:left w:w="120" w:type="dxa"/>
                    <w:bottom w:w="120" w:type="dxa"/>
                    <w:right w:w="120" w:type="dxa"/>
                  </w:tcMar>
                  <w:vAlign w:val="center"/>
                </w:tcPr>
                <w:p w14:paraId="51922B8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60</w:t>
                  </w:r>
                </w:p>
              </w:tc>
              <w:tc>
                <w:tcPr>
                  <w:tcW w:w="260" w:type="pct"/>
                  <w:tcBorders>
                    <w:tl2br w:val="nil"/>
                    <w:tr2bl w:val="nil"/>
                  </w:tcBorders>
                  <w:shd w:val="clear" w:color="auto" w:fill="auto"/>
                  <w:tcMar>
                    <w:top w:w="120" w:type="dxa"/>
                    <w:left w:w="120" w:type="dxa"/>
                    <w:bottom w:w="120" w:type="dxa"/>
                    <w:right w:w="120" w:type="dxa"/>
                  </w:tcMar>
                  <w:vAlign w:val="center"/>
                </w:tcPr>
                <w:p w14:paraId="100F7AF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间歇</w:t>
                  </w:r>
                </w:p>
              </w:tc>
            </w:tr>
            <w:tr w14:paraId="7AB28B1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15" w:type="dxa"/>
                  <w:left w:w="15" w:type="dxa"/>
                  <w:bottom w:w="15" w:type="dxa"/>
                  <w:right w:w="15" w:type="dxa"/>
                </w:tblCellMar>
              </w:tblPrEx>
              <w:trPr>
                <w:trHeight w:val="23" w:hRule="atLeast"/>
              </w:trPr>
              <w:tc>
                <w:tcPr>
                  <w:tcW w:w="188" w:type="pct"/>
                  <w:tcBorders>
                    <w:tl2br w:val="nil"/>
                    <w:tr2bl w:val="nil"/>
                  </w:tcBorders>
                  <w:shd w:val="clear" w:color="auto" w:fill="auto"/>
                  <w:tcMar>
                    <w:top w:w="120" w:type="dxa"/>
                    <w:left w:w="120" w:type="dxa"/>
                    <w:bottom w:w="120" w:type="dxa"/>
                    <w:right w:w="120" w:type="dxa"/>
                  </w:tcMar>
                  <w:vAlign w:val="center"/>
                </w:tcPr>
                <w:p w14:paraId="7FECFA3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8</w:t>
                  </w:r>
                </w:p>
              </w:tc>
              <w:tc>
                <w:tcPr>
                  <w:tcW w:w="337" w:type="pct"/>
                  <w:tcBorders>
                    <w:tl2br w:val="nil"/>
                    <w:tr2bl w:val="nil"/>
                  </w:tcBorders>
                  <w:shd w:val="clear" w:color="auto" w:fill="auto"/>
                  <w:tcMar>
                    <w:top w:w="120" w:type="dxa"/>
                    <w:left w:w="120" w:type="dxa"/>
                    <w:bottom w:w="120" w:type="dxa"/>
                    <w:right w:w="120" w:type="dxa"/>
                  </w:tcMar>
                  <w:vAlign w:val="center"/>
                </w:tcPr>
                <w:p w14:paraId="65F43E2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产水泵</w:t>
                  </w:r>
                </w:p>
              </w:tc>
              <w:tc>
                <w:tcPr>
                  <w:tcW w:w="322" w:type="pct"/>
                  <w:tcBorders>
                    <w:tl2br w:val="nil"/>
                    <w:tr2bl w:val="nil"/>
                  </w:tcBorders>
                  <w:shd w:val="clear" w:color="auto" w:fill="auto"/>
                  <w:tcMar>
                    <w:top w:w="120" w:type="dxa"/>
                    <w:left w:w="120" w:type="dxa"/>
                    <w:bottom w:w="120" w:type="dxa"/>
                    <w:right w:w="120" w:type="dxa"/>
                  </w:tcMar>
                  <w:vAlign w:val="center"/>
                </w:tcPr>
                <w:p w14:paraId="65A6588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MBR膜设备间</w:t>
                  </w:r>
                </w:p>
              </w:tc>
              <w:tc>
                <w:tcPr>
                  <w:tcW w:w="389" w:type="pct"/>
                  <w:tcBorders>
                    <w:tl2br w:val="nil"/>
                    <w:tr2bl w:val="nil"/>
                  </w:tcBorders>
                  <w:shd w:val="clear" w:color="auto" w:fill="auto"/>
                  <w:tcMar>
                    <w:top w:w="120" w:type="dxa"/>
                    <w:left w:w="120" w:type="dxa"/>
                    <w:bottom w:w="120" w:type="dxa"/>
                    <w:right w:w="120" w:type="dxa"/>
                  </w:tcMar>
                  <w:vAlign w:val="center"/>
                </w:tcPr>
                <w:p w14:paraId="418201D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室内点声源</w:t>
                  </w:r>
                </w:p>
              </w:tc>
              <w:tc>
                <w:tcPr>
                  <w:tcW w:w="782" w:type="pct"/>
                  <w:tcBorders>
                    <w:tl2br w:val="nil"/>
                    <w:tr2bl w:val="nil"/>
                  </w:tcBorders>
                  <w:shd w:val="clear" w:color="auto" w:fill="auto"/>
                  <w:tcMar>
                    <w:top w:w="120" w:type="dxa"/>
                    <w:left w:w="120" w:type="dxa"/>
                    <w:bottom w:w="120" w:type="dxa"/>
                    <w:right w:w="120" w:type="dxa"/>
                  </w:tcMar>
                  <w:vAlign w:val="center"/>
                </w:tcPr>
                <w:p w14:paraId="72840DD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Q=200m</w:t>
                  </w:r>
                  <w:r>
                    <w:rPr>
                      <w:rFonts w:hint="eastAsia" w:ascii="Times New Roman" w:hAnsi="Times New Roman" w:eastAsia="宋体" w:cs="Times New Roman"/>
                      <w:b w:val="0"/>
                      <w:bCs w:val="0"/>
                      <w:color w:val="000000" w:themeColor="text1"/>
                      <w:kern w:val="0"/>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//h，H=38m，N=30kW</w:t>
                  </w:r>
                </w:p>
              </w:tc>
              <w:tc>
                <w:tcPr>
                  <w:tcW w:w="369" w:type="pct"/>
                  <w:tcBorders>
                    <w:tl2br w:val="nil"/>
                    <w:tr2bl w:val="nil"/>
                  </w:tcBorders>
                  <w:shd w:val="clear" w:color="auto" w:fill="auto"/>
                  <w:tcMar>
                    <w:top w:w="120" w:type="dxa"/>
                    <w:left w:w="120" w:type="dxa"/>
                    <w:bottom w:w="120" w:type="dxa"/>
                    <w:right w:w="120" w:type="dxa"/>
                  </w:tcMar>
                  <w:vAlign w:val="center"/>
                </w:tcPr>
                <w:p w14:paraId="7C08F56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10</w:t>
                  </w:r>
                </w:p>
              </w:tc>
              <w:tc>
                <w:tcPr>
                  <w:tcW w:w="275" w:type="pct"/>
                  <w:tcBorders>
                    <w:tl2br w:val="nil"/>
                    <w:tr2bl w:val="nil"/>
                  </w:tcBorders>
                  <w:shd w:val="clear" w:color="auto" w:fill="auto"/>
                  <w:tcMar>
                    <w:top w:w="120" w:type="dxa"/>
                    <w:left w:w="120" w:type="dxa"/>
                    <w:bottom w:w="120" w:type="dxa"/>
                    <w:right w:w="120" w:type="dxa"/>
                  </w:tcMar>
                  <w:vAlign w:val="center"/>
                </w:tcPr>
                <w:p w14:paraId="4B2077F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138</w:t>
                  </w:r>
                </w:p>
              </w:tc>
              <w:tc>
                <w:tcPr>
                  <w:tcW w:w="266" w:type="pct"/>
                  <w:tcBorders>
                    <w:tl2br w:val="nil"/>
                    <w:tr2bl w:val="nil"/>
                  </w:tcBorders>
                  <w:shd w:val="clear" w:color="auto" w:fill="auto"/>
                  <w:tcMar>
                    <w:top w:w="120" w:type="dxa"/>
                    <w:left w:w="120" w:type="dxa"/>
                    <w:bottom w:w="120" w:type="dxa"/>
                    <w:right w:w="120" w:type="dxa"/>
                  </w:tcMar>
                  <w:vAlign w:val="center"/>
                </w:tcPr>
                <w:p w14:paraId="5C6C47D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172</w:t>
                  </w:r>
                </w:p>
              </w:tc>
              <w:tc>
                <w:tcPr>
                  <w:tcW w:w="250" w:type="pct"/>
                  <w:tcBorders>
                    <w:tl2br w:val="nil"/>
                    <w:tr2bl w:val="nil"/>
                  </w:tcBorders>
                  <w:shd w:val="clear" w:color="auto" w:fill="auto"/>
                  <w:tcMar>
                    <w:top w:w="120" w:type="dxa"/>
                    <w:left w:w="120" w:type="dxa"/>
                    <w:bottom w:w="120" w:type="dxa"/>
                    <w:right w:w="120" w:type="dxa"/>
                  </w:tcMar>
                  <w:vAlign w:val="center"/>
                </w:tcPr>
                <w:p w14:paraId="26A7ADA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0.5</w:t>
                  </w:r>
                </w:p>
              </w:tc>
              <w:tc>
                <w:tcPr>
                  <w:tcW w:w="502" w:type="pct"/>
                  <w:tcBorders>
                    <w:tl2br w:val="nil"/>
                    <w:tr2bl w:val="nil"/>
                  </w:tcBorders>
                  <w:shd w:val="clear" w:color="auto" w:fill="auto"/>
                  <w:tcMar>
                    <w:top w:w="120" w:type="dxa"/>
                    <w:left w:w="120" w:type="dxa"/>
                    <w:bottom w:w="120" w:type="dxa"/>
                    <w:right w:w="120" w:type="dxa"/>
                  </w:tcMar>
                  <w:vAlign w:val="center"/>
                </w:tcPr>
                <w:p w14:paraId="2595602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80</w:t>
                  </w:r>
                </w:p>
              </w:tc>
              <w:tc>
                <w:tcPr>
                  <w:tcW w:w="453" w:type="pct"/>
                  <w:tcBorders>
                    <w:tl2br w:val="nil"/>
                    <w:tr2bl w:val="nil"/>
                  </w:tcBorders>
                  <w:shd w:val="clear" w:color="auto" w:fill="auto"/>
                  <w:tcMar>
                    <w:top w:w="120" w:type="dxa"/>
                    <w:left w:w="120" w:type="dxa"/>
                    <w:bottom w:w="120" w:type="dxa"/>
                    <w:right w:w="120" w:type="dxa"/>
                  </w:tcMar>
                  <w:vAlign w:val="center"/>
                </w:tcPr>
                <w:p w14:paraId="57BF8ED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kern w:val="0"/>
                      <w:sz w:val="21"/>
                      <w:szCs w:val="21"/>
                      <w:highlight w:val="none"/>
                      <w:lang w:val="en-US" w:eastAsia="zh-CN" w:bidi="ar"/>
                      <w14:textFill>
                        <w14:solidFill>
                          <w14:schemeClr w14:val="tx1"/>
                        </w14:solidFill>
                      </w14:textFill>
                    </w:rPr>
                    <w:t>减震</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、建筑隔声</w:t>
                  </w:r>
                </w:p>
              </w:tc>
              <w:tc>
                <w:tcPr>
                  <w:tcW w:w="331" w:type="pct"/>
                  <w:tcBorders>
                    <w:tl2br w:val="nil"/>
                    <w:tr2bl w:val="nil"/>
                  </w:tcBorders>
                  <w:shd w:val="clear" w:color="auto" w:fill="auto"/>
                  <w:tcMar>
                    <w:top w:w="120" w:type="dxa"/>
                    <w:left w:w="120" w:type="dxa"/>
                    <w:bottom w:w="120" w:type="dxa"/>
                    <w:right w:w="120" w:type="dxa"/>
                  </w:tcMar>
                  <w:vAlign w:val="center"/>
                </w:tcPr>
                <w:p w14:paraId="339B47C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0.30</w:t>
                  </w:r>
                </w:p>
              </w:tc>
              <w:tc>
                <w:tcPr>
                  <w:tcW w:w="268" w:type="pct"/>
                  <w:tcBorders>
                    <w:tl2br w:val="nil"/>
                    <w:tr2bl w:val="nil"/>
                  </w:tcBorders>
                  <w:shd w:val="clear" w:color="auto" w:fill="auto"/>
                  <w:tcMar>
                    <w:top w:w="120" w:type="dxa"/>
                    <w:left w:w="120" w:type="dxa"/>
                    <w:bottom w:w="120" w:type="dxa"/>
                    <w:right w:w="120" w:type="dxa"/>
                  </w:tcMar>
                  <w:vAlign w:val="center"/>
                </w:tcPr>
                <w:p w14:paraId="07B09B4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55</w:t>
                  </w:r>
                </w:p>
              </w:tc>
              <w:tc>
                <w:tcPr>
                  <w:tcW w:w="260" w:type="pct"/>
                  <w:tcBorders>
                    <w:tl2br w:val="nil"/>
                    <w:tr2bl w:val="nil"/>
                  </w:tcBorders>
                  <w:shd w:val="clear" w:color="auto" w:fill="auto"/>
                  <w:tcMar>
                    <w:top w:w="120" w:type="dxa"/>
                    <w:left w:w="120" w:type="dxa"/>
                    <w:bottom w:w="120" w:type="dxa"/>
                    <w:right w:w="120" w:type="dxa"/>
                  </w:tcMar>
                  <w:vAlign w:val="center"/>
                </w:tcPr>
                <w:p w14:paraId="71E3971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连续</w:t>
                  </w:r>
                </w:p>
              </w:tc>
            </w:tr>
            <w:tr w14:paraId="3E478EA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15" w:type="dxa"/>
                  <w:left w:w="15" w:type="dxa"/>
                  <w:bottom w:w="15" w:type="dxa"/>
                  <w:right w:w="15" w:type="dxa"/>
                </w:tblCellMar>
              </w:tblPrEx>
              <w:trPr>
                <w:trHeight w:val="23" w:hRule="atLeast"/>
              </w:trPr>
              <w:tc>
                <w:tcPr>
                  <w:tcW w:w="188" w:type="pct"/>
                  <w:tcBorders>
                    <w:tl2br w:val="nil"/>
                    <w:tr2bl w:val="nil"/>
                  </w:tcBorders>
                  <w:shd w:val="clear" w:color="auto" w:fill="auto"/>
                  <w:tcMar>
                    <w:top w:w="120" w:type="dxa"/>
                    <w:left w:w="120" w:type="dxa"/>
                    <w:bottom w:w="120" w:type="dxa"/>
                    <w:right w:w="120" w:type="dxa"/>
                  </w:tcMar>
                  <w:vAlign w:val="center"/>
                </w:tcPr>
                <w:p w14:paraId="5825642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9</w:t>
                  </w:r>
                </w:p>
              </w:tc>
              <w:tc>
                <w:tcPr>
                  <w:tcW w:w="337" w:type="pct"/>
                  <w:tcBorders>
                    <w:tl2br w:val="nil"/>
                    <w:tr2bl w:val="nil"/>
                  </w:tcBorders>
                  <w:shd w:val="clear" w:color="auto" w:fill="auto"/>
                  <w:tcMar>
                    <w:top w:w="120" w:type="dxa"/>
                    <w:left w:w="120" w:type="dxa"/>
                    <w:bottom w:w="120" w:type="dxa"/>
                    <w:right w:w="120" w:type="dxa"/>
                  </w:tcMar>
                  <w:vAlign w:val="center"/>
                </w:tcPr>
                <w:p w14:paraId="318BFE5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反洗泵</w:t>
                  </w:r>
                </w:p>
              </w:tc>
              <w:tc>
                <w:tcPr>
                  <w:tcW w:w="322" w:type="pct"/>
                  <w:tcBorders>
                    <w:tl2br w:val="nil"/>
                    <w:tr2bl w:val="nil"/>
                  </w:tcBorders>
                  <w:shd w:val="clear" w:color="auto" w:fill="auto"/>
                  <w:tcMar>
                    <w:top w:w="120" w:type="dxa"/>
                    <w:left w:w="120" w:type="dxa"/>
                    <w:bottom w:w="120" w:type="dxa"/>
                    <w:right w:w="120" w:type="dxa"/>
                  </w:tcMar>
                  <w:vAlign w:val="center"/>
                </w:tcPr>
                <w:p w14:paraId="609A252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MBR膜设备间</w:t>
                  </w:r>
                </w:p>
              </w:tc>
              <w:tc>
                <w:tcPr>
                  <w:tcW w:w="389" w:type="pct"/>
                  <w:tcBorders>
                    <w:tl2br w:val="nil"/>
                    <w:tr2bl w:val="nil"/>
                  </w:tcBorders>
                  <w:shd w:val="clear" w:color="auto" w:fill="auto"/>
                  <w:tcMar>
                    <w:top w:w="120" w:type="dxa"/>
                    <w:left w:w="120" w:type="dxa"/>
                    <w:bottom w:w="120" w:type="dxa"/>
                    <w:right w:w="120" w:type="dxa"/>
                  </w:tcMar>
                  <w:vAlign w:val="center"/>
                </w:tcPr>
                <w:p w14:paraId="4875B97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室内点声源</w:t>
                  </w:r>
                </w:p>
              </w:tc>
              <w:tc>
                <w:tcPr>
                  <w:tcW w:w="782" w:type="pct"/>
                  <w:tcBorders>
                    <w:tl2br w:val="nil"/>
                    <w:tr2bl w:val="nil"/>
                  </w:tcBorders>
                  <w:shd w:val="clear" w:color="auto" w:fill="auto"/>
                  <w:tcMar>
                    <w:top w:w="120" w:type="dxa"/>
                    <w:left w:w="120" w:type="dxa"/>
                    <w:bottom w:w="120" w:type="dxa"/>
                    <w:right w:w="120" w:type="dxa"/>
                  </w:tcMar>
                  <w:vAlign w:val="center"/>
                </w:tcPr>
                <w:p w14:paraId="35893E2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Q=280m</w:t>
                  </w:r>
                  <w:r>
                    <w:rPr>
                      <w:rFonts w:hint="eastAsia" w:ascii="Times New Roman" w:hAnsi="Times New Roman" w:eastAsia="宋体" w:cs="Times New Roman"/>
                      <w:b w:val="0"/>
                      <w:bCs w:val="0"/>
                      <w:color w:val="000000" w:themeColor="text1"/>
                      <w:kern w:val="0"/>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//h，H=40m，N=90kW</w:t>
                  </w:r>
                </w:p>
              </w:tc>
              <w:tc>
                <w:tcPr>
                  <w:tcW w:w="369" w:type="pct"/>
                  <w:tcBorders>
                    <w:tl2br w:val="nil"/>
                    <w:tr2bl w:val="nil"/>
                  </w:tcBorders>
                  <w:shd w:val="clear" w:color="auto" w:fill="auto"/>
                  <w:tcMar>
                    <w:top w:w="120" w:type="dxa"/>
                    <w:left w:w="120" w:type="dxa"/>
                    <w:bottom w:w="120" w:type="dxa"/>
                    <w:right w:w="120" w:type="dxa"/>
                  </w:tcMar>
                  <w:vAlign w:val="center"/>
                </w:tcPr>
                <w:p w14:paraId="6756426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2</w:t>
                  </w:r>
                </w:p>
              </w:tc>
              <w:tc>
                <w:tcPr>
                  <w:tcW w:w="275" w:type="pct"/>
                  <w:tcBorders>
                    <w:tl2br w:val="nil"/>
                    <w:tr2bl w:val="nil"/>
                  </w:tcBorders>
                  <w:shd w:val="clear" w:color="auto" w:fill="auto"/>
                  <w:tcMar>
                    <w:top w:w="120" w:type="dxa"/>
                    <w:left w:w="120" w:type="dxa"/>
                    <w:bottom w:w="120" w:type="dxa"/>
                    <w:right w:w="120" w:type="dxa"/>
                  </w:tcMar>
                  <w:vAlign w:val="center"/>
                </w:tcPr>
                <w:p w14:paraId="54907B8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140</w:t>
                  </w:r>
                </w:p>
              </w:tc>
              <w:tc>
                <w:tcPr>
                  <w:tcW w:w="266" w:type="pct"/>
                  <w:tcBorders>
                    <w:tl2br w:val="nil"/>
                    <w:tr2bl w:val="nil"/>
                  </w:tcBorders>
                  <w:shd w:val="clear" w:color="auto" w:fill="auto"/>
                  <w:tcMar>
                    <w:top w:w="120" w:type="dxa"/>
                    <w:left w:w="120" w:type="dxa"/>
                    <w:bottom w:w="120" w:type="dxa"/>
                    <w:right w:w="120" w:type="dxa"/>
                  </w:tcMar>
                  <w:vAlign w:val="center"/>
                </w:tcPr>
                <w:p w14:paraId="6389A2D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175</w:t>
                  </w:r>
                </w:p>
              </w:tc>
              <w:tc>
                <w:tcPr>
                  <w:tcW w:w="250" w:type="pct"/>
                  <w:tcBorders>
                    <w:tl2br w:val="nil"/>
                    <w:tr2bl w:val="nil"/>
                  </w:tcBorders>
                  <w:shd w:val="clear" w:color="auto" w:fill="auto"/>
                  <w:tcMar>
                    <w:top w:w="120" w:type="dxa"/>
                    <w:left w:w="120" w:type="dxa"/>
                    <w:bottom w:w="120" w:type="dxa"/>
                    <w:right w:w="120" w:type="dxa"/>
                  </w:tcMar>
                  <w:vAlign w:val="center"/>
                </w:tcPr>
                <w:p w14:paraId="091D2BE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0.5</w:t>
                  </w:r>
                </w:p>
              </w:tc>
              <w:tc>
                <w:tcPr>
                  <w:tcW w:w="502" w:type="pct"/>
                  <w:tcBorders>
                    <w:tl2br w:val="nil"/>
                    <w:tr2bl w:val="nil"/>
                  </w:tcBorders>
                  <w:shd w:val="clear" w:color="auto" w:fill="auto"/>
                  <w:tcMar>
                    <w:top w:w="120" w:type="dxa"/>
                    <w:left w:w="120" w:type="dxa"/>
                    <w:bottom w:w="120" w:type="dxa"/>
                    <w:right w:w="120" w:type="dxa"/>
                  </w:tcMar>
                  <w:vAlign w:val="center"/>
                </w:tcPr>
                <w:p w14:paraId="459E4D8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80</w:t>
                  </w:r>
                </w:p>
              </w:tc>
              <w:tc>
                <w:tcPr>
                  <w:tcW w:w="453" w:type="pct"/>
                  <w:tcBorders>
                    <w:tl2br w:val="nil"/>
                    <w:tr2bl w:val="nil"/>
                  </w:tcBorders>
                  <w:shd w:val="clear" w:color="auto" w:fill="auto"/>
                  <w:tcMar>
                    <w:top w:w="120" w:type="dxa"/>
                    <w:left w:w="120" w:type="dxa"/>
                    <w:bottom w:w="120" w:type="dxa"/>
                    <w:right w:w="120" w:type="dxa"/>
                  </w:tcMar>
                  <w:vAlign w:val="center"/>
                </w:tcPr>
                <w:p w14:paraId="3381405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kern w:val="0"/>
                      <w:sz w:val="21"/>
                      <w:szCs w:val="21"/>
                      <w:highlight w:val="none"/>
                      <w:lang w:val="en-US" w:eastAsia="zh-CN" w:bidi="ar"/>
                      <w14:textFill>
                        <w14:solidFill>
                          <w14:schemeClr w14:val="tx1"/>
                        </w14:solidFill>
                      </w14:textFill>
                    </w:rPr>
                    <w:t>减震</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、建筑隔声</w:t>
                  </w:r>
                </w:p>
              </w:tc>
              <w:tc>
                <w:tcPr>
                  <w:tcW w:w="331" w:type="pct"/>
                  <w:tcBorders>
                    <w:tl2br w:val="nil"/>
                    <w:tr2bl w:val="nil"/>
                  </w:tcBorders>
                  <w:shd w:val="clear" w:color="auto" w:fill="auto"/>
                  <w:tcMar>
                    <w:top w:w="120" w:type="dxa"/>
                    <w:left w:w="120" w:type="dxa"/>
                    <w:bottom w:w="120" w:type="dxa"/>
                    <w:right w:w="120" w:type="dxa"/>
                  </w:tcMar>
                  <w:vAlign w:val="center"/>
                </w:tcPr>
                <w:p w14:paraId="3CE5A75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0.30</w:t>
                  </w:r>
                </w:p>
              </w:tc>
              <w:tc>
                <w:tcPr>
                  <w:tcW w:w="268" w:type="pct"/>
                  <w:tcBorders>
                    <w:tl2br w:val="nil"/>
                    <w:tr2bl w:val="nil"/>
                  </w:tcBorders>
                  <w:shd w:val="clear" w:color="auto" w:fill="auto"/>
                  <w:tcMar>
                    <w:top w:w="120" w:type="dxa"/>
                    <w:left w:w="120" w:type="dxa"/>
                    <w:bottom w:w="120" w:type="dxa"/>
                    <w:right w:w="120" w:type="dxa"/>
                  </w:tcMar>
                  <w:vAlign w:val="center"/>
                </w:tcPr>
                <w:p w14:paraId="3761773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55</w:t>
                  </w:r>
                </w:p>
              </w:tc>
              <w:tc>
                <w:tcPr>
                  <w:tcW w:w="260" w:type="pct"/>
                  <w:tcBorders>
                    <w:tl2br w:val="nil"/>
                    <w:tr2bl w:val="nil"/>
                  </w:tcBorders>
                  <w:shd w:val="clear" w:color="auto" w:fill="auto"/>
                  <w:tcMar>
                    <w:top w:w="120" w:type="dxa"/>
                    <w:left w:w="120" w:type="dxa"/>
                    <w:bottom w:w="120" w:type="dxa"/>
                    <w:right w:w="120" w:type="dxa"/>
                  </w:tcMar>
                  <w:vAlign w:val="center"/>
                </w:tcPr>
                <w:p w14:paraId="6B846BA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连续</w:t>
                  </w:r>
                </w:p>
              </w:tc>
            </w:tr>
            <w:tr w14:paraId="695AB6B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15" w:type="dxa"/>
                  <w:left w:w="15" w:type="dxa"/>
                  <w:bottom w:w="15" w:type="dxa"/>
                  <w:right w:w="15" w:type="dxa"/>
                </w:tblCellMar>
              </w:tblPrEx>
              <w:trPr>
                <w:trHeight w:val="23" w:hRule="atLeast"/>
              </w:trPr>
              <w:tc>
                <w:tcPr>
                  <w:tcW w:w="188" w:type="pct"/>
                  <w:tcBorders>
                    <w:tl2br w:val="nil"/>
                    <w:tr2bl w:val="nil"/>
                  </w:tcBorders>
                  <w:shd w:val="clear" w:color="auto" w:fill="auto"/>
                  <w:tcMar>
                    <w:top w:w="120" w:type="dxa"/>
                    <w:left w:w="120" w:type="dxa"/>
                    <w:bottom w:w="120" w:type="dxa"/>
                    <w:right w:w="120" w:type="dxa"/>
                  </w:tcMar>
                  <w:vAlign w:val="center"/>
                </w:tcPr>
                <w:p w14:paraId="321C8A9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10</w:t>
                  </w:r>
                </w:p>
              </w:tc>
              <w:tc>
                <w:tcPr>
                  <w:tcW w:w="337" w:type="pct"/>
                  <w:tcBorders>
                    <w:tl2br w:val="nil"/>
                    <w:tr2bl w:val="nil"/>
                  </w:tcBorders>
                  <w:shd w:val="clear" w:color="auto" w:fill="auto"/>
                  <w:tcMar>
                    <w:top w:w="120" w:type="dxa"/>
                    <w:left w:w="120" w:type="dxa"/>
                    <w:bottom w:w="120" w:type="dxa"/>
                    <w:right w:w="120" w:type="dxa"/>
                  </w:tcMar>
                  <w:vAlign w:val="center"/>
                </w:tcPr>
                <w:p w14:paraId="7D57853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回流泵</w:t>
                  </w:r>
                </w:p>
              </w:tc>
              <w:tc>
                <w:tcPr>
                  <w:tcW w:w="322" w:type="pct"/>
                  <w:tcBorders>
                    <w:tl2br w:val="nil"/>
                    <w:tr2bl w:val="nil"/>
                  </w:tcBorders>
                  <w:shd w:val="clear" w:color="auto" w:fill="auto"/>
                  <w:tcMar>
                    <w:top w:w="120" w:type="dxa"/>
                    <w:left w:w="120" w:type="dxa"/>
                    <w:bottom w:w="120" w:type="dxa"/>
                    <w:right w:w="120" w:type="dxa"/>
                  </w:tcMar>
                  <w:vAlign w:val="center"/>
                </w:tcPr>
                <w:p w14:paraId="768DF34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生化池/MBR 膜池</w:t>
                  </w:r>
                </w:p>
              </w:tc>
              <w:tc>
                <w:tcPr>
                  <w:tcW w:w="389" w:type="pct"/>
                  <w:tcBorders>
                    <w:tl2br w:val="nil"/>
                    <w:tr2bl w:val="nil"/>
                  </w:tcBorders>
                  <w:shd w:val="clear" w:color="auto" w:fill="auto"/>
                  <w:tcMar>
                    <w:top w:w="120" w:type="dxa"/>
                    <w:left w:w="120" w:type="dxa"/>
                    <w:bottom w:w="120" w:type="dxa"/>
                    <w:right w:w="120" w:type="dxa"/>
                  </w:tcMar>
                  <w:vAlign w:val="center"/>
                </w:tcPr>
                <w:p w14:paraId="232A750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半室内点声源</w:t>
                  </w:r>
                </w:p>
              </w:tc>
              <w:tc>
                <w:tcPr>
                  <w:tcW w:w="782" w:type="pct"/>
                  <w:tcBorders>
                    <w:tl2br w:val="nil"/>
                    <w:tr2bl w:val="nil"/>
                  </w:tcBorders>
                  <w:shd w:val="clear" w:color="auto" w:fill="auto"/>
                  <w:tcMar>
                    <w:top w:w="120" w:type="dxa"/>
                    <w:left w:w="120" w:type="dxa"/>
                    <w:bottom w:w="120" w:type="dxa"/>
                    <w:right w:w="120" w:type="dxa"/>
                  </w:tcMar>
                  <w:vAlign w:val="center"/>
                </w:tcPr>
                <w:p w14:paraId="25BEF59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Q=1080~1875m</w:t>
                  </w:r>
                  <w:r>
                    <w:rPr>
                      <w:rFonts w:hint="eastAsia" w:ascii="Times New Roman" w:hAnsi="Times New Roman" w:eastAsia="宋体" w:cs="Times New Roman"/>
                      <w:b w:val="0"/>
                      <w:bCs w:val="0"/>
                      <w:color w:val="000000" w:themeColor="text1"/>
                      <w:kern w:val="0"/>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//h</w:t>
                  </w:r>
                </w:p>
              </w:tc>
              <w:tc>
                <w:tcPr>
                  <w:tcW w:w="369" w:type="pct"/>
                  <w:tcBorders>
                    <w:tl2br w:val="nil"/>
                    <w:tr2bl w:val="nil"/>
                  </w:tcBorders>
                  <w:shd w:val="clear" w:color="auto" w:fill="auto"/>
                  <w:tcMar>
                    <w:top w:w="120" w:type="dxa"/>
                    <w:left w:w="120" w:type="dxa"/>
                    <w:bottom w:w="120" w:type="dxa"/>
                    <w:right w:w="120" w:type="dxa"/>
                  </w:tcMar>
                  <w:vAlign w:val="center"/>
                </w:tcPr>
                <w:p w14:paraId="5CDBE3D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11</w:t>
                  </w:r>
                </w:p>
              </w:tc>
              <w:tc>
                <w:tcPr>
                  <w:tcW w:w="275" w:type="pct"/>
                  <w:tcBorders>
                    <w:tl2br w:val="nil"/>
                    <w:tr2bl w:val="nil"/>
                  </w:tcBorders>
                  <w:shd w:val="clear" w:color="auto" w:fill="auto"/>
                  <w:tcMar>
                    <w:top w:w="120" w:type="dxa"/>
                    <w:left w:w="120" w:type="dxa"/>
                    <w:bottom w:w="120" w:type="dxa"/>
                    <w:right w:w="120" w:type="dxa"/>
                  </w:tcMar>
                  <w:vAlign w:val="center"/>
                </w:tcPr>
                <w:p w14:paraId="2F3766C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115</w:t>
                  </w:r>
                </w:p>
              </w:tc>
              <w:tc>
                <w:tcPr>
                  <w:tcW w:w="266" w:type="pct"/>
                  <w:tcBorders>
                    <w:tl2br w:val="nil"/>
                    <w:tr2bl w:val="nil"/>
                  </w:tcBorders>
                  <w:shd w:val="clear" w:color="auto" w:fill="auto"/>
                  <w:tcMar>
                    <w:top w:w="120" w:type="dxa"/>
                    <w:left w:w="120" w:type="dxa"/>
                    <w:bottom w:w="120" w:type="dxa"/>
                    <w:right w:w="120" w:type="dxa"/>
                  </w:tcMar>
                  <w:vAlign w:val="center"/>
                </w:tcPr>
                <w:p w14:paraId="625DAC0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145</w:t>
                  </w:r>
                </w:p>
              </w:tc>
              <w:tc>
                <w:tcPr>
                  <w:tcW w:w="250" w:type="pct"/>
                  <w:tcBorders>
                    <w:tl2br w:val="nil"/>
                    <w:tr2bl w:val="nil"/>
                  </w:tcBorders>
                  <w:shd w:val="clear" w:color="auto" w:fill="auto"/>
                  <w:tcMar>
                    <w:top w:w="120" w:type="dxa"/>
                    <w:left w:w="120" w:type="dxa"/>
                    <w:bottom w:w="120" w:type="dxa"/>
                    <w:right w:w="120" w:type="dxa"/>
                  </w:tcMar>
                  <w:vAlign w:val="center"/>
                </w:tcPr>
                <w:p w14:paraId="7AF1BB9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15"/>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0.0</w:t>
                  </w:r>
                </w:p>
              </w:tc>
              <w:tc>
                <w:tcPr>
                  <w:tcW w:w="502" w:type="pct"/>
                  <w:tcBorders>
                    <w:tl2br w:val="nil"/>
                    <w:tr2bl w:val="nil"/>
                  </w:tcBorders>
                  <w:shd w:val="clear" w:color="auto" w:fill="auto"/>
                  <w:tcMar>
                    <w:top w:w="120" w:type="dxa"/>
                    <w:left w:w="120" w:type="dxa"/>
                    <w:bottom w:w="120" w:type="dxa"/>
                    <w:right w:w="120" w:type="dxa"/>
                  </w:tcMar>
                  <w:vAlign w:val="center"/>
                </w:tcPr>
                <w:p w14:paraId="1D3D573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80</w:t>
                  </w:r>
                </w:p>
              </w:tc>
              <w:tc>
                <w:tcPr>
                  <w:tcW w:w="453" w:type="pct"/>
                  <w:tcBorders>
                    <w:tl2br w:val="nil"/>
                    <w:tr2bl w:val="nil"/>
                  </w:tcBorders>
                  <w:shd w:val="clear" w:color="auto" w:fill="auto"/>
                  <w:tcMar>
                    <w:top w:w="120" w:type="dxa"/>
                    <w:left w:w="120" w:type="dxa"/>
                    <w:bottom w:w="120" w:type="dxa"/>
                    <w:right w:w="120" w:type="dxa"/>
                  </w:tcMar>
                  <w:vAlign w:val="center"/>
                </w:tcPr>
                <w:p w14:paraId="5BF0480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kern w:val="0"/>
                      <w:sz w:val="21"/>
                      <w:szCs w:val="21"/>
                      <w:highlight w:val="none"/>
                      <w:lang w:val="en-US" w:eastAsia="zh-CN" w:bidi="ar"/>
                      <w14:textFill>
                        <w14:solidFill>
                          <w14:schemeClr w14:val="tx1"/>
                        </w14:solidFill>
                      </w14:textFill>
                    </w:rPr>
                    <w:t>减震</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、柔性接头</w:t>
                  </w:r>
                </w:p>
              </w:tc>
              <w:tc>
                <w:tcPr>
                  <w:tcW w:w="331" w:type="pct"/>
                  <w:tcBorders>
                    <w:tl2br w:val="nil"/>
                    <w:tr2bl w:val="nil"/>
                  </w:tcBorders>
                  <w:shd w:val="clear" w:color="auto" w:fill="auto"/>
                  <w:tcMar>
                    <w:top w:w="120" w:type="dxa"/>
                    <w:left w:w="120" w:type="dxa"/>
                    <w:bottom w:w="120" w:type="dxa"/>
                    <w:right w:w="120" w:type="dxa"/>
                  </w:tcMar>
                  <w:vAlign w:val="center"/>
                </w:tcPr>
                <w:p w14:paraId="50811C9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0.25</w:t>
                  </w:r>
                </w:p>
              </w:tc>
              <w:tc>
                <w:tcPr>
                  <w:tcW w:w="268" w:type="pct"/>
                  <w:tcBorders>
                    <w:tl2br w:val="nil"/>
                    <w:tr2bl w:val="nil"/>
                  </w:tcBorders>
                  <w:shd w:val="clear" w:color="auto" w:fill="auto"/>
                  <w:tcMar>
                    <w:top w:w="120" w:type="dxa"/>
                    <w:left w:w="120" w:type="dxa"/>
                    <w:bottom w:w="120" w:type="dxa"/>
                    <w:right w:w="120" w:type="dxa"/>
                  </w:tcMar>
                  <w:vAlign w:val="center"/>
                </w:tcPr>
                <w:p w14:paraId="4C857BF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55</w:t>
                  </w:r>
                </w:p>
              </w:tc>
              <w:tc>
                <w:tcPr>
                  <w:tcW w:w="260" w:type="pct"/>
                  <w:tcBorders>
                    <w:tl2br w:val="nil"/>
                    <w:tr2bl w:val="nil"/>
                  </w:tcBorders>
                  <w:shd w:val="clear" w:color="auto" w:fill="auto"/>
                  <w:tcMar>
                    <w:top w:w="120" w:type="dxa"/>
                    <w:left w:w="120" w:type="dxa"/>
                    <w:bottom w:w="120" w:type="dxa"/>
                    <w:right w:w="120" w:type="dxa"/>
                  </w:tcMar>
                  <w:vAlign w:val="center"/>
                </w:tcPr>
                <w:p w14:paraId="18EF746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连续</w:t>
                  </w:r>
                </w:p>
              </w:tc>
            </w:tr>
          </w:tbl>
          <w:p w14:paraId="0D91C8E2">
            <w:pPr>
              <w:pStyle w:val="20"/>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表4-13  </w:t>
            </w:r>
            <w:r>
              <w:rPr>
                <w:rFonts w:hint="eastAsia"/>
                <w:color w:val="000000" w:themeColor="text1"/>
                <w:highlight w:val="none"/>
                <w14:textFill>
                  <w14:solidFill>
                    <w14:schemeClr w14:val="tx1"/>
                  </w14:solidFill>
                </w14:textFill>
              </w:rPr>
              <w:t>工业企业声环境保护目标噪声预测结果与达标分析表</w:t>
            </w:r>
          </w:p>
          <w:tbl>
            <w:tblPr>
              <w:tblStyle w:val="12"/>
              <w:tblW w:w="4997" w:type="pct"/>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15" w:type="dxa"/>
                <w:left w:w="15" w:type="dxa"/>
                <w:bottom w:w="15" w:type="dxa"/>
                <w:right w:w="15" w:type="dxa"/>
              </w:tblCellMar>
            </w:tblPr>
            <w:tblGrid>
              <w:gridCol w:w="539"/>
              <w:gridCol w:w="1213"/>
              <w:gridCol w:w="845"/>
              <w:gridCol w:w="1119"/>
              <w:gridCol w:w="2498"/>
              <w:gridCol w:w="1034"/>
              <w:gridCol w:w="778"/>
              <w:gridCol w:w="932"/>
              <w:gridCol w:w="1039"/>
              <w:gridCol w:w="1099"/>
              <w:gridCol w:w="1320"/>
            </w:tblGrid>
            <w:tr w14:paraId="0976648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15" w:type="dxa"/>
                  <w:left w:w="15" w:type="dxa"/>
                  <w:bottom w:w="15" w:type="dxa"/>
                  <w:right w:w="15" w:type="dxa"/>
                </w:tblCellMar>
              </w:tblPrEx>
              <w:trPr>
                <w:tblHeader/>
              </w:trPr>
              <w:tc>
                <w:tcPr>
                  <w:tcW w:w="217" w:type="pct"/>
                  <w:tcBorders>
                    <w:tl2br w:val="nil"/>
                    <w:tr2bl w:val="nil"/>
                  </w:tcBorders>
                  <w:shd w:val="clear" w:color="auto" w:fill="auto"/>
                  <w:tcMar>
                    <w:top w:w="120" w:type="dxa"/>
                    <w:left w:w="120" w:type="dxa"/>
                    <w:bottom w:w="120" w:type="dxa"/>
                    <w:right w:w="120" w:type="dxa"/>
                  </w:tcMar>
                  <w:vAlign w:val="center"/>
                </w:tcPr>
                <w:p w14:paraId="67C1300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序号</w:t>
                  </w:r>
                </w:p>
              </w:tc>
              <w:tc>
                <w:tcPr>
                  <w:tcW w:w="488" w:type="pct"/>
                  <w:tcBorders>
                    <w:tl2br w:val="nil"/>
                    <w:tr2bl w:val="nil"/>
                  </w:tcBorders>
                  <w:shd w:val="clear" w:color="auto" w:fill="auto"/>
                  <w:tcMar>
                    <w:top w:w="120" w:type="dxa"/>
                    <w:left w:w="120" w:type="dxa"/>
                    <w:bottom w:w="120" w:type="dxa"/>
                    <w:right w:w="120" w:type="dxa"/>
                  </w:tcMar>
                  <w:vAlign w:val="center"/>
                </w:tcPr>
                <w:p w14:paraId="1AF78AD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声环境保护目标名称</w:t>
                  </w:r>
                </w:p>
              </w:tc>
              <w:tc>
                <w:tcPr>
                  <w:tcW w:w="340" w:type="pct"/>
                  <w:tcBorders>
                    <w:tl2br w:val="nil"/>
                    <w:tr2bl w:val="nil"/>
                  </w:tcBorders>
                  <w:shd w:val="clear" w:color="auto" w:fill="auto"/>
                  <w:tcMar>
                    <w:top w:w="120" w:type="dxa"/>
                    <w:left w:w="120" w:type="dxa"/>
                    <w:bottom w:w="120" w:type="dxa"/>
                    <w:right w:w="120" w:type="dxa"/>
                  </w:tcMar>
                  <w:vAlign w:val="center"/>
                </w:tcPr>
                <w:p w14:paraId="7A8F32E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方位</w:t>
                  </w:r>
                </w:p>
              </w:tc>
              <w:tc>
                <w:tcPr>
                  <w:tcW w:w="450" w:type="pct"/>
                  <w:tcBorders>
                    <w:tl2br w:val="nil"/>
                    <w:tr2bl w:val="nil"/>
                  </w:tcBorders>
                  <w:shd w:val="clear" w:color="auto" w:fill="auto"/>
                  <w:tcMar>
                    <w:top w:w="120" w:type="dxa"/>
                    <w:left w:w="120" w:type="dxa"/>
                    <w:bottom w:w="120" w:type="dxa"/>
                    <w:right w:w="120" w:type="dxa"/>
                  </w:tcMar>
                  <w:vAlign w:val="center"/>
                </w:tcPr>
                <w:p w14:paraId="64593AE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距声源距离</w:t>
                  </w: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m</w:t>
                  </w: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p>
              </w:tc>
              <w:tc>
                <w:tcPr>
                  <w:tcW w:w="1005" w:type="pct"/>
                  <w:tcBorders>
                    <w:tl2br w:val="nil"/>
                    <w:tr2bl w:val="nil"/>
                  </w:tcBorders>
                  <w:shd w:val="clear" w:color="auto" w:fill="auto"/>
                  <w:tcMar>
                    <w:top w:w="120" w:type="dxa"/>
                    <w:left w:w="120" w:type="dxa"/>
                    <w:bottom w:w="120" w:type="dxa"/>
                    <w:right w:w="120" w:type="dxa"/>
                  </w:tcMar>
                  <w:vAlign w:val="center"/>
                </w:tcPr>
                <w:p w14:paraId="1EFEC5A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执行标准</w:t>
                  </w:r>
                </w:p>
              </w:tc>
              <w:tc>
                <w:tcPr>
                  <w:tcW w:w="416" w:type="pct"/>
                  <w:tcBorders>
                    <w:tl2br w:val="nil"/>
                    <w:tr2bl w:val="nil"/>
                  </w:tcBorders>
                  <w:shd w:val="clear" w:color="auto" w:fill="auto"/>
                  <w:tcMar>
                    <w:top w:w="120" w:type="dxa"/>
                    <w:left w:w="120" w:type="dxa"/>
                    <w:bottom w:w="120" w:type="dxa"/>
                    <w:right w:w="120" w:type="dxa"/>
                  </w:tcMar>
                  <w:vAlign w:val="center"/>
                </w:tcPr>
                <w:p w14:paraId="75F45AF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标准限值</w:t>
                  </w:r>
                </w:p>
              </w:tc>
              <w:tc>
                <w:tcPr>
                  <w:tcW w:w="313" w:type="pct"/>
                  <w:tcBorders>
                    <w:tl2br w:val="nil"/>
                    <w:tr2bl w:val="nil"/>
                  </w:tcBorders>
                  <w:shd w:val="clear" w:color="auto" w:fill="auto"/>
                  <w:tcMar>
                    <w:top w:w="120" w:type="dxa"/>
                    <w:left w:w="120" w:type="dxa"/>
                    <w:bottom w:w="120" w:type="dxa"/>
                    <w:right w:w="120" w:type="dxa"/>
                  </w:tcMar>
                  <w:vAlign w:val="center"/>
                </w:tcPr>
                <w:p w14:paraId="3029168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背景值</w:t>
                  </w:r>
                </w:p>
              </w:tc>
              <w:tc>
                <w:tcPr>
                  <w:tcW w:w="375" w:type="pct"/>
                  <w:tcBorders>
                    <w:tl2br w:val="nil"/>
                    <w:tr2bl w:val="nil"/>
                  </w:tcBorders>
                  <w:shd w:val="clear" w:color="auto" w:fill="auto"/>
                  <w:tcMar>
                    <w:top w:w="120" w:type="dxa"/>
                    <w:left w:w="120" w:type="dxa"/>
                    <w:bottom w:w="120" w:type="dxa"/>
                    <w:right w:w="120" w:type="dxa"/>
                  </w:tcMar>
                  <w:vAlign w:val="center"/>
                </w:tcPr>
                <w:p w14:paraId="2834238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贡献值</w:t>
                  </w:r>
                </w:p>
              </w:tc>
              <w:tc>
                <w:tcPr>
                  <w:tcW w:w="418" w:type="pct"/>
                  <w:tcBorders>
                    <w:tl2br w:val="nil"/>
                    <w:tr2bl w:val="nil"/>
                  </w:tcBorders>
                  <w:shd w:val="clear" w:color="auto" w:fill="auto"/>
                  <w:tcMar>
                    <w:top w:w="120" w:type="dxa"/>
                    <w:left w:w="120" w:type="dxa"/>
                    <w:bottom w:w="120" w:type="dxa"/>
                    <w:right w:w="120" w:type="dxa"/>
                  </w:tcMar>
                  <w:vAlign w:val="center"/>
                </w:tcPr>
                <w:p w14:paraId="5E0177E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预测值</w:t>
                  </w:r>
                </w:p>
              </w:tc>
              <w:tc>
                <w:tcPr>
                  <w:tcW w:w="442" w:type="pct"/>
                  <w:tcBorders>
                    <w:tl2br w:val="nil"/>
                    <w:tr2bl w:val="nil"/>
                  </w:tcBorders>
                  <w:shd w:val="clear" w:color="auto" w:fill="auto"/>
                  <w:tcMar>
                    <w:top w:w="120" w:type="dxa"/>
                    <w:left w:w="120" w:type="dxa"/>
                    <w:bottom w:w="120" w:type="dxa"/>
                    <w:right w:w="120" w:type="dxa"/>
                  </w:tcMar>
                  <w:vAlign w:val="center"/>
                </w:tcPr>
                <w:p w14:paraId="4E91656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达标情况</w:t>
                  </w:r>
                </w:p>
              </w:tc>
              <w:tc>
                <w:tcPr>
                  <w:tcW w:w="531" w:type="pct"/>
                  <w:tcBorders>
                    <w:tl2br w:val="nil"/>
                    <w:tr2bl w:val="nil"/>
                  </w:tcBorders>
                  <w:shd w:val="clear" w:color="auto" w:fill="auto"/>
                  <w:tcMar>
                    <w:top w:w="120" w:type="dxa"/>
                    <w:left w:w="120" w:type="dxa"/>
                    <w:bottom w:w="120" w:type="dxa"/>
                    <w:right w:w="120" w:type="dxa"/>
                  </w:tcMar>
                  <w:vAlign w:val="center"/>
                </w:tcPr>
                <w:p w14:paraId="2369E8A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备注</w:t>
                  </w:r>
                </w:p>
              </w:tc>
            </w:tr>
            <w:tr w14:paraId="4A7DFA9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15" w:type="dxa"/>
                  <w:left w:w="15" w:type="dxa"/>
                  <w:bottom w:w="15" w:type="dxa"/>
                  <w:right w:w="15" w:type="dxa"/>
                </w:tblCellMar>
              </w:tblPrEx>
              <w:tc>
                <w:tcPr>
                  <w:tcW w:w="217" w:type="pct"/>
                  <w:tcBorders>
                    <w:tl2br w:val="nil"/>
                    <w:tr2bl w:val="nil"/>
                  </w:tcBorders>
                  <w:shd w:val="clear" w:color="auto" w:fill="auto"/>
                  <w:tcMar>
                    <w:top w:w="120" w:type="dxa"/>
                    <w:left w:w="120" w:type="dxa"/>
                    <w:bottom w:w="120" w:type="dxa"/>
                    <w:right w:w="120" w:type="dxa"/>
                  </w:tcMar>
                  <w:vAlign w:val="center"/>
                </w:tcPr>
                <w:p w14:paraId="746CD3D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w:t>
                  </w:r>
                </w:p>
              </w:tc>
              <w:tc>
                <w:tcPr>
                  <w:tcW w:w="488" w:type="pct"/>
                  <w:tcBorders>
                    <w:tl2br w:val="nil"/>
                    <w:tr2bl w:val="nil"/>
                  </w:tcBorders>
                  <w:shd w:val="clear" w:color="auto" w:fill="auto"/>
                  <w:tcMar>
                    <w:top w:w="120" w:type="dxa"/>
                    <w:left w:w="120" w:type="dxa"/>
                    <w:bottom w:w="120" w:type="dxa"/>
                    <w:right w:w="120" w:type="dxa"/>
                  </w:tcMar>
                  <w:vAlign w:val="center"/>
                </w:tcPr>
                <w:p w14:paraId="1C8F99B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东厂界外环境</w:t>
                  </w:r>
                </w:p>
              </w:tc>
              <w:tc>
                <w:tcPr>
                  <w:tcW w:w="340" w:type="pct"/>
                  <w:tcBorders>
                    <w:tl2br w:val="nil"/>
                    <w:tr2bl w:val="nil"/>
                  </w:tcBorders>
                  <w:shd w:val="clear" w:color="auto" w:fill="auto"/>
                  <w:tcMar>
                    <w:top w:w="120" w:type="dxa"/>
                    <w:left w:w="120" w:type="dxa"/>
                    <w:bottom w:w="120" w:type="dxa"/>
                    <w:right w:w="120" w:type="dxa"/>
                  </w:tcMar>
                  <w:vAlign w:val="center"/>
                </w:tcPr>
                <w:p w14:paraId="7677D53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东侧</w:t>
                  </w:r>
                </w:p>
              </w:tc>
              <w:tc>
                <w:tcPr>
                  <w:tcW w:w="450" w:type="pct"/>
                  <w:tcBorders>
                    <w:tl2br w:val="nil"/>
                    <w:tr2bl w:val="nil"/>
                  </w:tcBorders>
                  <w:shd w:val="clear" w:color="auto" w:fill="auto"/>
                  <w:tcMar>
                    <w:top w:w="120" w:type="dxa"/>
                    <w:left w:w="120" w:type="dxa"/>
                    <w:bottom w:w="120" w:type="dxa"/>
                    <w:right w:w="120" w:type="dxa"/>
                  </w:tcMar>
                  <w:vAlign w:val="center"/>
                </w:tcPr>
                <w:p w14:paraId="789F05C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188</w:t>
                  </w:r>
                </w:p>
              </w:tc>
              <w:tc>
                <w:tcPr>
                  <w:tcW w:w="1005" w:type="pct"/>
                  <w:tcBorders>
                    <w:tl2br w:val="nil"/>
                    <w:tr2bl w:val="nil"/>
                  </w:tcBorders>
                  <w:shd w:val="clear" w:color="auto" w:fill="auto"/>
                  <w:tcMar>
                    <w:top w:w="120" w:type="dxa"/>
                    <w:left w:w="120" w:type="dxa"/>
                    <w:bottom w:w="120" w:type="dxa"/>
                    <w:right w:w="120" w:type="dxa"/>
                  </w:tcMar>
                  <w:vAlign w:val="center"/>
                </w:tcPr>
                <w:p w14:paraId="1326E7C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《工业企业厂界环境噪声排放标准》（GB12348-2008）2类</w:t>
                  </w:r>
                </w:p>
              </w:tc>
              <w:tc>
                <w:tcPr>
                  <w:tcW w:w="416" w:type="pct"/>
                  <w:tcBorders>
                    <w:tl2br w:val="nil"/>
                    <w:tr2bl w:val="nil"/>
                  </w:tcBorders>
                  <w:shd w:val="clear" w:color="auto" w:fill="auto"/>
                  <w:tcMar>
                    <w:top w:w="120" w:type="dxa"/>
                    <w:left w:w="120" w:type="dxa"/>
                    <w:bottom w:w="120" w:type="dxa"/>
                    <w:right w:w="120" w:type="dxa"/>
                  </w:tcMar>
                  <w:vAlign w:val="center"/>
                </w:tcPr>
                <w:p w14:paraId="59AB5A3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昼≤60；夜≤50</w:t>
                  </w:r>
                </w:p>
              </w:tc>
              <w:tc>
                <w:tcPr>
                  <w:tcW w:w="313" w:type="pct"/>
                  <w:tcBorders>
                    <w:tl2br w:val="nil"/>
                    <w:tr2bl w:val="nil"/>
                  </w:tcBorders>
                  <w:shd w:val="clear" w:color="auto" w:fill="auto"/>
                  <w:tcMar>
                    <w:top w:w="120" w:type="dxa"/>
                    <w:left w:w="120" w:type="dxa"/>
                    <w:bottom w:w="120" w:type="dxa"/>
                    <w:right w:w="120" w:type="dxa"/>
                  </w:tcMar>
                  <w:vAlign w:val="center"/>
                </w:tcPr>
                <w:p w14:paraId="6C2B66B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p>
              </w:tc>
              <w:tc>
                <w:tcPr>
                  <w:tcW w:w="375" w:type="pct"/>
                  <w:tcBorders>
                    <w:tl2br w:val="nil"/>
                    <w:tr2bl w:val="nil"/>
                  </w:tcBorders>
                  <w:shd w:val="clear" w:color="auto" w:fill="auto"/>
                  <w:tcMar>
                    <w:top w:w="120" w:type="dxa"/>
                    <w:left w:w="120" w:type="dxa"/>
                    <w:bottom w:w="120" w:type="dxa"/>
                    <w:right w:w="120" w:type="dxa"/>
                  </w:tcMar>
                  <w:vAlign w:val="center"/>
                </w:tcPr>
                <w:p w14:paraId="0AA605A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41.4</w:t>
                  </w:r>
                </w:p>
              </w:tc>
              <w:tc>
                <w:tcPr>
                  <w:tcW w:w="418" w:type="pct"/>
                  <w:tcBorders>
                    <w:tl2br w:val="nil"/>
                    <w:tr2bl w:val="nil"/>
                  </w:tcBorders>
                  <w:shd w:val="clear" w:color="auto" w:fill="auto"/>
                  <w:tcMar>
                    <w:top w:w="120" w:type="dxa"/>
                    <w:left w:w="120" w:type="dxa"/>
                    <w:bottom w:w="120" w:type="dxa"/>
                    <w:right w:w="120" w:type="dxa"/>
                  </w:tcMar>
                  <w:vAlign w:val="center"/>
                </w:tcPr>
                <w:p w14:paraId="7176C56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41.4</w:t>
                  </w:r>
                </w:p>
              </w:tc>
              <w:tc>
                <w:tcPr>
                  <w:tcW w:w="442" w:type="pct"/>
                  <w:tcBorders>
                    <w:tl2br w:val="nil"/>
                    <w:tr2bl w:val="nil"/>
                  </w:tcBorders>
                  <w:shd w:val="clear" w:color="auto" w:fill="auto"/>
                  <w:tcMar>
                    <w:top w:w="120" w:type="dxa"/>
                    <w:left w:w="120" w:type="dxa"/>
                    <w:bottom w:w="120" w:type="dxa"/>
                    <w:right w:w="120" w:type="dxa"/>
                  </w:tcMar>
                  <w:vAlign w:val="center"/>
                </w:tcPr>
                <w:p w14:paraId="6D541CC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达标</w:t>
                  </w:r>
                </w:p>
              </w:tc>
              <w:tc>
                <w:tcPr>
                  <w:tcW w:w="531" w:type="pct"/>
                  <w:tcBorders>
                    <w:tl2br w:val="nil"/>
                    <w:tr2bl w:val="nil"/>
                  </w:tcBorders>
                  <w:shd w:val="clear" w:color="auto" w:fill="auto"/>
                  <w:tcMar>
                    <w:top w:w="120" w:type="dxa"/>
                    <w:left w:w="120" w:type="dxa"/>
                    <w:bottom w:w="120" w:type="dxa"/>
                    <w:right w:w="120" w:type="dxa"/>
                  </w:tcMar>
                  <w:vAlign w:val="center"/>
                </w:tcPr>
                <w:p w14:paraId="02B802A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无敏感建筑</w:t>
                  </w:r>
                </w:p>
              </w:tc>
            </w:tr>
            <w:tr w14:paraId="2DD84BB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15" w:type="dxa"/>
                  <w:left w:w="15" w:type="dxa"/>
                  <w:bottom w:w="15" w:type="dxa"/>
                  <w:right w:w="15" w:type="dxa"/>
                </w:tblCellMar>
              </w:tblPrEx>
              <w:tc>
                <w:tcPr>
                  <w:tcW w:w="217" w:type="pct"/>
                  <w:tcBorders>
                    <w:tl2br w:val="nil"/>
                    <w:tr2bl w:val="nil"/>
                  </w:tcBorders>
                  <w:shd w:val="clear" w:color="auto" w:fill="auto"/>
                  <w:tcMar>
                    <w:top w:w="120" w:type="dxa"/>
                    <w:left w:w="120" w:type="dxa"/>
                    <w:bottom w:w="120" w:type="dxa"/>
                    <w:right w:w="120" w:type="dxa"/>
                  </w:tcMar>
                  <w:vAlign w:val="center"/>
                </w:tcPr>
                <w:p w14:paraId="6756852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2</w:t>
                  </w:r>
                </w:p>
              </w:tc>
              <w:tc>
                <w:tcPr>
                  <w:tcW w:w="488" w:type="pct"/>
                  <w:tcBorders>
                    <w:tl2br w:val="nil"/>
                    <w:tr2bl w:val="nil"/>
                  </w:tcBorders>
                  <w:shd w:val="clear" w:color="auto" w:fill="auto"/>
                  <w:tcMar>
                    <w:top w:w="120" w:type="dxa"/>
                    <w:left w:w="120" w:type="dxa"/>
                    <w:bottom w:w="120" w:type="dxa"/>
                    <w:right w:w="120" w:type="dxa"/>
                  </w:tcMar>
                  <w:vAlign w:val="center"/>
                </w:tcPr>
                <w:p w14:paraId="00FC683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西厂界外环境</w:t>
                  </w:r>
                </w:p>
              </w:tc>
              <w:tc>
                <w:tcPr>
                  <w:tcW w:w="340" w:type="pct"/>
                  <w:tcBorders>
                    <w:tl2br w:val="nil"/>
                    <w:tr2bl w:val="nil"/>
                  </w:tcBorders>
                  <w:shd w:val="clear" w:color="auto" w:fill="auto"/>
                  <w:tcMar>
                    <w:top w:w="120" w:type="dxa"/>
                    <w:left w:w="120" w:type="dxa"/>
                    <w:bottom w:w="120" w:type="dxa"/>
                    <w:right w:w="120" w:type="dxa"/>
                  </w:tcMar>
                  <w:vAlign w:val="center"/>
                </w:tcPr>
                <w:p w14:paraId="3F171BF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西侧</w:t>
                  </w:r>
                </w:p>
              </w:tc>
              <w:tc>
                <w:tcPr>
                  <w:tcW w:w="450" w:type="pct"/>
                  <w:tcBorders>
                    <w:tl2br w:val="nil"/>
                    <w:tr2bl w:val="nil"/>
                  </w:tcBorders>
                  <w:shd w:val="clear" w:color="auto" w:fill="auto"/>
                  <w:tcMar>
                    <w:top w:w="120" w:type="dxa"/>
                    <w:left w:w="120" w:type="dxa"/>
                    <w:bottom w:w="120" w:type="dxa"/>
                    <w:right w:w="120" w:type="dxa"/>
                  </w:tcMar>
                  <w:vAlign w:val="center"/>
                </w:tcPr>
                <w:p w14:paraId="640F48C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49</w:t>
                  </w:r>
                </w:p>
              </w:tc>
              <w:tc>
                <w:tcPr>
                  <w:tcW w:w="1005" w:type="pct"/>
                  <w:tcBorders>
                    <w:tl2br w:val="nil"/>
                    <w:tr2bl w:val="nil"/>
                  </w:tcBorders>
                  <w:shd w:val="clear" w:color="auto" w:fill="auto"/>
                  <w:tcMar>
                    <w:top w:w="120" w:type="dxa"/>
                    <w:left w:w="120" w:type="dxa"/>
                    <w:bottom w:w="120" w:type="dxa"/>
                    <w:right w:w="120" w:type="dxa"/>
                  </w:tcMar>
                  <w:vAlign w:val="center"/>
                </w:tcPr>
                <w:p w14:paraId="4325CF3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《工业企业厂界环境噪声排放标准》（GB12348-2008）2类</w:t>
                  </w:r>
                </w:p>
              </w:tc>
              <w:tc>
                <w:tcPr>
                  <w:tcW w:w="416" w:type="pct"/>
                  <w:tcBorders>
                    <w:tl2br w:val="nil"/>
                    <w:tr2bl w:val="nil"/>
                  </w:tcBorders>
                  <w:shd w:val="clear" w:color="auto" w:fill="auto"/>
                  <w:tcMar>
                    <w:top w:w="120" w:type="dxa"/>
                    <w:left w:w="120" w:type="dxa"/>
                    <w:bottom w:w="120" w:type="dxa"/>
                    <w:right w:w="120" w:type="dxa"/>
                  </w:tcMar>
                  <w:vAlign w:val="center"/>
                </w:tcPr>
                <w:p w14:paraId="6F79886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昼≤60；夜≤50</w:t>
                  </w:r>
                </w:p>
              </w:tc>
              <w:tc>
                <w:tcPr>
                  <w:tcW w:w="313" w:type="pct"/>
                  <w:tcBorders>
                    <w:tl2br w:val="nil"/>
                    <w:tr2bl w:val="nil"/>
                  </w:tcBorders>
                  <w:shd w:val="clear" w:color="auto" w:fill="auto"/>
                  <w:tcMar>
                    <w:top w:w="120" w:type="dxa"/>
                    <w:left w:w="120" w:type="dxa"/>
                    <w:bottom w:w="120" w:type="dxa"/>
                    <w:right w:w="120" w:type="dxa"/>
                  </w:tcMar>
                  <w:vAlign w:val="center"/>
                </w:tcPr>
                <w:p w14:paraId="24D853E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p>
              </w:tc>
              <w:tc>
                <w:tcPr>
                  <w:tcW w:w="375" w:type="pct"/>
                  <w:tcBorders>
                    <w:tl2br w:val="nil"/>
                    <w:tr2bl w:val="nil"/>
                  </w:tcBorders>
                  <w:shd w:val="clear" w:color="auto" w:fill="auto"/>
                  <w:tcMar>
                    <w:top w:w="120" w:type="dxa"/>
                    <w:left w:w="120" w:type="dxa"/>
                    <w:bottom w:w="120" w:type="dxa"/>
                    <w:right w:w="120" w:type="dxa"/>
                  </w:tcMar>
                  <w:vAlign w:val="center"/>
                </w:tcPr>
                <w:p w14:paraId="6519505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40.0</w:t>
                  </w:r>
                </w:p>
              </w:tc>
              <w:tc>
                <w:tcPr>
                  <w:tcW w:w="418" w:type="pct"/>
                  <w:tcBorders>
                    <w:tl2br w:val="nil"/>
                    <w:tr2bl w:val="nil"/>
                  </w:tcBorders>
                  <w:shd w:val="clear" w:color="auto" w:fill="auto"/>
                  <w:tcMar>
                    <w:top w:w="120" w:type="dxa"/>
                    <w:left w:w="120" w:type="dxa"/>
                    <w:bottom w:w="120" w:type="dxa"/>
                    <w:right w:w="120" w:type="dxa"/>
                  </w:tcMar>
                  <w:vAlign w:val="center"/>
                </w:tcPr>
                <w:p w14:paraId="1898E3A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40.0</w:t>
                  </w:r>
                </w:p>
              </w:tc>
              <w:tc>
                <w:tcPr>
                  <w:tcW w:w="442" w:type="pct"/>
                  <w:tcBorders>
                    <w:tl2br w:val="nil"/>
                    <w:tr2bl w:val="nil"/>
                  </w:tcBorders>
                  <w:shd w:val="clear" w:color="auto" w:fill="auto"/>
                  <w:tcMar>
                    <w:top w:w="120" w:type="dxa"/>
                    <w:left w:w="120" w:type="dxa"/>
                    <w:bottom w:w="120" w:type="dxa"/>
                    <w:right w:w="120" w:type="dxa"/>
                  </w:tcMar>
                  <w:vAlign w:val="center"/>
                </w:tcPr>
                <w:p w14:paraId="74847D1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达标</w:t>
                  </w:r>
                </w:p>
              </w:tc>
              <w:tc>
                <w:tcPr>
                  <w:tcW w:w="531" w:type="pct"/>
                  <w:tcBorders>
                    <w:tl2br w:val="nil"/>
                    <w:tr2bl w:val="nil"/>
                  </w:tcBorders>
                  <w:shd w:val="clear" w:color="auto" w:fill="auto"/>
                  <w:tcMar>
                    <w:top w:w="120" w:type="dxa"/>
                    <w:left w:w="120" w:type="dxa"/>
                    <w:bottom w:w="120" w:type="dxa"/>
                    <w:right w:w="120" w:type="dxa"/>
                  </w:tcMar>
                  <w:vAlign w:val="center"/>
                </w:tcPr>
                <w:p w14:paraId="315C1F2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无敏感建筑</w:t>
                  </w:r>
                </w:p>
              </w:tc>
            </w:tr>
            <w:tr w14:paraId="1A67842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15" w:type="dxa"/>
                  <w:left w:w="15" w:type="dxa"/>
                  <w:bottom w:w="15" w:type="dxa"/>
                  <w:right w:w="15" w:type="dxa"/>
                </w:tblCellMar>
              </w:tblPrEx>
              <w:tc>
                <w:tcPr>
                  <w:tcW w:w="217" w:type="pct"/>
                  <w:tcBorders>
                    <w:tl2br w:val="nil"/>
                    <w:tr2bl w:val="nil"/>
                  </w:tcBorders>
                  <w:shd w:val="clear" w:color="auto" w:fill="auto"/>
                  <w:tcMar>
                    <w:top w:w="120" w:type="dxa"/>
                    <w:left w:w="120" w:type="dxa"/>
                    <w:bottom w:w="120" w:type="dxa"/>
                    <w:right w:w="120" w:type="dxa"/>
                  </w:tcMar>
                  <w:vAlign w:val="center"/>
                </w:tcPr>
                <w:p w14:paraId="1259DB5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3</w:t>
                  </w:r>
                </w:p>
              </w:tc>
              <w:tc>
                <w:tcPr>
                  <w:tcW w:w="488" w:type="pct"/>
                  <w:tcBorders>
                    <w:tl2br w:val="nil"/>
                    <w:tr2bl w:val="nil"/>
                  </w:tcBorders>
                  <w:shd w:val="clear" w:color="auto" w:fill="auto"/>
                  <w:tcMar>
                    <w:top w:w="120" w:type="dxa"/>
                    <w:left w:w="120" w:type="dxa"/>
                    <w:bottom w:w="120" w:type="dxa"/>
                    <w:right w:w="120" w:type="dxa"/>
                  </w:tcMar>
                  <w:vAlign w:val="center"/>
                </w:tcPr>
                <w:p w14:paraId="6694A48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南厂界外环境</w:t>
                  </w:r>
                </w:p>
              </w:tc>
              <w:tc>
                <w:tcPr>
                  <w:tcW w:w="340" w:type="pct"/>
                  <w:tcBorders>
                    <w:tl2br w:val="nil"/>
                    <w:tr2bl w:val="nil"/>
                  </w:tcBorders>
                  <w:shd w:val="clear" w:color="auto" w:fill="auto"/>
                  <w:tcMar>
                    <w:top w:w="120" w:type="dxa"/>
                    <w:left w:w="120" w:type="dxa"/>
                    <w:bottom w:w="120" w:type="dxa"/>
                    <w:right w:w="120" w:type="dxa"/>
                  </w:tcMar>
                  <w:vAlign w:val="center"/>
                </w:tcPr>
                <w:p w14:paraId="483DC98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南侧</w:t>
                  </w:r>
                </w:p>
              </w:tc>
              <w:tc>
                <w:tcPr>
                  <w:tcW w:w="450" w:type="pct"/>
                  <w:tcBorders>
                    <w:tl2br w:val="nil"/>
                    <w:tr2bl w:val="nil"/>
                  </w:tcBorders>
                  <w:shd w:val="clear" w:color="auto" w:fill="auto"/>
                  <w:tcMar>
                    <w:top w:w="120" w:type="dxa"/>
                    <w:left w:w="120" w:type="dxa"/>
                    <w:bottom w:w="120" w:type="dxa"/>
                    <w:right w:w="120" w:type="dxa"/>
                  </w:tcMar>
                  <w:vAlign w:val="center"/>
                </w:tcPr>
                <w:p w14:paraId="1919B56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80</w:t>
                  </w:r>
                </w:p>
              </w:tc>
              <w:tc>
                <w:tcPr>
                  <w:tcW w:w="1005" w:type="pct"/>
                  <w:tcBorders>
                    <w:tl2br w:val="nil"/>
                    <w:tr2bl w:val="nil"/>
                  </w:tcBorders>
                  <w:shd w:val="clear" w:color="auto" w:fill="auto"/>
                  <w:tcMar>
                    <w:top w:w="120" w:type="dxa"/>
                    <w:left w:w="120" w:type="dxa"/>
                    <w:bottom w:w="120" w:type="dxa"/>
                    <w:right w:w="120" w:type="dxa"/>
                  </w:tcMar>
                  <w:vAlign w:val="center"/>
                </w:tcPr>
                <w:p w14:paraId="1781F35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《工业企业厂界环境噪声排放标准》（GB12348-2008）2类</w:t>
                  </w:r>
                </w:p>
              </w:tc>
              <w:tc>
                <w:tcPr>
                  <w:tcW w:w="416" w:type="pct"/>
                  <w:tcBorders>
                    <w:tl2br w:val="nil"/>
                    <w:tr2bl w:val="nil"/>
                  </w:tcBorders>
                  <w:shd w:val="clear" w:color="auto" w:fill="auto"/>
                  <w:tcMar>
                    <w:top w:w="120" w:type="dxa"/>
                    <w:left w:w="120" w:type="dxa"/>
                    <w:bottom w:w="120" w:type="dxa"/>
                    <w:right w:w="120" w:type="dxa"/>
                  </w:tcMar>
                  <w:vAlign w:val="center"/>
                </w:tcPr>
                <w:p w14:paraId="4F746CA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昼≤60；夜≤50</w:t>
                  </w:r>
                </w:p>
              </w:tc>
              <w:tc>
                <w:tcPr>
                  <w:tcW w:w="313" w:type="pct"/>
                  <w:tcBorders>
                    <w:tl2br w:val="nil"/>
                    <w:tr2bl w:val="nil"/>
                  </w:tcBorders>
                  <w:shd w:val="clear" w:color="auto" w:fill="auto"/>
                  <w:tcMar>
                    <w:top w:w="120" w:type="dxa"/>
                    <w:left w:w="120" w:type="dxa"/>
                    <w:bottom w:w="120" w:type="dxa"/>
                    <w:right w:w="120" w:type="dxa"/>
                  </w:tcMar>
                  <w:vAlign w:val="center"/>
                </w:tcPr>
                <w:p w14:paraId="5DDA870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p>
              </w:tc>
              <w:tc>
                <w:tcPr>
                  <w:tcW w:w="375" w:type="pct"/>
                  <w:tcBorders>
                    <w:tl2br w:val="nil"/>
                    <w:tr2bl w:val="nil"/>
                  </w:tcBorders>
                  <w:shd w:val="clear" w:color="auto" w:fill="auto"/>
                  <w:tcMar>
                    <w:top w:w="120" w:type="dxa"/>
                    <w:left w:w="120" w:type="dxa"/>
                    <w:bottom w:w="120" w:type="dxa"/>
                    <w:right w:w="120" w:type="dxa"/>
                  </w:tcMar>
                  <w:vAlign w:val="center"/>
                </w:tcPr>
                <w:p w14:paraId="76AD7A6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45.4</w:t>
                  </w:r>
                </w:p>
              </w:tc>
              <w:tc>
                <w:tcPr>
                  <w:tcW w:w="418" w:type="pct"/>
                  <w:tcBorders>
                    <w:tl2br w:val="nil"/>
                    <w:tr2bl w:val="nil"/>
                  </w:tcBorders>
                  <w:shd w:val="clear" w:color="auto" w:fill="auto"/>
                  <w:tcMar>
                    <w:top w:w="120" w:type="dxa"/>
                    <w:left w:w="120" w:type="dxa"/>
                    <w:bottom w:w="120" w:type="dxa"/>
                    <w:right w:w="120" w:type="dxa"/>
                  </w:tcMar>
                  <w:vAlign w:val="center"/>
                </w:tcPr>
                <w:p w14:paraId="2BA5DE2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45.4</w:t>
                  </w:r>
                </w:p>
              </w:tc>
              <w:tc>
                <w:tcPr>
                  <w:tcW w:w="442" w:type="pct"/>
                  <w:tcBorders>
                    <w:tl2br w:val="nil"/>
                    <w:tr2bl w:val="nil"/>
                  </w:tcBorders>
                  <w:shd w:val="clear" w:color="auto" w:fill="auto"/>
                  <w:tcMar>
                    <w:top w:w="120" w:type="dxa"/>
                    <w:left w:w="120" w:type="dxa"/>
                    <w:bottom w:w="120" w:type="dxa"/>
                    <w:right w:w="120" w:type="dxa"/>
                  </w:tcMar>
                  <w:vAlign w:val="center"/>
                </w:tcPr>
                <w:p w14:paraId="6CA00BF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达标</w:t>
                  </w:r>
                </w:p>
              </w:tc>
              <w:tc>
                <w:tcPr>
                  <w:tcW w:w="531" w:type="pct"/>
                  <w:tcBorders>
                    <w:tl2br w:val="nil"/>
                    <w:tr2bl w:val="nil"/>
                  </w:tcBorders>
                  <w:shd w:val="clear" w:color="auto" w:fill="auto"/>
                  <w:tcMar>
                    <w:top w:w="120" w:type="dxa"/>
                    <w:left w:w="120" w:type="dxa"/>
                    <w:bottom w:w="120" w:type="dxa"/>
                    <w:right w:w="120" w:type="dxa"/>
                  </w:tcMar>
                  <w:vAlign w:val="center"/>
                </w:tcPr>
                <w:p w14:paraId="674B0FE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外为已搬迁企业，无声环境保护目标</w:t>
                  </w:r>
                </w:p>
              </w:tc>
            </w:tr>
            <w:tr w14:paraId="2DE4BA7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15" w:type="dxa"/>
                  <w:left w:w="15" w:type="dxa"/>
                  <w:bottom w:w="15" w:type="dxa"/>
                  <w:right w:w="15" w:type="dxa"/>
                </w:tblCellMar>
              </w:tblPrEx>
              <w:tc>
                <w:tcPr>
                  <w:tcW w:w="217" w:type="pct"/>
                  <w:tcBorders>
                    <w:tl2br w:val="nil"/>
                    <w:tr2bl w:val="nil"/>
                  </w:tcBorders>
                  <w:shd w:val="clear" w:color="auto" w:fill="auto"/>
                  <w:tcMar>
                    <w:top w:w="120" w:type="dxa"/>
                    <w:left w:w="120" w:type="dxa"/>
                    <w:bottom w:w="120" w:type="dxa"/>
                    <w:right w:w="120" w:type="dxa"/>
                  </w:tcMar>
                  <w:vAlign w:val="center"/>
                </w:tcPr>
                <w:p w14:paraId="222596A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w:t>
                  </w:r>
                </w:p>
              </w:tc>
              <w:tc>
                <w:tcPr>
                  <w:tcW w:w="488" w:type="pct"/>
                  <w:tcBorders>
                    <w:tl2br w:val="nil"/>
                    <w:tr2bl w:val="nil"/>
                  </w:tcBorders>
                  <w:shd w:val="clear" w:color="auto" w:fill="auto"/>
                  <w:tcMar>
                    <w:top w:w="120" w:type="dxa"/>
                    <w:left w:w="120" w:type="dxa"/>
                    <w:bottom w:w="120" w:type="dxa"/>
                    <w:right w:w="120" w:type="dxa"/>
                  </w:tcMar>
                  <w:vAlign w:val="center"/>
                </w:tcPr>
                <w:p w14:paraId="7505215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北厂界外环境</w:t>
                  </w:r>
                </w:p>
              </w:tc>
              <w:tc>
                <w:tcPr>
                  <w:tcW w:w="340" w:type="pct"/>
                  <w:tcBorders>
                    <w:tl2br w:val="nil"/>
                    <w:tr2bl w:val="nil"/>
                  </w:tcBorders>
                  <w:shd w:val="clear" w:color="auto" w:fill="auto"/>
                  <w:tcMar>
                    <w:top w:w="120" w:type="dxa"/>
                    <w:left w:w="120" w:type="dxa"/>
                    <w:bottom w:w="120" w:type="dxa"/>
                    <w:right w:w="120" w:type="dxa"/>
                  </w:tcMar>
                  <w:vAlign w:val="center"/>
                </w:tcPr>
                <w:p w14:paraId="5828E95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北侧</w:t>
                  </w:r>
                </w:p>
              </w:tc>
              <w:tc>
                <w:tcPr>
                  <w:tcW w:w="450" w:type="pct"/>
                  <w:tcBorders>
                    <w:tl2br w:val="nil"/>
                    <w:tr2bl w:val="nil"/>
                  </w:tcBorders>
                  <w:shd w:val="clear" w:color="auto" w:fill="auto"/>
                  <w:tcMar>
                    <w:top w:w="120" w:type="dxa"/>
                    <w:left w:w="120" w:type="dxa"/>
                    <w:bottom w:w="120" w:type="dxa"/>
                    <w:right w:w="120" w:type="dxa"/>
                  </w:tcMar>
                  <w:vAlign w:val="center"/>
                </w:tcPr>
                <w:p w14:paraId="0EE1C25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110</w:t>
                  </w:r>
                </w:p>
              </w:tc>
              <w:tc>
                <w:tcPr>
                  <w:tcW w:w="1005" w:type="pct"/>
                  <w:tcBorders>
                    <w:tl2br w:val="nil"/>
                    <w:tr2bl w:val="nil"/>
                  </w:tcBorders>
                  <w:shd w:val="clear" w:color="auto" w:fill="auto"/>
                  <w:tcMar>
                    <w:top w:w="120" w:type="dxa"/>
                    <w:left w:w="120" w:type="dxa"/>
                    <w:bottom w:w="120" w:type="dxa"/>
                    <w:right w:w="120" w:type="dxa"/>
                  </w:tcMar>
                  <w:vAlign w:val="center"/>
                </w:tcPr>
                <w:p w14:paraId="58CECE4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《工业企业厂界环境噪声排放标准》（GB12348-2008）2类</w:t>
                  </w:r>
                </w:p>
              </w:tc>
              <w:tc>
                <w:tcPr>
                  <w:tcW w:w="416" w:type="pct"/>
                  <w:tcBorders>
                    <w:tl2br w:val="nil"/>
                    <w:tr2bl w:val="nil"/>
                  </w:tcBorders>
                  <w:shd w:val="clear" w:color="auto" w:fill="auto"/>
                  <w:tcMar>
                    <w:top w:w="120" w:type="dxa"/>
                    <w:left w:w="120" w:type="dxa"/>
                    <w:bottom w:w="120" w:type="dxa"/>
                    <w:right w:w="120" w:type="dxa"/>
                  </w:tcMar>
                  <w:vAlign w:val="center"/>
                </w:tcPr>
                <w:p w14:paraId="7450741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昼≤60；夜≤50</w:t>
                  </w:r>
                </w:p>
              </w:tc>
              <w:tc>
                <w:tcPr>
                  <w:tcW w:w="313" w:type="pct"/>
                  <w:tcBorders>
                    <w:tl2br w:val="nil"/>
                    <w:tr2bl w:val="nil"/>
                  </w:tcBorders>
                  <w:shd w:val="clear" w:color="auto" w:fill="auto"/>
                  <w:tcMar>
                    <w:top w:w="120" w:type="dxa"/>
                    <w:left w:w="120" w:type="dxa"/>
                    <w:bottom w:w="120" w:type="dxa"/>
                    <w:right w:w="120" w:type="dxa"/>
                  </w:tcMar>
                  <w:vAlign w:val="center"/>
                </w:tcPr>
                <w:p w14:paraId="44B2F87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p>
              </w:tc>
              <w:tc>
                <w:tcPr>
                  <w:tcW w:w="375" w:type="pct"/>
                  <w:tcBorders>
                    <w:tl2br w:val="nil"/>
                    <w:tr2bl w:val="nil"/>
                  </w:tcBorders>
                  <w:shd w:val="clear" w:color="auto" w:fill="auto"/>
                  <w:tcMar>
                    <w:top w:w="120" w:type="dxa"/>
                    <w:left w:w="120" w:type="dxa"/>
                    <w:bottom w:w="120" w:type="dxa"/>
                    <w:right w:w="120" w:type="dxa"/>
                  </w:tcMar>
                  <w:vAlign w:val="center"/>
                </w:tcPr>
                <w:p w14:paraId="6BB3AD8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45.3</w:t>
                  </w:r>
                </w:p>
              </w:tc>
              <w:tc>
                <w:tcPr>
                  <w:tcW w:w="418" w:type="pct"/>
                  <w:tcBorders>
                    <w:tl2br w:val="nil"/>
                    <w:tr2bl w:val="nil"/>
                  </w:tcBorders>
                  <w:shd w:val="clear" w:color="auto" w:fill="auto"/>
                  <w:tcMar>
                    <w:top w:w="120" w:type="dxa"/>
                    <w:left w:w="120" w:type="dxa"/>
                    <w:bottom w:w="120" w:type="dxa"/>
                    <w:right w:w="120" w:type="dxa"/>
                  </w:tcMar>
                  <w:vAlign w:val="center"/>
                </w:tcPr>
                <w:p w14:paraId="6E7029C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45.3</w:t>
                  </w:r>
                </w:p>
              </w:tc>
              <w:tc>
                <w:tcPr>
                  <w:tcW w:w="442" w:type="pct"/>
                  <w:tcBorders>
                    <w:tl2br w:val="nil"/>
                    <w:tr2bl w:val="nil"/>
                  </w:tcBorders>
                  <w:shd w:val="clear" w:color="auto" w:fill="auto"/>
                  <w:tcMar>
                    <w:top w:w="120" w:type="dxa"/>
                    <w:left w:w="120" w:type="dxa"/>
                    <w:bottom w:w="120" w:type="dxa"/>
                    <w:right w:w="120" w:type="dxa"/>
                  </w:tcMar>
                  <w:vAlign w:val="center"/>
                </w:tcPr>
                <w:p w14:paraId="3823AA7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达标</w:t>
                  </w:r>
                </w:p>
              </w:tc>
              <w:tc>
                <w:tcPr>
                  <w:tcW w:w="531" w:type="pct"/>
                  <w:tcBorders>
                    <w:tl2br w:val="nil"/>
                    <w:tr2bl w:val="nil"/>
                  </w:tcBorders>
                  <w:shd w:val="clear" w:color="auto" w:fill="auto"/>
                  <w:tcMar>
                    <w:top w:w="120" w:type="dxa"/>
                    <w:left w:w="120" w:type="dxa"/>
                    <w:bottom w:w="120" w:type="dxa"/>
                    <w:right w:w="120" w:type="dxa"/>
                  </w:tcMar>
                  <w:vAlign w:val="center"/>
                </w:tcPr>
                <w:p w14:paraId="578D0C3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无敏感建筑</w:t>
                  </w:r>
                </w:p>
              </w:tc>
            </w:tr>
          </w:tbl>
          <w:p w14:paraId="4BF11372">
            <w:pPr>
              <w:rPr>
                <w:color w:val="000000" w:themeColor="text1"/>
                <w:highlight w:val="none"/>
                <w:vertAlign w:val="baseline"/>
                <w14:textFill>
                  <w14:solidFill>
                    <w14:schemeClr w14:val="tx1"/>
                  </w14:solidFill>
                </w14:textFill>
              </w:rPr>
            </w:pPr>
          </w:p>
          <w:p w14:paraId="4D348420">
            <w:pPr>
              <w:rPr>
                <w:color w:val="000000" w:themeColor="text1"/>
                <w:highlight w:val="none"/>
                <w:vertAlign w:val="baseline"/>
                <w14:textFill>
                  <w14:solidFill>
                    <w14:schemeClr w14:val="tx1"/>
                  </w14:solidFill>
                </w14:textFill>
              </w:rPr>
            </w:pPr>
          </w:p>
          <w:p w14:paraId="4D2B7034">
            <w:pPr>
              <w:rPr>
                <w:color w:val="000000" w:themeColor="text1"/>
                <w:highlight w:val="none"/>
                <w:vertAlign w:val="baseline"/>
                <w14:textFill>
                  <w14:solidFill>
                    <w14:schemeClr w14:val="tx1"/>
                  </w14:solidFill>
                </w14:textFill>
              </w:rPr>
            </w:pPr>
          </w:p>
          <w:p w14:paraId="04947E03">
            <w:pPr>
              <w:rPr>
                <w:color w:val="000000" w:themeColor="text1"/>
                <w:highlight w:val="none"/>
                <w:vertAlign w:val="baseline"/>
                <w14:textFill>
                  <w14:solidFill>
                    <w14:schemeClr w14:val="tx1"/>
                  </w14:solidFill>
                </w14:textFill>
              </w:rPr>
            </w:pPr>
          </w:p>
        </w:tc>
      </w:tr>
    </w:tbl>
    <w:p w14:paraId="714FF73E">
      <w:pPr>
        <w:rPr>
          <w:color w:val="000000" w:themeColor="text1"/>
          <w:highlight w:val="none"/>
          <w14:textFill>
            <w14:solidFill>
              <w14:schemeClr w14:val="tx1"/>
            </w14:solidFill>
          </w14:textFill>
        </w:rPr>
        <w:sectPr>
          <w:pgSz w:w="16840" w:h="11907" w:orient="landscape"/>
          <w:pgMar w:top="1440" w:right="1797" w:bottom="1440" w:left="1797" w:header="851" w:footer="851" w:gutter="0"/>
          <w:pgBorders>
            <w:top w:val="none" w:sz="0" w:space="0"/>
            <w:left w:val="none" w:sz="0" w:space="0"/>
            <w:bottom w:val="none" w:sz="0" w:space="0"/>
            <w:right w:val="none" w:sz="0" w:space="0"/>
          </w:pgBorders>
          <w:pgNumType w:fmt="decimal"/>
          <w:cols w:space="720" w:num="1"/>
          <w:docGrid w:linePitch="312" w:charSpace="0"/>
        </w:sectPr>
      </w:pPr>
    </w:p>
    <w:p w14:paraId="157B9C5B">
      <w:pPr>
        <w:rPr>
          <w:color w:val="000000" w:themeColor="text1"/>
          <w:highlight w:val="none"/>
          <w14:textFill>
            <w14:solidFill>
              <w14:schemeClr w14:val="tx1"/>
            </w14:solidFill>
          </w14:textFill>
        </w:rPr>
      </w:pPr>
    </w:p>
    <w:tbl>
      <w:tblPr>
        <w:tblStyle w:val="12"/>
        <w:tblW w:w="522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40"/>
        <w:gridCol w:w="8747"/>
      </w:tblGrid>
      <w:tr w14:paraId="7484A8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96" w:hRule="atLeast"/>
          <w:jc w:val="center"/>
        </w:trPr>
        <w:tc>
          <w:tcPr>
            <w:tcW w:w="340" w:type="pct"/>
            <w:noWrap w:val="0"/>
            <w:tcMar>
              <w:left w:w="28" w:type="dxa"/>
              <w:right w:w="28" w:type="dxa"/>
            </w:tcMar>
            <w:vAlign w:val="center"/>
          </w:tcPr>
          <w:p w14:paraId="3114C3CA">
            <w:pPr>
              <w:adjustRightInd w:val="0"/>
              <w:snapToGrid w:val="0"/>
              <w:jc w:val="center"/>
              <w:rPr>
                <w:rFonts w:hint="default" w:ascii="Times New Roman" w:hAnsi="Times New Roman" w:cs="Times New Roman"/>
                <w:bCs/>
                <w:color w:val="000000" w:themeColor="text1"/>
                <w:sz w:val="24"/>
                <w:szCs w:val="24"/>
                <w:highlight w:val="none"/>
                <w14:textFill>
                  <w14:solidFill>
                    <w14:schemeClr w14:val="tx1"/>
                  </w14:solidFill>
                </w14:textFill>
              </w:rPr>
            </w:pPr>
            <w:r>
              <w:rPr>
                <w:rFonts w:hint="default" w:ascii="Times New Roman" w:hAnsi="Times New Roman" w:cs="Times New Roman"/>
                <w:bCs/>
                <w:color w:val="000000" w:themeColor="text1"/>
                <w:sz w:val="24"/>
                <w:szCs w:val="24"/>
                <w:highlight w:val="none"/>
                <w14:textFill>
                  <w14:solidFill>
                    <w14:schemeClr w14:val="tx1"/>
                  </w14:solidFill>
                </w14:textFill>
              </w:rPr>
              <w:t>运营</w:t>
            </w:r>
          </w:p>
          <w:p w14:paraId="736C23E9">
            <w:pPr>
              <w:adjustRightInd w:val="0"/>
              <w:snapToGrid w:val="0"/>
              <w:jc w:val="center"/>
              <w:rPr>
                <w:rFonts w:hint="default" w:ascii="Times New Roman" w:hAnsi="Times New Roman" w:cs="Times New Roman"/>
                <w:bCs/>
                <w:color w:val="000000" w:themeColor="text1"/>
                <w:sz w:val="24"/>
                <w:szCs w:val="24"/>
                <w:highlight w:val="none"/>
                <w14:textFill>
                  <w14:solidFill>
                    <w14:schemeClr w14:val="tx1"/>
                  </w14:solidFill>
                </w14:textFill>
              </w:rPr>
            </w:pPr>
            <w:r>
              <w:rPr>
                <w:rFonts w:hint="default" w:ascii="Times New Roman" w:hAnsi="Times New Roman" w:cs="Times New Roman"/>
                <w:bCs/>
                <w:color w:val="000000" w:themeColor="text1"/>
                <w:sz w:val="24"/>
                <w:szCs w:val="24"/>
                <w:highlight w:val="none"/>
                <w14:textFill>
                  <w14:solidFill>
                    <w14:schemeClr w14:val="tx1"/>
                  </w14:solidFill>
                </w14:textFill>
              </w:rPr>
              <w:t>期环</w:t>
            </w:r>
          </w:p>
          <w:p w14:paraId="6396CF9F">
            <w:pPr>
              <w:adjustRightInd w:val="0"/>
              <w:snapToGrid w:val="0"/>
              <w:jc w:val="center"/>
              <w:rPr>
                <w:rFonts w:hint="default" w:ascii="Times New Roman" w:hAnsi="Times New Roman" w:cs="Times New Roman"/>
                <w:bCs/>
                <w:color w:val="000000" w:themeColor="text1"/>
                <w:sz w:val="24"/>
                <w:szCs w:val="24"/>
                <w:highlight w:val="none"/>
                <w14:textFill>
                  <w14:solidFill>
                    <w14:schemeClr w14:val="tx1"/>
                  </w14:solidFill>
                </w14:textFill>
              </w:rPr>
            </w:pPr>
            <w:r>
              <w:rPr>
                <w:rFonts w:hint="default" w:ascii="Times New Roman" w:hAnsi="Times New Roman" w:cs="Times New Roman"/>
                <w:bCs/>
                <w:color w:val="000000" w:themeColor="text1"/>
                <w:sz w:val="24"/>
                <w:szCs w:val="24"/>
                <w:highlight w:val="none"/>
                <w14:textFill>
                  <w14:solidFill>
                    <w14:schemeClr w14:val="tx1"/>
                  </w14:solidFill>
                </w14:textFill>
              </w:rPr>
              <w:t>境影</w:t>
            </w:r>
          </w:p>
          <w:p w14:paraId="53FE7C05">
            <w:pPr>
              <w:adjustRightInd w:val="0"/>
              <w:snapToGrid w:val="0"/>
              <w:jc w:val="center"/>
              <w:rPr>
                <w:rFonts w:hint="default" w:ascii="Times New Roman" w:hAnsi="Times New Roman" w:cs="Times New Roman"/>
                <w:bCs/>
                <w:color w:val="000000" w:themeColor="text1"/>
                <w:sz w:val="24"/>
                <w:szCs w:val="24"/>
                <w:highlight w:val="none"/>
                <w14:textFill>
                  <w14:solidFill>
                    <w14:schemeClr w14:val="tx1"/>
                  </w14:solidFill>
                </w14:textFill>
              </w:rPr>
            </w:pPr>
            <w:r>
              <w:rPr>
                <w:rFonts w:hint="default" w:ascii="Times New Roman" w:hAnsi="Times New Roman" w:cs="Times New Roman"/>
                <w:bCs/>
                <w:color w:val="000000" w:themeColor="text1"/>
                <w:sz w:val="24"/>
                <w:szCs w:val="24"/>
                <w:highlight w:val="none"/>
                <w14:textFill>
                  <w14:solidFill>
                    <w14:schemeClr w14:val="tx1"/>
                  </w14:solidFill>
                </w14:textFill>
              </w:rPr>
              <w:t>响和</w:t>
            </w:r>
          </w:p>
          <w:p w14:paraId="2A30CEFF">
            <w:pPr>
              <w:adjustRightInd w:val="0"/>
              <w:snapToGrid w:val="0"/>
              <w:jc w:val="center"/>
              <w:rPr>
                <w:rFonts w:hint="default" w:ascii="Times New Roman" w:hAnsi="Times New Roman" w:cs="Times New Roman"/>
                <w:bCs/>
                <w:color w:val="000000" w:themeColor="text1"/>
                <w:sz w:val="24"/>
                <w:szCs w:val="24"/>
                <w:highlight w:val="none"/>
                <w14:textFill>
                  <w14:solidFill>
                    <w14:schemeClr w14:val="tx1"/>
                  </w14:solidFill>
                </w14:textFill>
              </w:rPr>
            </w:pPr>
            <w:r>
              <w:rPr>
                <w:rFonts w:hint="default" w:ascii="Times New Roman" w:hAnsi="Times New Roman" w:cs="Times New Roman"/>
                <w:bCs/>
                <w:color w:val="000000" w:themeColor="text1"/>
                <w:sz w:val="24"/>
                <w:szCs w:val="24"/>
                <w:highlight w:val="none"/>
                <w14:textFill>
                  <w14:solidFill>
                    <w14:schemeClr w14:val="tx1"/>
                  </w14:solidFill>
                </w14:textFill>
              </w:rPr>
              <w:t>保护</w:t>
            </w:r>
          </w:p>
          <w:p w14:paraId="271DBDC4">
            <w:pPr>
              <w:adjustRightInd w:val="0"/>
              <w:snapToGrid w:val="0"/>
              <w:jc w:val="center"/>
              <w:rPr>
                <w:rFonts w:hint="default" w:ascii="Times New Roman" w:hAnsi="Times New Roman" w:cs="Times New Roman"/>
                <w:bCs/>
                <w:color w:val="000000" w:themeColor="text1"/>
                <w:sz w:val="24"/>
                <w:szCs w:val="24"/>
                <w:highlight w:val="none"/>
                <w14:textFill>
                  <w14:solidFill>
                    <w14:schemeClr w14:val="tx1"/>
                  </w14:solidFill>
                </w14:textFill>
              </w:rPr>
            </w:pPr>
            <w:r>
              <w:rPr>
                <w:rFonts w:hint="default" w:ascii="Times New Roman" w:hAnsi="Times New Roman" w:cs="Times New Roman"/>
                <w:bCs/>
                <w:color w:val="000000" w:themeColor="text1"/>
                <w:sz w:val="24"/>
                <w:szCs w:val="24"/>
                <w:highlight w:val="none"/>
                <w14:textFill>
                  <w14:solidFill>
                    <w14:schemeClr w14:val="tx1"/>
                  </w14:solidFill>
                </w14:textFill>
              </w:rPr>
              <w:t>措施</w:t>
            </w:r>
          </w:p>
        </w:tc>
        <w:tc>
          <w:tcPr>
            <w:tcW w:w="4659" w:type="pct"/>
            <w:noWrap w:val="0"/>
            <w:vAlign w:val="center"/>
          </w:tcPr>
          <w:p w14:paraId="6E448FFE">
            <w:pPr>
              <w:keepNext w:val="0"/>
              <w:keepLines w:val="0"/>
              <w:pageBreakBefore w:val="0"/>
              <w:widowControl w:val="0"/>
              <w:kinsoku/>
              <w:wordWrap/>
              <w:overflowPunct/>
              <w:topLinePunct w:val="0"/>
              <w:autoSpaceDE/>
              <w:autoSpaceDN/>
              <w:bidi w:val="0"/>
              <w:adjustRightInd w:val="0"/>
              <w:snapToGrid w:val="0"/>
              <w:textAlignment w:val="auto"/>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4、固体废物</w:t>
            </w:r>
          </w:p>
          <w:p w14:paraId="73A19C4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本项目固体废弃物主要来自污水处理系统产生的格栅渣、沉砂池沉砂、污泥、员工生活垃圾</w:t>
            </w:r>
            <w:r>
              <w:rPr>
                <w:rFonts w:hint="eastAsia"/>
                <w:color w:val="000000" w:themeColor="text1"/>
                <w:highlight w:val="none"/>
                <w:lang w:val="en-US" w:eastAsia="zh-CN"/>
                <w14:textFill>
                  <w14:solidFill>
                    <w14:schemeClr w14:val="tx1"/>
                  </w14:solidFill>
                </w14:textFill>
              </w:rPr>
              <w:t>、废包装</w:t>
            </w:r>
            <w:r>
              <w:rPr>
                <w:rFonts w:hint="default"/>
                <w:color w:val="000000" w:themeColor="text1"/>
                <w:highlight w:val="none"/>
                <w:lang w:val="en-US" w:eastAsia="zh-CN"/>
                <w14:textFill>
                  <w14:solidFill>
                    <w14:schemeClr w14:val="tx1"/>
                  </w14:solidFill>
                </w14:textFill>
              </w:rPr>
              <w:t>等</w:t>
            </w:r>
            <w:r>
              <w:rPr>
                <w:rFonts w:hint="eastAsia"/>
                <w:color w:val="000000" w:themeColor="text1"/>
                <w:highlight w:val="none"/>
                <w:lang w:val="en-US" w:eastAsia="zh-CN"/>
                <w14:textFill>
                  <w14:solidFill>
                    <w14:schemeClr w14:val="tx1"/>
                  </w14:solidFill>
                </w14:textFill>
              </w:rPr>
              <w:t>及在线监测废液、废活性炭</w:t>
            </w:r>
            <w:r>
              <w:rPr>
                <w:rFonts w:hint="default"/>
                <w:color w:val="000000" w:themeColor="text1"/>
                <w:highlight w:val="none"/>
                <w:lang w:val="en-US" w:eastAsia="zh-CN"/>
                <w14:textFill>
                  <w14:solidFill>
                    <w14:schemeClr w14:val="tx1"/>
                  </w14:solidFill>
                </w14:textFill>
              </w:rPr>
              <w:t>。</w:t>
            </w:r>
          </w:p>
          <w:p w14:paraId="2645D96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本次项目因设备更换、工艺变更导致厂区固废产生量变化，环评同步核算扩建部分及一期改扩建完成后整体的固废产生情况。</w:t>
            </w:r>
          </w:p>
          <w:p w14:paraId="0B0EAD2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（1）隔栅渣</w:t>
            </w:r>
          </w:p>
          <w:p w14:paraId="3FE7BD3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项目污废水经过处理系统的粗细格栅时，粗细格栅拦截污水中较大颗粒的悬浮物产生栅渣，主要是塑料袋、树枝等悬浮物，栅渣量根据以下估算公式计算。</w:t>
            </w:r>
          </w:p>
          <w:p w14:paraId="1E294F65">
            <w:pPr>
              <w:keepNext w:val="0"/>
              <w:keepLines w:val="0"/>
              <w:pageBreakBefore w:val="0"/>
              <w:widowControl w:val="0"/>
              <w:kinsoku/>
              <w:wordWrap/>
              <w:overflowPunct/>
              <w:topLinePunct w:val="0"/>
              <w:autoSpaceDE/>
              <w:autoSpaceDN/>
              <w:bidi w:val="0"/>
              <w:adjustRightInd w:val="0"/>
              <w:snapToGrid w:val="0"/>
              <w:textAlignment w:val="auto"/>
              <w:rPr>
                <w:rFonts w:hint="default"/>
                <w:color w:val="000000" w:themeColor="text1"/>
                <w:highlight w:val="none"/>
                <w:lang w:val="en-US" w:eastAsia="zh-CN"/>
                <w14:textFill>
                  <w14:solidFill>
                    <w14:schemeClr w14:val="tx1"/>
                  </w14:solidFill>
                </w14:textFill>
              </w:rPr>
            </w:pPr>
            <m:oMathPara>
              <m:oMath>
                <m:r>
                  <m:rPr/>
                  <w:rPr>
                    <w:rFonts w:hint="default" w:ascii="Cambria Math" w:hAnsi="Cambria Math"/>
                    <w:color w:val="000000" w:themeColor="text1"/>
                    <w:kern w:val="2"/>
                    <w:sz w:val="24"/>
                    <w:szCs w:val="24"/>
                    <w:highlight w:val="none"/>
                    <w:lang w:val="en-US" w:eastAsia="zh-CN" w:bidi="ar-SA"/>
                    <w14:textFill>
                      <w14:solidFill>
                        <w14:schemeClr w14:val="tx1"/>
                      </w14:solidFill>
                    </w14:textFill>
                  </w:rPr>
                  <m:t>W=Q</m:t>
                </m:r>
                <m:sSub>
                  <m:sSubPr>
                    <m:ctrlPr>
                      <w:rPr>
                        <w:rFonts w:hint="default" w:ascii="Cambria Math" w:hAnsi="Cambria Math"/>
                        <w:i/>
                        <w:color w:val="000000" w:themeColor="text1"/>
                        <w:kern w:val="2"/>
                        <w:sz w:val="24"/>
                        <w:szCs w:val="24"/>
                        <w:highlight w:val="none"/>
                        <w:lang w:val="en-US" w:eastAsia="zh-CN" w:bidi="ar-SA"/>
                        <w14:textFill>
                          <w14:solidFill>
                            <w14:schemeClr w14:val="tx1"/>
                          </w14:solidFill>
                        </w14:textFill>
                      </w:rPr>
                    </m:ctrlPr>
                  </m:sSubPr>
                  <m:e>
                    <m:r>
                      <m:rPr/>
                      <w:rPr>
                        <w:rFonts w:hint="default" w:ascii="Cambria Math" w:hAnsi="Cambria Math"/>
                        <w:color w:val="000000" w:themeColor="text1"/>
                        <w:kern w:val="2"/>
                        <w:sz w:val="24"/>
                        <w:szCs w:val="24"/>
                        <w:highlight w:val="none"/>
                        <w:lang w:val="en-US" w:eastAsia="zh-CN" w:bidi="ar-SA"/>
                        <w14:textFill>
                          <w14:solidFill>
                            <w14:schemeClr w14:val="tx1"/>
                          </w14:solidFill>
                        </w14:textFill>
                      </w:rPr>
                      <m:t>W</m:t>
                    </m:r>
                    <m:ctrlPr>
                      <w:rPr>
                        <w:rFonts w:hint="default" w:ascii="Cambria Math" w:hAnsi="Cambria Math"/>
                        <w:i/>
                        <w:color w:val="000000" w:themeColor="text1"/>
                        <w:kern w:val="2"/>
                        <w:sz w:val="24"/>
                        <w:szCs w:val="24"/>
                        <w:highlight w:val="none"/>
                        <w:lang w:val="en-US" w:eastAsia="zh-CN" w:bidi="ar-SA"/>
                        <w14:textFill>
                          <w14:solidFill>
                            <w14:schemeClr w14:val="tx1"/>
                          </w14:solidFill>
                        </w14:textFill>
                      </w:rPr>
                    </m:ctrlPr>
                  </m:e>
                  <m:sub>
                    <m:r>
                      <m:rPr/>
                      <w:rPr>
                        <w:rFonts w:hint="default" w:ascii="Cambria Math" w:hAnsi="Cambria Math"/>
                        <w:color w:val="000000" w:themeColor="text1"/>
                        <w:kern w:val="2"/>
                        <w:sz w:val="24"/>
                        <w:szCs w:val="24"/>
                        <w:highlight w:val="none"/>
                        <w:lang w:val="en-US" w:eastAsia="zh-CN" w:bidi="ar-SA"/>
                        <w14:textFill>
                          <w14:solidFill>
                            <w14:schemeClr w14:val="tx1"/>
                          </w14:solidFill>
                        </w14:textFill>
                      </w:rPr>
                      <m:t>1</m:t>
                    </m:r>
                    <m:ctrlPr>
                      <w:rPr>
                        <w:rFonts w:hint="default" w:ascii="Cambria Math" w:hAnsi="Cambria Math"/>
                        <w:i/>
                        <w:color w:val="000000" w:themeColor="text1"/>
                        <w:kern w:val="2"/>
                        <w:sz w:val="24"/>
                        <w:szCs w:val="24"/>
                        <w:highlight w:val="none"/>
                        <w:lang w:val="en-US" w:eastAsia="zh-CN" w:bidi="ar-SA"/>
                        <w14:textFill>
                          <w14:solidFill>
                            <w14:schemeClr w14:val="tx1"/>
                          </w14:solidFill>
                        </w14:textFill>
                      </w:rPr>
                    </m:ctrlPr>
                  </m:sub>
                </m:sSub>
                <m:r>
                  <m:rPr/>
                  <w:rPr>
                    <w:rFonts w:hint="default" w:ascii="Cambria Math" w:hAnsi="Cambria Math"/>
                    <w:color w:val="000000" w:themeColor="text1"/>
                    <w:kern w:val="2"/>
                    <w:sz w:val="24"/>
                    <w:szCs w:val="24"/>
                    <w:highlight w:val="none"/>
                    <w:lang w:val="en-US" w:eastAsia="zh-CN" w:bidi="ar-SA"/>
                    <w14:textFill>
                      <w14:solidFill>
                        <w14:schemeClr w14:val="tx1"/>
                      </w14:solidFill>
                    </w14:textFill>
                  </w:rPr>
                  <m:t>d</m:t>
                </m:r>
              </m:oMath>
            </m:oMathPara>
          </w:p>
          <w:p w14:paraId="4E7B701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式中：W—每日栅渣量，kg/d；</w:t>
            </w:r>
          </w:p>
          <w:p w14:paraId="77967AA7">
            <w:pPr>
              <w:keepNext w:val="0"/>
              <w:keepLines w:val="0"/>
              <w:pageBreakBefore w:val="0"/>
              <w:widowControl w:val="0"/>
              <w:kinsoku/>
              <w:wordWrap/>
              <w:overflowPunct/>
              <w:topLinePunct w:val="0"/>
              <w:autoSpaceDE/>
              <w:autoSpaceDN/>
              <w:bidi w:val="0"/>
              <w:adjustRightInd w:val="0"/>
              <w:snapToGrid w:val="0"/>
              <w:ind w:firstLine="1200" w:firstLineChars="5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Q—设计污水处理量，m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/d；</w:t>
            </w:r>
          </w:p>
          <w:p w14:paraId="20E32C86">
            <w:pPr>
              <w:keepNext w:val="0"/>
              <w:keepLines w:val="0"/>
              <w:pageBreakBefore w:val="0"/>
              <w:widowControl w:val="0"/>
              <w:kinsoku/>
              <w:wordWrap/>
              <w:overflowPunct/>
              <w:topLinePunct w:val="0"/>
              <w:autoSpaceDE/>
              <w:autoSpaceDN/>
              <w:bidi w:val="0"/>
              <w:adjustRightInd w:val="0"/>
              <w:snapToGrid w:val="0"/>
              <w:ind w:firstLine="1200" w:firstLineChars="5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W</w:t>
            </w:r>
            <w:r>
              <w:rPr>
                <w:rFonts w:hint="default"/>
                <w:color w:val="000000" w:themeColor="text1"/>
                <w:highlight w:val="none"/>
                <w:vertAlign w:val="subscript"/>
                <w:lang w:val="en-US" w:eastAsia="zh-CN"/>
                <w14:textFill>
                  <w14:solidFill>
                    <w14:schemeClr w14:val="tx1"/>
                  </w14:solidFill>
                </w14:textFill>
              </w:rPr>
              <w:t>1</w:t>
            </w:r>
            <w:r>
              <w:rPr>
                <w:rFonts w:hint="default"/>
                <w:color w:val="000000" w:themeColor="text1"/>
                <w:highlight w:val="none"/>
                <w:lang w:val="en-US" w:eastAsia="zh-CN"/>
                <w14:textFill>
                  <w14:solidFill>
                    <w14:schemeClr w14:val="tx1"/>
                  </w14:solidFill>
                </w14:textFill>
              </w:rPr>
              <w:t>—粗细格栅栅渣截留量，m</w:t>
            </w:r>
            <w:r>
              <w:rPr>
                <w:rFonts w:hint="default"/>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栅渣</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/m</w:t>
            </w:r>
            <w:r>
              <w:rPr>
                <w:rFonts w:hint="default"/>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污水</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，取0.000025；</w:t>
            </w:r>
          </w:p>
          <w:p w14:paraId="6A9F4B0A">
            <w:pPr>
              <w:keepNext w:val="0"/>
              <w:keepLines w:val="0"/>
              <w:pageBreakBefore w:val="0"/>
              <w:widowControl w:val="0"/>
              <w:kinsoku/>
              <w:wordWrap/>
              <w:overflowPunct/>
              <w:topLinePunct w:val="0"/>
              <w:autoSpaceDE/>
              <w:autoSpaceDN/>
              <w:bidi w:val="0"/>
              <w:adjustRightInd w:val="0"/>
              <w:snapToGrid w:val="0"/>
              <w:ind w:firstLine="1200" w:firstLineChars="5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d—栅渣容重，960kg/m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，含水率为80%。</w:t>
            </w:r>
          </w:p>
          <w:p w14:paraId="723B1AD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据上式，扩建</w:t>
            </w:r>
            <w:r>
              <w:rPr>
                <w:rFonts w:hint="eastAsia"/>
                <w:color w:val="000000" w:themeColor="text1"/>
                <w:highlight w:val="none"/>
                <w:lang w:val="en-US" w:eastAsia="zh-CN"/>
                <w14:textFill>
                  <w14:solidFill>
                    <w14:schemeClr w14:val="tx1"/>
                  </w14:solidFill>
                </w14:textFill>
              </w:rPr>
              <w:t>部分</w:t>
            </w:r>
            <w:r>
              <w:rPr>
                <w:rFonts w:hint="default"/>
                <w:color w:val="000000" w:themeColor="text1"/>
                <w:highlight w:val="none"/>
                <w:lang w:val="en-US" w:eastAsia="zh-CN"/>
                <w14:textFill>
                  <w14:solidFill>
                    <w14:schemeClr w14:val="tx1"/>
                  </w14:solidFill>
                </w14:textFill>
              </w:rPr>
              <w:t>，项目污废水处理能力为</w:t>
            </w:r>
            <w:r>
              <w:rPr>
                <w:rFonts w:hint="eastAsia"/>
                <w:color w:val="000000" w:themeColor="text1"/>
                <w:highlight w:val="none"/>
                <w:lang w:val="en-US" w:eastAsia="zh-CN"/>
                <w14:textFill>
                  <w14:solidFill>
                    <w14:schemeClr w14:val="tx1"/>
                  </w14:solidFill>
                </w14:textFill>
              </w:rPr>
              <w:t>15</w:t>
            </w:r>
            <w:r>
              <w:rPr>
                <w:rFonts w:hint="default"/>
                <w:color w:val="000000" w:themeColor="text1"/>
                <w:highlight w:val="none"/>
                <w:lang w:val="en-US" w:eastAsia="zh-CN"/>
                <w14:textFill>
                  <w14:solidFill>
                    <w14:schemeClr w14:val="tx1"/>
                  </w14:solidFill>
                </w14:textFill>
              </w:rPr>
              <w:t>000m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/d，则栅渣量为</w:t>
            </w:r>
            <w:r>
              <w:rPr>
                <w:rFonts w:hint="eastAsia"/>
                <w:color w:val="000000" w:themeColor="text1"/>
                <w:highlight w:val="none"/>
                <w:lang w:val="en-US" w:eastAsia="zh-CN"/>
                <w14:textFill>
                  <w14:solidFill>
                    <w14:schemeClr w14:val="tx1"/>
                  </w14:solidFill>
                </w14:textFill>
              </w:rPr>
              <w:t>360</w:t>
            </w:r>
            <w:r>
              <w:rPr>
                <w:rFonts w:hint="default"/>
                <w:color w:val="000000" w:themeColor="text1"/>
                <w:highlight w:val="none"/>
                <w:lang w:val="en-US" w:eastAsia="zh-CN"/>
                <w14:textFill>
                  <w14:solidFill>
                    <w14:schemeClr w14:val="tx1"/>
                  </w14:solidFill>
                </w14:textFill>
              </w:rPr>
              <w:t>kg/d，</w:t>
            </w:r>
            <w:r>
              <w:rPr>
                <w:rFonts w:hint="eastAsia"/>
                <w:color w:val="000000" w:themeColor="text1"/>
                <w:highlight w:val="none"/>
                <w:lang w:val="en-US" w:eastAsia="zh-CN"/>
                <w14:textFill>
                  <w14:solidFill>
                    <w14:schemeClr w14:val="tx1"/>
                  </w14:solidFill>
                </w14:textFill>
              </w:rPr>
              <w:t>131.4</w:t>
            </w:r>
            <w:r>
              <w:rPr>
                <w:rFonts w:hint="default"/>
                <w:color w:val="000000" w:themeColor="text1"/>
                <w:highlight w:val="none"/>
                <w:lang w:val="en-US" w:eastAsia="zh-CN"/>
                <w14:textFill>
                  <w14:solidFill>
                    <w14:schemeClr w14:val="tx1"/>
                  </w14:solidFill>
                </w14:textFill>
              </w:rPr>
              <w:t>t/a，含水率为80%，经清掏滤水后得到的含水率60%的栅渣量为</w:t>
            </w:r>
            <w:r>
              <w:rPr>
                <w:rFonts w:hint="eastAsia"/>
                <w:color w:val="000000" w:themeColor="text1"/>
                <w:highlight w:val="none"/>
                <w:lang w:val="en-US" w:eastAsia="zh-CN"/>
                <w14:textFill>
                  <w14:solidFill>
                    <w14:schemeClr w14:val="tx1"/>
                  </w14:solidFill>
                </w14:textFill>
              </w:rPr>
              <w:t>65.7t</w:t>
            </w:r>
            <w:r>
              <w:rPr>
                <w:rFonts w:hint="default"/>
                <w:color w:val="000000" w:themeColor="text1"/>
                <w:highlight w:val="none"/>
                <w:lang w:val="en-US" w:eastAsia="zh-CN"/>
                <w14:textFill>
                  <w14:solidFill>
                    <w14:schemeClr w14:val="tx1"/>
                  </w14:solidFill>
                </w14:textFill>
              </w:rPr>
              <w:t>/a</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扩建后，</w:t>
            </w:r>
            <w:r>
              <w:rPr>
                <w:rFonts w:hint="eastAsia"/>
                <w:color w:val="000000" w:themeColor="text1"/>
                <w:highlight w:val="none"/>
                <w:lang w:val="en-US" w:eastAsia="zh-CN"/>
                <w14:textFill>
                  <w14:solidFill>
                    <w14:schemeClr w14:val="tx1"/>
                  </w14:solidFill>
                </w14:textFill>
              </w:rPr>
              <w:t>一期工程整体</w:t>
            </w:r>
            <w:r>
              <w:rPr>
                <w:rFonts w:hint="default"/>
                <w:color w:val="000000" w:themeColor="text1"/>
                <w:highlight w:val="none"/>
                <w:lang w:val="en-US" w:eastAsia="zh-CN"/>
                <w14:textFill>
                  <w14:solidFill>
                    <w14:schemeClr w14:val="tx1"/>
                  </w14:solidFill>
                </w14:textFill>
              </w:rPr>
              <w:t>污废水处理能力为</w:t>
            </w:r>
            <w:r>
              <w:rPr>
                <w:rFonts w:hint="eastAsia"/>
                <w:color w:val="000000" w:themeColor="text1"/>
                <w:highlight w:val="none"/>
                <w:lang w:val="en-US" w:eastAsia="zh-CN"/>
                <w14:textFill>
                  <w14:solidFill>
                    <w14:schemeClr w14:val="tx1"/>
                  </w14:solidFill>
                </w14:textFill>
              </w:rPr>
              <w:t>30000</w:t>
            </w:r>
            <w:r>
              <w:rPr>
                <w:rFonts w:hint="default"/>
                <w:color w:val="000000" w:themeColor="text1"/>
                <w:highlight w:val="none"/>
                <w:lang w:val="en-US" w:eastAsia="zh-CN"/>
                <w14:textFill>
                  <w14:solidFill>
                    <w14:schemeClr w14:val="tx1"/>
                  </w14:solidFill>
                </w14:textFill>
              </w:rPr>
              <w:t>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/d，则栅渣量为</w:t>
            </w:r>
            <w:r>
              <w:rPr>
                <w:rFonts w:hint="eastAsia"/>
                <w:color w:val="000000" w:themeColor="text1"/>
                <w:highlight w:val="none"/>
                <w:lang w:val="en-US" w:eastAsia="zh-CN"/>
                <w14:textFill>
                  <w14:solidFill>
                    <w14:schemeClr w14:val="tx1"/>
                  </w14:solidFill>
                </w14:textFill>
              </w:rPr>
              <w:t>720</w:t>
            </w:r>
            <w:r>
              <w:rPr>
                <w:rFonts w:hint="default"/>
                <w:color w:val="000000" w:themeColor="text1"/>
                <w:highlight w:val="none"/>
                <w:lang w:val="en-US" w:eastAsia="zh-CN"/>
                <w14:textFill>
                  <w14:solidFill>
                    <w14:schemeClr w14:val="tx1"/>
                  </w14:solidFill>
                </w14:textFill>
              </w:rPr>
              <w:t>kg/d，</w:t>
            </w:r>
            <w:r>
              <w:rPr>
                <w:rFonts w:hint="eastAsia"/>
                <w:color w:val="000000" w:themeColor="text1"/>
                <w:highlight w:val="none"/>
                <w:lang w:val="en-US" w:eastAsia="zh-CN"/>
                <w14:textFill>
                  <w14:solidFill>
                    <w14:schemeClr w14:val="tx1"/>
                  </w14:solidFill>
                </w14:textFill>
              </w:rPr>
              <w:t>262.8</w:t>
            </w:r>
            <w:r>
              <w:rPr>
                <w:rFonts w:hint="default"/>
                <w:color w:val="000000" w:themeColor="text1"/>
                <w:highlight w:val="none"/>
                <w:lang w:val="en-US" w:eastAsia="zh-CN"/>
                <w14:textFill>
                  <w14:solidFill>
                    <w14:schemeClr w14:val="tx1"/>
                  </w14:solidFill>
                </w14:textFill>
              </w:rPr>
              <w:t>t/a，含水率为80%，经清掏滤水后得到的含水率60%的栅渣量为</w:t>
            </w:r>
            <w:r>
              <w:rPr>
                <w:rFonts w:hint="eastAsia"/>
                <w:color w:val="000000" w:themeColor="text1"/>
                <w:highlight w:val="none"/>
                <w:lang w:val="en-US" w:eastAsia="zh-CN"/>
                <w14:textFill>
                  <w14:solidFill>
                    <w14:schemeClr w14:val="tx1"/>
                  </w14:solidFill>
                </w14:textFill>
              </w:rPr>
              <w:t>131.4</w:t>
            </w:r>
            <w:r>
              <w:rPr>
                <w:rFonts w:hint="default"/>
                <w:color w:val="000000" w:themeColor="text1"/>
                <w:highlight w:val="none"/>
                <w:lang w:val="en-US" w:eastAsia="zh-CN"/>
                <w14:textFill>
                  <w14:solidFill>
                    <w14:schemeClr w14:val="tx1"/>
                  </w14:solidFill>
                </w14:textFill>
              </w:rPr>
              <w:t>/a，隔栅渣滤水后定期</w:t>
            </w:r>
            <w:r>
              <w:rPr>
                <w:rFonts w:hint="eastAsia"/>
                <w:color w:val="000000" w:themeColor="text1"/>
                <w:highlight w:val="none"/>
                <w:lang w:val="en-US" w:eastAsia="zh-CN"/>
                <w14:textFill>
                  <w14:solidFill>
                    <w14:schemeClr w14:val="tx1"/>
                  </w14:solidFill>
                </w14:textFill>
              </w:rPr>
              <w:t>运至磴口县垃圾填埋场。</w:t>
            </w:r>
          </w:p>
          <w:p w14:paraId="6B4BA22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（2）沉砂</w:t>
            </w:r>
          </w:p>
          <w:p w14:paraId="5EE5AF1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项目处理的污废水进入旋流沉砂池时，会产生一定量的沉砂，主要是碎石块、泥沙等细小的悬浮物，沉砂量根据以下公式进行估算。</w:t>
            </w:r>
          </w:p>
          <w:p w14:paraId="1996AE81">
            <w:pPr>
              <w:keepNext w:val="0"/>
              <w:keepLines w:val="0"/>
              <w:pageBreakBefore w:val="0"/>
              <w:widowControl w:val="0"/>
              <w:kinsoku/>
              <w:wordWrap/>
              <w:overflowPunct/>
              <w:topLinePunct w:val="0"/>
              <w:autoSpaceDE/>
              <w:autoSpaceDN/>
              <w:bidi w:val="0"/>
              <w:adjustRightInd w:val="0"/>
              <w:snapToGrid w:val="0"/>
              <w:textAlignment w:val="auto"/>
              <w:rPr>
                <w:rFonts w:hint="default"/>
                <w:color w:val="000000" w:themeColor="text1"/>
                <w:highlight w:val="none"/>
                <w:lang w:val="en-US" w:eastAsia="zh-CN"/>
                <w14:textFill>
                  <w14:solidFill>
                    <w14:schemeClr w14:val="tx1"/>
                  </w14:solidFill>
                </w14:textFill>
              </w:rPr>
            </w:pPr>
            <m:oMathPara>
              <m:oMath>
                <m:r>
                  <m:rPr/>
                  <w:rPr>
                    <w:rFonts w:hint="default" w:ascii="Cambria Math" w:hAnsi="Cambria Math"/>
                    <w:color w:val="000000" w:themeColor="text1"/>
                    <w:kern w:val="2"/>
                    <w:sz w:val="24"/>
                    <w:szCs w:val="24"/>
                    <w:highlight w:val="none"/>
                    <w:lang w:val="en-US" w:eastAsia="zh-CN" w:bidi="ar-SA"/>
                    <w14:textFill>
                      <w14:solidFill>
                        <w14:schemeClr w14:val="tx1"/>
                      </w14:solidFill>
                    </w14:textFill>
                  </w:rPr>
                  <m:t>W=Q</m:t>
                </m:r>
                <m:sSub>
                  <m:sSubPr>
                    <m:ctrlPr>
                      <w:rPr>
                        <w:rFonts w:hint="default" w:ascii="Cambria Math" w:hAnsi="Cambria Math"/>
                        <w:i/>
                        <w:color w:val="000000" w:themeColor="text1"/>
                        <w:kern w:val="2"/>
                        <w:sz w:val="24"/>
                        <w:szCs w:val="24"/>
                        <w:highlight w:val="none"/>
                        <w:lang w:val="en-US" w:eastAsia="zh-CN" w:bidi="ar-SA"/>
                        <w14:textFill>
                          <w14:solidFill>
                            <w14:schemeClr w14:val="tx1"/>
                          </w14:solidFill>
                        </w14:textFill>
                      </w:rPr>
                    </m:ctrlPr>
                  </m:sSubPr>
                  <m:e>
                    <m:r>
                      <m:rPr/>
                      <w:rPr>
                        <w:rFonts w:hint="default" w:ascii="Cambria Math" w:hAnsi="Cambria Math"/>
                        <w:color w:val="000000" w:themeColor="text1"/>
                        <w:kern w:val="2"/>
                        <w:sz w:val="24"/>
                        <w:szCs w:val="24"/>
                        <w:highlight w:val="none"/>
                        <w:lang w:val="en-US" w:eastAsia="zh-CN" w:bidi="ar-SA"/>
                        <w14:textFill>
                          <w14:solidFill>
                            <w14:schemeClr w14:val="tx1"/>
                          </w14:solidFill>
                        </w14:textFill>
                      </w:rPr>
                      <m:t>W</m:t>
                    </m:r>
                    <m:ctrlPr>
                      <w:rPr>
                        <w:rFonts w:hint="default" w:ascii="Cambria Math" w:hAnsi="Cambria Math"/>
                        <w:i/>
                        <w:color w:val="000000" w:themeColor="text1"/>
                        <w:kern w:val="2"/>
                        <w:sz w:val="24"/>
                        <w:szCs w:val="24"/>
                        <w:highlight w:val="none"/>
                        <w:lang w:val="en-US" w:eastAsia="zh-CN" w:bidi="ar-SA"/>
                        <w14:textFill>
                          <w14:solidFill>
                            <w14:schemeClr w14:val="tx1"/>
                          </w14:solidFill>
                        </w14:textFill>
                      </w:rPr>
                    </m:ctrlPr>
                  </m:e>
                  <m:sub>
                    <m:r>
                      <m:rPr/>
                      <w:rPr>
                        <w:rFonts w:hint="default" w:ascii="Cambria Math" w:hAnsi="Cambria Math"/>
                        <w:color w:val="000000" w:themeColor="text1"/>
                        <w:kern w:val="2"/>
                        <w:sz w:val="24"/>
                        <w:szCs w:val="24"/>
                        <w:highlight w:val="none"/>
                        <w:lang w:val="en-US" w:eastAsia="zh-CN" w:bidi="ar-SA"/>
                        <w14:textFill>
                          <w14:solidFill>
                            <w14:schemeClr w14:val="tx1"/>
                          </w14:solidFill>
                        </w14:textFill>
                      </w:rPr>
                      <m:t>2</m:t>
                    </m:r>
                    <m:ctrlPr>
                      <w:rPr>
                        <w:rFonts w:hint="default" w:ascii="Cambria Math" w:hAnsi="Cambria Math"/>
                        <w:i/>
                        <w:color w:val="000000" w:themeColor="text1"/>
                        <w:kern w:val="2"/>
                        <w:sz w:val="24"/>
                        <w:szCs w:val="24"/>
                        <w:highlight w:val="none"/>
                        <w:lang w:val="en-US" w:eastAsia="zh-CN" w:bidi="ar-SA"/>
                        <w14:textFill>
                          <w14:solidFill>
                            <w14:schemeClr w14:val="tx1"/>
                          </w14:solidFill>
                        </w14:textFill>
                      </w:rPr>
                    </m:ctrlPr>
                  </m:sub>
                </m:sSub>
                <m:r>
                  <m:rPr/>
                  <w:rPr>
                    <w:rFonts w:hint="default" w:ascii="Cambria Math" w:hAnsi="Cambria Math"/>
                    <w:color w:val="000000" w:themeColor="text1"/>
                    <w:kern w:val="2"/>
                    <w:sz w:val="24"/>
                    <w:szCs w:val="24"/>
                    <w:highlight w:val="none"/>
                    <w:lang w:val="en-US" w:eastAsia="zh-CN" w:bidi="ar-SA"/>
                    <w14:textFill>
                      <w14:solidFill>
                        <w14:schemeClr w14:val="tx1"/>
                      </w14:solidFill>
                    </w14:textFill>
                  </w:rPr>
                  <m:t>s</m:t>
                </m:r>
              </m:oMath>
            </m:oMathPara>
          </w:p>
          <w:p w14:paraId="7D11047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式中：W—每日沉渣量，kg/d；</w:t>
            </w:r>
          </w:p>
          <w:p w14:paraId="5F531085">
            <w:pPr>
              <w:keepNext w:val="0"/>
              <w:keepLines w:val="0"/>
              <w:pageBreakBefore w:val="0"/>
              <w:widowControl w:val="0"/>
              <w:kinsoku/>
              <w:wordWrap/>
              <w:overflowPunct/>
              <w:topLinePunct w:val="0"/>
              <w:autoSpaceDE/>
              <w:autoSpaceDN/>
              <w:bidi w:val="0"/>
              <w:adjustRightInd w:val="0"/>
              <w:snapToGrid w:val="0"/>
              <w:ind w:firstLine="1200" w:firstLineChars="5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Q—设计污水处理量，m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/d；</w:t>
            </w:r>
          </w:p>
          <w:p w14:paraId="3FE9E86B">
            <w:pPr>
              <w:keepNext w:val="0"/>
              <w:keepLines w:val="0"/>
              <w:pageBreakBefore w:val="0"/>
              <w:widowControl w:val="0"/>
              <w:kinsoku/>
              <w:wordWrap/>
              <w:overflowPunct/>
              <w:topLinePunct w:val="0"/>
              <w:autoSpaceDE/>
              <w:autoSpaceDN/>
              <w:bidi w:val="0"/>
              <w:adjustRightInd w:val="0"/>
              <w:snapToGrid w:val="0"/>
              <w:ind w:firstLine="1200" w:firstLineChars="5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W</w:t>
            </w:r>
            <w:r>
              <w:rPr>
                <w:rFonts w:hint="default"/>
                <w:color w:val="000000" w:themeColor="text1"/>
                <w:highlight w:val="none"/>
                <w:vertAlign w:val="subscript"/>
                <w:lang w:val="en-US" w:eastAsia="zh-CN"/>
                <w14:textFill>
                  <w14:solidFill>
                    <w14:schemeClr w14:val="tx1"/>
                  </w14:solidFill>
                </w14:textFill>
              </w:rPr>
              <w:t>2</w:t>
            </w:r>
            <w:r>
              <w:rPr>
                <w:rFonts w:hint="default"/>
                <w:color w:val="000000" w:themeColor="text1"/>
                <w:highlight w:val="none"/>
                <w:lang w:val="en-US" w:eastAsia="zh-CN"/>
                <w14:textFill>
                  <w14:solidFill>
                    <w14:schemeClr w14:val="tx1"/>
                  </w14:solidFill>
                </w14:textFill>
              </w:rPr>
              <w:t>—沉砂系数，L/m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，取0.03；</w:t>
            </w:r>
          </w:p>
          <w:p w14:paraId="13B11062">
            <w:pPr>
              <w:keepNext w:val="0"/>
              <w:keepLines w:val="0"/>
              <w:pageBreakBefore w:val="0"/>
              <w:widowControl w:val="0"/>
              <w:kinsoku/>
              <w:wordWrap/>
              <w:overflowPunct/>
              <w:topLinePunct w:val="0"/>
              <w:autoSpaceDE/>
              <w:autoSpaceDN/>
              <w:bidi w:val="0"/>
              <w:adjustRightInd w:val="0"/>
              <w:snapToGrid w:val="0"/>
              <w:ind w:firstLine="1200" w:firstLineChars="5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s—比重，取1.5kg/L。</w:t>
            </w:r>
          </w:p>
          <w:p w14:paraId="493D0E5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据上述公式，</w:t>
            </w:r>
          </w:p>
          <w:p w14:paraId="195C6B8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扩建</w:t>
            </w:r>
            <w:r>
              <w:rPr>
                <w:rFonts w:hint="default"/>
                <w:color w:val="000000" w:themeColor="text1"/>
                <w:highlight w:val="none"/>
                <w:lang w:val="en-US" w:eastAsia="zh-CN"/>
                <w14:textFill>
                  <w14:solidFill>
                    <w14:schemeClr w14:val="tx1"/>
                  </w14:solidFill>
                </w14:textFill>
              </w:rPr>
              <w:t>项目污废水处理能力为</w:t>
            </w:r>
            <w:r>
              <w:rPr>
                <w:rFonts w:hint="eastAsia"/>
                <w:color w:val="000000" w:themeColor="text1"/>
                <w:highlight w:val="none"/>
                <w:lang w:val="en-US" w:eastAsia="zh-CN"/>
                <w14:textFill>
                  <w14:solidFill>
                    <w14:schemeClr w14:val="tx1"/>
                  </w14:solidFill>
                </w14:textFill>
              </w:rPr>
              <w:t>15000</w:t>
            </w:r>
            <w:r>
              <w:rPr>
                <w:rFonts w:hint="default"/>
                <w:color w:val="000000" w:themeColor="text1"/>
                <w:highlight w:val="none"/>
                <w:lang w:val="en-US" w:eastAsia="zh-CN"/>
                <w14:textFill>
                  <w14:solidFill>
                    <w14:schemeClr w14:val="tx1"/>
                  </w14:solidFill>
                </w14:textFill>
              </w:rPr>
              <w:t>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/d，沉砂量为</w:t>
            </w:r>
            <w:r>
              <w:rPr>
                <w:rFonts w:hint="eastAsia"/>
                <w:color w:val="000000" w:themeColor="text1"/>
                <w:highlight w:val="none"/>
                <w:lang w:val="en-US" w:eastAsia="zh-CN"/>
                <w14:textFill>
                  <w14:solidFill>
                    <w14:schemeClr w14:val="tx1"/>
                  </w14:solidFill>
                </w14:textFill>
              </w:rPr>
              <w:t>675</w:t>
            </w:r>
            <w:r>
              <w:rPr>
                <w:rFonts w:hint="default"/>
                <w:color w:val="000000" w:themeColor="text1"/>
                <w:highlight w:val="none"/>
                <w:lang w:val="en-US" w:eastAsia="zh-CN"/>
                <w14:textFill>
                  <w14:solidFill>
                    <w14:schemeClr w14:val="tx1"/>
                  </w14:solidFill>
                </w14:textFill>
              </w:rPr>
              <w:t>kg/d，</w:t>
            </w:r>
            <w:r>
              <w:rPr>
                <w:rFonts w:hint="eastAsia"/>
                <w:color w:val="000000" w:themeColor="text1"/>
                <w:highlight w:val="none"/>
                <w:lang w:val="en-US" w:eastAsia="zh-CN"/>
                <w14:textFill>
                  <w14:solidFill>
                    <w14:schemeClr w14:val="tx1"/>
                  </w14:solidFill>
                </w14:textFill>
              </w:rPr>
              <w:t>246.38</w:t>
            </w:r>
            <w:r>
              <w:rPr>
                <w:rFonts w:hint="default"/>
                <w:color w:val="000000" w:themeColor="text1"/>
                <w:highlight w:val="none"/>
                <w:lang w:val="en-US" w:eastAsia="zh-CN"/>
                <w14:textFill>
                  <w14:solidFill>
                    <w14:schemeClr w14:val="tx1"/>
                  </w14:solidFill>
                </w14:textFill>
              </w:rPr>
              <w:t>t/a，含水率为80%，清掏经砂水分离器滤水后得到的含水率60%的干砂量为</w:t>
            </w:r>
            <w:r>
              <w:rPr>
                <w:rFonts w:hint="eastAsia"/>
                <w:color w:val="000000" w:themeColor="text1"/>
                <w:highlight w:val="none"/>
                <w:lang w:val="en-US" w:eastAsia="zh-CN"/>
                <w14:textFill>
                  <w14:solidFill>
                    <w14:schemeClr w14:val="tx1"/>
                  </w14:solidFill>
                </w14:textFill>
              </w:rPr>
              <w:t>123.19</w:t>
            </w:r>
            <w:r>
              <w:rPr>
                <w:rFonts w:hint="default"/>
                <w:color w:val="000000" w:themeColor="text1"/>
                <w:highlight w:val="none"/>
                <w:lang w:val="en-US" w:eastAsia="zh-CN"/>
                <w14:textFill>
                  <w14:solidFill>
                    <w14:schemeClr w14:val="tx1"/>
                  </w14:solidFill>
                </w14:textFill>
              </w:rPr>
              <w:t>t/a</w:t>
            </w:r>
            <w:r>
              <w:rPr>
                <w:rFonts w:hint="eastAsia"/>
                <w:color w:val="000000" w:themeColor="text1"/>
                <w:highlight w:val="none"/>
                <w:lang w:val="en-US" w:eastAsia="zh-CN"/>
                <w14:textFill>
                  <w14:solidFill>
                    <w14:schemeClr w14:val="tx1"/>
                  </w14:solidFill>
                </w14:textFill>
              </w:rPr>
              <w:t>；改扩建完成后一期</w:t>
            </w:r>
            <w:r>
              <w:rPr>
                <w:rFonts w:hint="default"/>
                <w:color w:val="000000" w:themeColor="text1"/>
                <w:highlight w:val="none"/>
                <w:lang w:val="en-US" w:eastAsia="zh-CN"/>
                <w14:textFill>
                  <w14:solidFill>
                    <w14:schemeClr w14:val="tx1"/>
                  </w14:solidFill>
                </w14:textFill>
              </w:rPr>
              <w:t>项目污废水处理能力为</w:t>
            </w:r>
            <w:r>
              <w:rPr>
                <w:rFonts w:hint="eastAsia"/>
                <w:color w:val="000000" w:themeColor="text1"/>
                <w:highlight w:val="none"/>
                <w:lang w:val="en-US" w:eastAsia="zh-CN"/>
                <w14:textFill>
                  <w14:solidFill>
                    <w14:schemeClr w14:val="tx1"/>
                  </w14:solidFill>
                </w14:textFill>
              </w:rPr>
              <w:t>30000</w:t>
            </w:r>
            <w:r>
              <w:rPr>
                <w:rFonts w:hint="default"/>
                <w:color w:val="000000" w:themeColor="text1"/>
                <w:highlight w:val="none"/>
                <w:lang w:val="en-US" w:eastAsia="zh-CN"/>
                <w14:textFill>
                  <w14:solidFill>
                    <w14:schemeClr w14:val="tx1"/>
                  </w14:solidFill>
                </w14:textFill>
              </w:rPr>
              <w:t>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/d，沉砂量为</w:t>
            </w:r>
            <w:r>
              <w:rPr>
                <w:rFonts w:hint="eastAsia"/>
                <w:color w:val="000000" w:themeColor="text1"/>
                <w:highlight w:val="none"/>
                <w:lang w:val="en-US" w:eastAsia="zh-CN"/>
                <w14:textFill>
                  <w14:solidFill>
                    <w14:schemeClr w14:val="tx1"/>
                  </w14:solidFill>
                </w14:textFill>
              </w:rPr>
              <w:t>1350</w:t>
            </w:r>
            <w:r>
              <w:rPr>
                <w:rFonts w:hint="default"/>
                <w:color w:val="000000" w:themeColor="text1"/>
                <w:highlight w:val="none"/>
                <w:lang w:val="en-US" w:eastAsia="zh-CN"/>
                <w14:textFill>
                  <w14:solidFill>
                    <w14:schemeClr w14:val="tx1"/>
                  </w14:solidFill>
                </w14:textFill>
              </w:rPr>
              <w:t>kg/d，</w:t>
            </w:r>
            <w:r>
              <w:rPr>
                <w:rFonts w:hint="eastAsia"/>
                <w:color w:val="000000" w:themeColor="text1"/>
                <w:highlight w:val="none"/>
                <w:lang w:val="en-US" w:eastAsia="zh-CN"/>
                <w14:textFill>
                  <w14:solidFill>
                    <w14:schemeClr w14:val="tx1"/>
                  </w14:solidFill>
                </w14:textFill>
              </w:rPr>
              <w:t>492.75</w:t>
            </w:r>
            <w:r>
              <w:rPr>
                <w:rFonts w:hint="default"/>
                <w:color w:val="000000" w:themeColor="text1"/>
                <w:highlight w:val="none"/>
                <w:lang w:val="en-US" w:eastAsia="zh-CN"/>
                <w14:textFill>
                  <w14:solidFill>
                    <w14:schemeClr w14:val="tx1"/>
                  </w14:solidFill>
                </w14:textFill>
              </w:rPr>
              <w:t>t/a，含水率为80%，清掏经砂水分离器滤水后得到的含水率60%的干砂量为</w:t>
            </w:r>
            <w:r>
              <w:rPr>
                <w:rFonts w:hint="eastAsia"/>
                <w:color w:val="000000" w:themeColor="text1"/>
                <w:highlight w:val="none"/>
                <w:lang w:val="en-US" w:eastAsia="zh-CN"/>
                <w14:textFill>
                  <w14:solidFill>
                    <w14:schemeClr w14:val="tx1"/>
                  </w14:solidFill>
                </w14:textFill>
              </w:rPr>
              <w:t>246.38</w:t>
            </w:r>
            <w:r>
              <w:rPr>
                <w:rFonts w:hint="default"/>
                <w:color w:val="000000" w:themeColor="text1"/>
                <w:highlight w:val="none"/>
                <w:lang w:val="en-US" w:eastAsia="zh-CN"/>
                <w14:textFill>
                  <w14:solidFill>
                    <w14:schemeClr w14:val="tx1"/>
                  </w14:solidFill>
                </w14:textFill>
              </w:rPr>
              <w:t>t/a，沉砂滤水后定期运至</w:t>
            </w:r>
            <w:r>
              <w:rPr>
                <w:rFonts w:hint="eastAsia"/>
                <w:color w:val="000000" w:themeColor="text1"/>
                <w:highlight w:val="none"/>
                <w:lang w:val="en-US" w:eastAsia="zh-CN"/>
                <w14:textFill>
                  <w14:solidFill>
                    <w14:schemeClr w14:val="tx1"/>
                  </w14:solidFill>
                </w14:textFill>
              </w:rPr>
              <w:t>磴口县垃圾填埋场</w:t>
            </w:r>
            <w:r>
              <w:rPr>
                <w:rFonts w:hint="default"/>
                <w:color w:val="000000" w:themeColor="text1"/>
                <w:highlight w:val="none"/>
                <w:lang w:val="en-US" w:eastAsia="zh-CN"/>
                <w14:textFill>
                  <w14:solidFill>
                    <w14:schemeClr w14:val="tx1"/>
                  </w14:solidFill>
                </w14:textFill>
              </w:rPr>
              <w:t>，对环境影响不大</w:t>
            </w:r>
            <w:r>
              <w:rPr>
                <w:rFonts w:hint="eastAsia"/>
                <w:color w:val="000000" w:themeColor="text1"/>
                <w:highlight w:val="none"/>
                <w:lang w:val="en-US" w:eastAsia="zh-CN"/>
                <w14:textFill>
                  <w14:solidFill>
                    <w14:schemeClr w14:val="tx1"/>
                  </w14:solidFill>
                </w14:textFill>
              </w:rPr>
              <w:t>。</w:t>
            </w:r>
          </w:p>
          <w:p w14:paraId="5625A24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（3）污泥</w:t>
            </w:r>
          </w:p>
          <w:p w14:paraId="7EDFD7D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项目污废水处理系统，沉淀池等处理过程会有剩余污泥产生，污水处理厂污泥产生量为根据业主提供资料，项目污泥产生量按8kg/m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污水计算，则</w:t>
            </w:r>
            <w:r>
              <w:rPr>
                <w:rFonts w:hint="eastAsia"/>
                <w:color w:val="000000" w:themeColor="text1"/>
                <w:highlight w:val="none"/>
                <w:lang w:val="en-US" w:eastAsia="zh-CN"/>
                <w14:textFill>
                  <w14:solidFill>
                    <w14:schemeClr w14:val="tx1"/>
                  </w14:solidFill>
                </w14:textFill>
              </w:rPr>
              <w:t>扩建</w:t>
            </w:r>
            <w:r>
              <w:rPr>
                <w:rFonts w:hint="default"/>
                <w:color w:val="000000" w:themeColor="text1"/>
                <w:highlight w:val="none"/>
                <w:lang w:val="en-US" w:eastAsia="zh-CN"/>
                <w14:textFill>
                  <w14:solidFill>
                    <w14:schemeClr w14:val="tx1"/>
                  </w14:solidFill>
                </w14:textFill>
              </w:rPr>
              <w:t>项目污泥产生量为</w:t>
            </w:r>
            <w:r>
              <w:rPr>
                <w:rFonts w:hint="eastAsia"/>
                <w:color w:val="000000" w:themeColor="text1"/>
                <w:highlight w:val="none"/>
                <w:lang w:val="en-US" w:eastAsia="zh-CN"/>
                <w14:textFill>
                  <w14:solidFill>
                    <w14:schemeClr w14:val="tx1"/>
                  </w14:solidFill>
                </w14:textFill>
              </w:rPr>
              <w:t>120</w:t>
            </w:r>
            <w:r>
              <w:rPr>
                <w:rFonts w:hint="default"/>
                <w:color w:val="000000" w:themeColor="text1"/>
                <w:highlight w:val="none"/>
                <w:lang w:val="en-US" w:eastAsia="zh-CN"/>
                <w14:textFill>
                  <w14:solidFill>
                    <w14:schemeClr w14:val="tx1"/>
                  </w14:solidFill>
                </w14:textFill>
              </w:rPr>
              <w:t>t/d，</w:t>
            </w:r>
            <w:r>
              <w:rPr>
                <w:rFonts w:hint="eastAsia"/>
                <w:color w:val="000000" w:themeColor="text1"/>
                <w:highlight w:val="none"/>
                <w:lang w:val="en-US" w:eastAsia="zh-CN"/>
                <w14:textFill>
                  <w14:solidFill>
                    <w14:schemeClr w14:val="tx1"/>
                  </w14:solidFill>
                </w14:textFill>
              </w:rPr>
              <w:t>438</w:t>
            </w:r>
            <w:r>
              <w:rPr>
                <w:rFonts w:hint="default"/>
                <w:color w:val="000000" w:themeColor="text1"/>
                <w:highlight w:val="none"/>
                <w:lang w:val="en-US" w:eastAsia="zh-CN"/>
                <w14:textFill>
                  <w14:solidFill>
                    <w14:schemeClr w14:val="tx1"/>
                  </w14:solidFill>
                </w14:textFill>
              </w:rPr>
              <w:t>00t/a，含水率98%，经过污泥脱水机脱水处置，脱水后得到的含水率60%的污泥量为</w:t>
            </w:r>
            <w:r>
              <w:rPr>
                <w:rFonts w:hint="eastAsia"/>
                <w:color w:val="000000" w:themeColor="text1"/>
                <w:highlight w:val="none"/>
                <w:lang w:val="en-US" w:eastAsia="zh-CN"/>
                <w14:textFill>
                  <w14:solidFill>
                    <w14:schemeClr w14:val="tx1"/>
                  </w14:solidFill>
                </w14:textFill>
              </w:rPr>
              <w:t>6</w:t>
            </w:r>
            <w:r>
              <w:rPr>
                <w:rFonts w:hint="default"/>
                <w:color w:val="000000" w:themeColor="text1"/>
                <w:highlight w:val="none"/>
                <w:lang w:val="en-US" w:eastAsia="zh-CN"/>
                <w14:textFill>
                  <w14:solidFill>
                    <w14:schemeClr w14:val="tx1"/>
                  </w14:solidFill>
                </w14:textFill>
              </w:rPr>
              <w:t>t/d，</w:t>
            </w:r>
            <w:r>
              <w:rPr>
                <w:rFonts w:hint="eastAsia"/>
                <w:color w:val="000000" w:themeColor="text1"/>
                <w:highlight w:val="none"/>
                <w:lang w:val="en-US" w:eastAsia="zh-CN"/>
                <w14:textFill>
                  <w14:solidFill>
                    <w14:schemeClr w14:val="tx1"/>
                  </w14:solidFill>
                </w14:textFill>
              </w:rPr>
              <w:t>2190</w:t>
            </w:r>
            <w:r>
              <w:rPr>
                <w:rFonts w:hint="default"/>
                <w:color w:val="000000" w:themeColor="text1"/>
                <w:highlight w:val="none"/>
                <w:lang w:val="en-US" w:eastAsia="zh-CN"/>
                <w14:textFill>
                  <w14:solidFill>
                    <w14:schemeClr w14:val="tx1"/>
                  </w14:solidFill>
                </w14:textFill>
              </w:rPr>
              <w:t>t/a</w:t>
            </w:r>
            <w:r>
              <w:rPr>
                <w:rFonts w:hint="eastAsia"/>
                <w:color w:val="000000" w:themeColor="text1"/>
                <w:highlight w:val="none"/>
                <w:lang w:val="en-US" w:eastAsia="zh-CN"/>
                <w14:textFill>
                  <w14:solidFill>
                    <w14:schemeClr w14:val="tx1"/>
                  </w14:solidFill>
                </w14:textFill>
              </w:rPr>
              <w:t>；扩建后一期项目整体</w:t>
            </w:r>
            <w:r>
              <w:rPr>
                <w:rFonts w:hint="default"/>
                <w:color w:val="000000" w:themeColor="text1"/>
                <w:highlight w:val="none"/>
                <w:lang w:val="en-US" w:eastAsia="zh-CN"/>
                <w14:textFill>
                  <w14:solidFill>
                    <w14:schemeClr w14:val="tx1"/>
                  </w14:solidFill>
                </w14:textFill>
              </w:rPr>
              <w:t>污泥产生量为</w:t>
            </w:r>
            <w:r>
              <w:rPr>
                <w:rFonts w:hint="eastAsia"/>
                <w:color w:val="000000" w:themeColor="text1"/>
                <w:highlight w:val="none"/>
                <w:lang w:val="en-US" w:eastAsia="zh-CN"/>
                <w14:textFill>
                  <w14:solidFill>
                    <w14:schemeClr w14:val="tx1"/>
                  </w14:solidFill>
                </w14:textFill>
              </w:rPr>
              <w:t>240</w:t>
            </w:r>
            <w:r>
              <w:rPr>
                <w:rFonts w:hint="default"/>
                <w:color w:val="000000" w:themeColor="text1"/>
                <w:highlight w:val="none"/>
                <w:lang w:val="en-US" w:eastAsia="zh-CN"/>
                <w14:textFill>
                  <w14:solidFill>
                    <w14:schemeClr w14:val="tx1"/>
                  </w14:solidFill>
                </w14:textFill>
              </w:rPr>
              <w:t>t/d，</w:t>
            </w:r>
            <w:r>
              <w:rPr>
                <w:rFonts w:hint="eastAsia"/>
                <w:color w:val="000000" w:themeColor="text1"/>
                <w:highlight w:val="none"/>
                <w:lang w:val="en-US" w:eastAsia="zh-CN"/>
                <w14:textFill>
                  <w14:solidFill>
                    <w14:schemeClr w14:val="tx1"/>
                  </w14:solidFill>
                </w14:textFill>
              </w:rPr>
              <w:t>87600</w:t>
            </w:r>
            <w:r>
              <w:rPr>
                <w:rFonts w:hint="default"/>
                <w:color w:val="000000" w:themeColor="text1"/>
                <w:highlight w:val="none"/>
                <w:lang w:val="en-US" w:eastAsia="zh-CN"/>
                <w14:textFill>
                  <w14:solidFill>
                    <w14:schemeClr w14:val="tx1"/>
                  </w14:solidFill>
                </w14:textFill>
              </w:rPr>
              <w:t>t/a，含水率98%，经过污泥脱水机脱水处置，脱水后得到的含水率60%的污泥量为</w:t>
            </w:r>
            <w:r>
              <w:rPr>
                <w:rFonts w:hint="eastAsia"/>
                <w:color w:val="000000" w:themeColor="text1"/>
                <w:highlight w:val="none"/>
                <w:lang w:val="en-US" w:eastAsia="zh-CN"/>
                <w14:textFill>
                  <w14:solidFill>
                    <w14:schemeClr w14:val="tx1"/>
                  </w14:solidFill>
                </w14:textFill>
              </w:rPr>
              <w:t>12</w:t>
            </w:r>
            <w:r>
              <w:rPr>
                <w:rFonts w:hint="default"/>
                <w:color w:val="000000" w:themeColor="text1"/>
                <w:highlight w:val="none"/>
                <w:lang w:val="en-US" w:eastAsia="zh-CN"/>
                <w14:textFill>
                  <w14:solidFill>
                    <w14:schemeClr w14:val="tx1"/>
                  </w14:solidFill>
                </w14:textFill>
              </w:rPr>
              <w:t>t/d，</w:t>
            </w:r>
            <w:r>
              <w:rPr>
                <w:rFonts w:hint="eastAsia"/>
                <w:color w:val="000000" w:themeColor="text1"/>
                <w:highlight w:val="none"/>
                <w:lang w:val="en-US" w:eastAsia="zh-CN"/>
                <w14:textFill>
                  <w14:solidFill>
                    <w14:schemeClr w14:val="tx1"/>
                  </w14:solidFill>
                </w14:textFill>
              </w:rPr>
              <w:t>4380</w:t>
            </w:r>
            <w:r>
              <w:rPr>
                <w:rFonts w:hint="default"/>
                <w:color w:val="000000" w:themeColor="text1"/>
                <w:highlight w:val="none"/>
                <w:lang w:val="en-US" w:eastAsia="zh-CN"/>
                <w14:textFill>
                  <w14:solidFill>
                    <w14:schemeClr w14:val="tx1"/>
                  </w14:solidFill>
                </w14:textFill>
              </w:rPr>
              <w:t>t/a，污泥脱水后运至蚯蚓厂，实现污泥资源化利用，对周围环境影响不大。</w:t>
            </w:r>
          </w:p>
          <w:p w14:paraId="44E7773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根据《关于污（废）水处理设施产生污泥危险特性鉴别有关意见的函》（环函〔2010〕129 号）相关要求，本项目作为以处理城镇生活污水为主要功能的公共污水处理厂，除接收城镇生活污水外，同步接纳蒙牛乳业（磴口巴彦高勒）有限责任公司等食品加工企业的工业废水。项目已建立严格的工业废水接入管控机制，仅接收经预处理后稳定达到国家及地方相关污染物排放标准的工业废水，对于未达标废水一律不予接纳。基于上述管控要求及废水接入前提，本项目产生的污泥通常不具有危险特性，可按一般工业固体废物进行管理。</w:t>
            </w:r>
          </w:p>
          <w:p w14:paraId="284A643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（4）废包装材料</w:t>
            </w:r>
          </w:p>
          <w:p w14:paraId="6F85D13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污水处理厂废包装材料在办公区设垃圾箱收集，</w:t>
            </w:r>
            <w:r>
              <w:rPr>
                <w:rFonts w:hint="eastAsia"/>
                <w:color w:val="000000" w:themeColor="text1"/>
                <w:highlight w:val="none"/>
                <w:lang w:val="en-US" w:eastAsia="zh-CN"/>
                <w14:textFill>
                  <w14:solidFill>
                    <w14:schemeClr w14:val="tx1"/>
                  </w14:solidFill>
                </w14:textFill>
              </w:rPr>
              <w:t>一期扩建部分</w:t>
            </w:r>
            <w:r>
              <w:rPr>
                <w:rFonts w:hint="default"/>
                <w:color w:val="000000" w:themeColor="text1"/>
                <w:highlight w:val="none"/>
                <w:lang w:val="en-US" w:eastAsia="zh-CN"/>
                <w14:textFill>
                  <w14:solidFill>
                    <w14:schemeClr w14:val="tx1"/>
                  </w14:solidFill>
                </w14:textFill>
              </w:rPr>
              <w:t>产生量为0.4t/a，</w:t>
            </w:r>
            <w:r>
              <w:rPr>
                <w:rFonts w:hint="eastAsia"/>
                <w:color w:val="000000" w:themeColor="text1"/>
                <w:highlight w:val="none"/>
                <w:lang w:val="en-US" w:eastAsia="zh-CN"/>
                <w14:textFill>
                  <w14:solidFill>
                    <w14:schemeClr w14:val="tx1"/>
                  </w14:solidFill>
                </w14:textFill>
              </w:rPr>
              <w:t>扩建后一期工程整体产生量为0.8t/a，</w:t>
            </w:r>
            <w:r>
              <w:rPr>
                <w:rFonts w:hint="default"/>
                <w:color w:val="000000" w:themeColor="text1"/>
                <w:highlight w:val="none"/>
                <w:lang w:val="en-US" w:eastAsia="zh-CN"/>
                <w14:textFill>
                  <w14:solidFill>
                    <w14:schemeClr w14:val="tx1"/>
                  </w14:solidFill>
                </w14:textFill>
              </w:rPr>
              <w:t>收集后运往磴口县垃圾填埋场统一处理。</w:t>
            </w:r>
          </w:p>
          <w:p w14:paraId="64F43CB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（5）生活垃圾</w:t>
            </w:r>
          </w:p>
          <w:p w14:paraId="63B5FF4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本次不新增劳动定员，不产生新的生活垃圾。</w:t>
            </w:r>
          </w:p>
          <w:p w14:paraId="3568B85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综上所述，项目固体废物均得到有效处置，对周围环境影响不大。</w:t>
            </w:r>
          </w:p>
          <w:p w14:paraId="6410A00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污水处理厂产生的污泥、栅渣等固废，容易腐烂发臭，为防止固体废物在厂区贮存产生恶臭，本环评要求采取如下防治措施：</w:t>
            </w:r>
          </w:p>
          <w:p w14:paraId="575708E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①所有固废应做到及时清运，减少场内贮存时间；</w:t>
            </w:r>
          </w:p>
          <w:p w14:paraId="63AA480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②污泥外运必须采取防治措施，避免污泥流失到自然环境中；</w:t>
            </w:r>
          </w:p>
          <w:p w14:paraId="4AB77E5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③污水处理厂运营单位应建立污泥管理台账，详细记录污泥产生量、转移量、处理量及其去向等情况。</w:t>
            </w:r>
          </w:p>
          <w:p w14:paraId="079D686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（6）在线监测废液</w:t>
            </w:r>
          </w:p>
          <w:p w14:paraId="6198BD4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水质在线监测设备废液含六价铬，属于危险废物，在线监测废液产生量约0.3t/a。在线监测废液将作为危险废物</w:t>
            </w:r>
            <w:r>
              <w:rPr>
                <w:rFonts w:hint="eastAsia"/>
                <w:color w:val="000000" w:themeColor="text1"/>
                <w:highlight w:val="none"/>
                <w:lang w:val="en-US" w:eastAsia="zh-CN"/>
                <w14:textFill>
                  <w14:solidFill>
                    <w14:schemeClr w14:val="tx1"/>
                  </w14:solidFill>
                </w14:textFill>
              </w:rPr>
              <w:t>依托同厂区内二期工程建设的危险废物暂存间，定期</w:t>
            </w:r>
            <w:r>
              <w:rPr>
                <w:rFonts w:hint="default"/>
                <w:color w:val="000000" w:themeColor="text1"/>
                <w:highlight w:val="none"/>
                <w:lang w:val="en-US" w:eastAsia="zh-CN"/>
                <w14:textFill>
                  <w14:solidFill>
                    <w14:schemeClr w14:val="tx1"/>
                  </w14:solidFill>
                </w14:textFill>
              </w:rPr>
              <w:t>委托有资质单位进行处置。</w:t>
            </w:r>
          </w:p>
          <w:p w14:paraId="7AB13D9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按《国家危险废物名录》（2025年版）规定，</w:t>
            </w:r>
            <w:r>
              <w:rPr>
                <w:rFonts w:hint="eastAsia"/>
                <w:color w:val="000000" w:themeColor="text1"/>
                <w:highlight w:val="none"/>
                <w:lang w:val="en-US" w:eastAsia="zh-CN"/>
                <w14:textFill>
                  <w14:solidFill>
                    <w14:schemeClr w14:val="tx1"/>
                  </w14:solidFill>
                </w14:textFill>
              </w:rPr>
              <w:t>在线监测废液</w:t>
            </w:r>
            <w:r>
              <w:rPr>
                <w:rFonts w:hint="default"/>
                <w:color w:val="000000" w:themeColor="text1"/>
                <w:highlight w:val="none"/>
                <w:lang w:val="en-US" w:eastAsia="zh-CN"/>
                <w14:textFill>
                  <w14:solidFill>
                    <w14:schemeClr w14:val="tx1"/>
                  </w14:solidFill>
                </w14:textFill>
              </w:rPr>
              <w:t>属于危险废物HW49，废物代码为900-047-49：“生产、研究、开发、教学、环境检测（监测）活动中，化学和生物实验室（不包含感染性医学实验室及医疗机构化验室）产生的含氰、氟、重金属无机废液及无机废液处理产生的残渣、残液，含矿物油、有机溶剂、甲醛有机废液，废酸、废碱，具有危险特性的残留样品，以及沾染上述物质的一次性实验用品（不包括按实验室管理要求进行清洗后的废弃的烧杯、量器、漏斗等实验室用品）、包装物（不包括按实验室管理要求进行清洗后的试剂包装物、容器）、过滤吸附介质等”，需按照危废管理有关规定，在危废暂存间内妥善暂存，并委托有相应危废资质单位进行处置。</w:t>
            </w:r>
          </w:p>
          <w:p w14:paraId="6052508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（7）废活性炭</w:t>
            </w:r>
          </w:p>
          <w:p w14:paraId="15FA450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废气治理措施中的废活性炭，属于危险废物，废活性炭产生量约为0.2t/a。废活性炭将作为危险废物依托同厂区内二期工程建设的危险废物暂存间，定期委托有资质单位进行处置。</w:t>
            </w:r>
          </w:p>
          <w:p w14:paraId="1DE94A2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根据《建设项目危险废物环境影响评价指南》危险废物污染防治措施情况汇总如下：</w:t>
            </w:r>
          </w:p>
          <w:p w14:paraId="4E78CE04">
            <w:pPr>
              <w:pStyle w:val="20"/>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表4-</w:t>
            </w:r>
            <w:r>
              <w:rPr>
                <w:rFonts w:hint="eastAsia"/>
                <w:color w:val="000000" w:themeColor="text1"/>
                <w:highlight w:val="none"/>
                <w:lang w:val="en-US" w:eastAsia="zh-CN"/>
                <w14:textFill>
                  <w14:solidFill>
                    <w14:schemeClr w14:val="tx1"/>
                  </w14:solidFill>
                </w14:textFill>
              </w:rPr>
              <w:t xml:space="preserve">16  </w:t>
            </w:r>
            <w:r>
              <w:rPr>
                <w:rFonts w:hint="default"/>
                <w:color w:val="000000" w:themeColor="text1"/>
                <w:highlight w:val="none"/>
                <w:lang w:val="en-US" w:eastAsia="zh-CN"/>
                <w14:textFill>
                  <w14:solidFill>
                    <w14:schemeClr w14:val="tx1"/>
                  </w14:solidFill>
                </w14:textFill>
              </w:rPr>
              <w:t>本项目危险废物汇总表</w:t>
            </w:r>
          </w:p>
          <w:tbl>
            <w:tblPr>
              <w:tblStyle w:val="12"/>
              <w:tblW w:w="499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437"/>
              <w:gridCol w:w="573"/>
              <w:gridCol w:w="800"/>
              <w:gridCol w:w="825"/>
              <w:gridCol w:w="728"/>
              <w:gridCol w:w="757"/>
              <w:gridCol w:w="602"/>
              <w:gridCol w:w="587"/>
              <w:gridCol w:w="630"/>
              <w:gridCol w:w="717"/>
              <w:gridCol w:w="1835"/>
            </w:tblGrid>
            <w:tr w14:paraId="68C0FA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7" w:type="pct"/>
                  <w:tcBorders>
                    <w:tl2br w:val="nil"/>
                    <w:tr2bl w:val="nil"/>
                  </w:tcBorders>
                  <w:shd w:val="clear" w:color="auto" w:fill="auto"/>
                  <w:vAlign w:val="center"/>
                </w:tcPr>
                <w:p w14:paraId="786C1D1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序号</w:t>
                  </w:r>
                </w:p>
              </w:tc>
              <w:tc>
                <w:tcPr>
                  <w:tcW w:w="337" w:type="pct"/>
                  <w:tcBorders>
                    <w:tl2br w:val="nil"/>
                    <w:tr2bl w:val="nil"/>
                  </w:tcBorders>
                  <w:shd w:val="clear" w:color="auto" w:fill="auto"/>
                  <w:vAlign w:val="center"/>
                </w:tcPr>
                <w:p w14:paraId="6C70801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名称</w:t>
                  </w:r>
                </w:p>
              </w:tc>
              <w:tc>
                <w:tcPr>
                  <w:tcW w:w="471" w:type="pct"/>
                  <w:tcBorders>
                    <w:tl2br w:val="nil"/>
                    <w:tr2bl w:val="nil"/>
                  </w:tcBorders>
                  <w:shd w:val="clear" w:color="auto" w:fill="auto"/>
                  <w:vAlign w:val="center"/>
                </w:tcPr>
                <w:p w14:paraId="0A13AD2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类别</w:t>
                  </w:r>
                </w:p>
              </w:tc>
              <w:tc>
                <w:tcPr>
                  <w:tcW w:w="485" w:type="pct"/>
                  <w:tcBorders>
                    <w:tl2br w:val="nil"/>
                    <w:tr2bl w:val="nil"/>
                  </w:tcBorders>
                  <w:shd w:val="clear" w:color="auto" w:fill="auto"/>
                  <w:vAlign w:val="center"/>
                </w:tcPr>
                <w:p w14:paraId="5927804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代码</w:t>
                  </w:r>
                </w:p>
              </w:tc>
              <w:tc>
                <w:tcPr>
                  <w:tcW w:w="428" w:type="pct"/>
                  <w:tcBorders>
                    <w:tl2br w:val="nil"/>
                    <w:tr2bl w:val="nil"/>
                  </w:tcBorders>
                  <w:shd w:val="clear" w:color="auto" w:fill="auto"/>
                  <w:vAlign w:val="center"/>
                </w:tcPr>
                <w:p w14:paraId="47A1E91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产生量</w:t>
                  </w:r>
                  <w:r>
                    <w:rPr>
                      <w:rFonts w:hint="eastAsia" w:cs="Times New Roman"/>
                      <w:color w:val="000000" w:themeColor="text1"/>
                      <w:sz w:val="18"/>
                      <w:szCs w:val="18"/>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t/a</w:t>
                  </w:r>
                  <w:r>
                    <w:rPr>
                      <w:rFonts w:hint="eastAsia" w:cs="Times New Roman"/>
                      <w:color w:val="000000" w:themeColor="text1"/>
                      <w:sz w:val="18"/>
                      <w:szCs w:val="18"/>
                      <w:highlight w:val="none"/>
                      <w:lang w:val="en-US" w:eastAsia="zh-CN" w:bidi="ar"/>
                      <w14:textFill>
                        <w14:solidFill>
                          <w14:schemeClr w14:val="tx1"/>
                        </w14:solidFill>
                      </w14:textFill>
                    </w:rPr>
                    <w:t>）</w:t>
                  </w:r>
                </w:p>
              </w:tc>
              <w:tc>
                <w:tcPr>
                  <w:tcW w:w="445" w:type="pct"/>
                  <w:tcBorders>
                    <w:tl2br w:val="nil"/>
                    <w:tr2bl w:val="nil"/>
                  </w:tcBorders>
                  <w:shd w:val="clear" w:color="auto" w:fill="auto"/>
                  <w:vAlign w:val="center"/>
                </w:tcPr>
                <w:p w14:paraId="2ECCAD5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产生工序</w:t>
                  </w:r>
                </w:p>
              </w:tc>
              <w:tc>
                <w:tcPr>
                  <w:tcW w:w="354" w:type="pct"/>
                  <w:tcBorders>
                    <w:tl2br w:val="nil"/>
                    <w:tr2bl w:val="nil"/>
                  </w:tcBorders>
                  <w:shd w:val="clear" w:color="auto" w:fill="auto"/>
                  <w:vAlign w:val="center"/>
                </w:tcPr>
                <w:p w14:paraId="77CD2D7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形态</w:t>
                  </w:r>
                </w:p>
              </w:tc>
              <w:tc>
                <w:tcPr>
                  <w:tcW w:w="345" w:type="pct"/>
                  <w:tcBorders>
                    <w:tl2br w:val="nil"/>
                    <w:tr2bl w:val="nil"/>
                  </w:tcBorders>
                  <w:shd w:val="clear" w:color="auto" w:fill="auto"/>
                  <w:vAlign w:val="center"/>
                </w:tcPr>
                <w:p w14:paraId="3847DD3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有害成分</w:t>
                  </w:r>
                </w:p>
              </w:tc>
              <w:tc>
                <w:tcPr>
                  <w:tcW w:w="370" w:type="pct"/>
                  <w:tcBorders>
                    <w:tl2br w:val="nil"/>
                    <w:tr2bl w:val="nil"/>
                  </w:tcBorders>
                  <w:shd w:val="clear" w:color="auto" w:fill="auto"/>
                  <w:vAlign w:val="center"/>
                </w:tcPr>
                <w:p w14:paraId="10F61E5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产废周期</w:t>
                  </w:r>
                </w:p>
              </w:tc>
              <w:tc>
                <w:tcPr>
                  <w:tcW w:w="422" w:type="pct"/>
                  <w:tcBorders>
                    <w:tl2br w:val="nil"/>
                    <w:tr2bl w:val="nil"/>
                  </w:tcBorders>
                  <w:shd w:val="clear" w:color="auto" w:fill="auto"/>
                  <w:vAlign w:val="center"/>
                </w:tcPr>
                <w:p w14:paraId="0F23A1A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危险特性</w:t>
                  </w:r>
                </w:p>
              </w:tc>
              <w:tc>
                <w:tcPr>
                  <w:tcW w:w="1080" w:type="pct"/>
                  <w:tcBorders>
                    <w:tl2br w:val="nil"/>
                    <w:tr2bl w:val="nil"/>
                  </w:tcBorders>
                  <w:shd w:val="clear" w:color="auto" w:fill="auto"/>
                  <w:vAlign w:val="center"/>
                </w:tcPr>
                <w:p w14:paraId="058CEB8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污染防治措施</w:t>
                  </w:r>
                </w:p>
              </w:tc>
            </w:tr>
            <w:tr w14:paraId="6C43D8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7" w:type="pct"/>
                  <w:tcBorders>
                    <w:tl2br w:val="nil"/>
                    <w:tr2bl w:val="nil"/>
                  </w:tcBorders>
                  <w:shd w:val="clear" w:color="auto" w:fill="auto"/>
                  <w:vAlign w:val="center"/>
                </w:tcPr>
                <w:p w14:paraId="3F351AF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1</w:t>
                  </w:r>
                </w:p>
              </w:tc>
              <w:tc>
                <w:tcPr>
                  <w:tcW w:w="337" w:type="pct"/>
                  <w:tcBorders>
                    <w:tl2br w:val="nil"/>
                    <w:tr2bl w:val="nil"/>
                  </w:tcBorders>
                  <w:shd w:val="clear" w:color="auto" w:fill="auto"/>
                  <w:vAlign w:val="center"/>
                </w:tcPr>
                <w:p w14:paraId="13D7957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在线监测废液</w:t>
                  </w:r>
                </w:p>
              </w:tc>
              <w:tc>
                <w:tcPr>
                  <w:tcW w:w="471" w:type="pct"/>
                  <w:tcBorders>
                    <w:tl2br w:val="nil"/>
                    <w:tr2bl w:val="nil"/>
                  </w:tcBorders>
                  <w:shd w:val="clear" w:color="auto" w:fill="auto"/>
                  <w:vAlign w:val="center"/>
                </w:tcPr>
                <w:p w14:paraId="4E7C341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HW49</w:t>
                  </w:r>
                </w:p>
              </w:tc>
              <w:tc>
                <w:tcPr>
                  <w:tcW w:w="485" w:type="pct"/>
                  <w:tcBorders>
                    <w:tl2br w:val="nil"/>
                    <w:tr2bl w:val="nil"/>
                  </w:tcBorders>
                  <w:shd w:val="clear" w:color="auto" w:fill="auto"/>
                  <w:vAlign w:val="center"/>
                </w:tcPr>
                <w:p w14:paraId="2CEAFCE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900-047-49</w:t>
                  </w:r>
                </w:p>
              </w:tc>
              <w:tc>
                <w:tcPr>
                  <w:tcW w:w="428" w:type="pct"/>
                  <w:tcBorders>
                    <w:tl2br w:val="nil"/>
                    <w:tr2bl w:val="nil"/>
                  </w:tcBorders>
                  <w:shd w:val="clear" w:color="auto" w:fill="auto"/>
                  <w:vAlign w:val="center"/>
                </w:tcPr>
                <w:p w14:paraId="7B60DEA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0.3</w:t>
                  </w:r>
                </w:p>
              </w:tc>
              <w:tc>
                <w:tcPr>
                  <w:tcW w:w="445" w:type="pct"/>
                  <w:tcBorders>
                    <w:tl2br w:val="nil"/>
                    <w:tr2bl w:val="nil"/>
                  </w:tcBorders>
                  <w:shd w:val="clear" w:color="auto" w:fill="auto"/>
                  <w:vAlign w:val="center"/>
                </w:tcPr>
                <w:p w14:paraId="397B521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在线监测室</w:t>
                  </w:r>
                </w:p>
              </w:tc>
              <w:tc>
                <w:tcPr>
                  <w:tcW w:w="354" w:type="pct"/>
                  <w:tcBorders>
                    <w:tl2br w:val="nil"/>
                    <w:tr2bl w:val="nil"/>
                  </w:tcBorders>
                  <w:shd w:val="clear" w:color="auto" w:fill="auto"/>
                  <w:vAlign w:val="center"/>
                </w:tcPr>
                <w:p w14:paraId="3EC529B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液态</w:t>
                  </w:r>
                </w:p>
              </w:tc>
              <w:tc>
                <w:tcPr>
                  <w:tcW w:w="345" w:type="pct"/>
                  <w:tcBorders>
                    <w:tl2br w:val="nil"/>
                    <w:tr2bl w:val="nil"/>
                  </w:tcBorders>
                  <w:shd w:val="clear" w:color="auto" w:fill="auto"/>
                  <w:vAlign w:val="center"/>
                </w:tcPr>
                <w:p w14:paraId="2211A0B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化学品</w:t>
                  </w:r>
                </w:p>
              </w:tc>
              <w:tc>
                <w:tcPr>
                  <w:tcW w:w="370" w:type="pct"/>
                  <w:tcBorders>
                    <w:tl2br w:val="nil"/>
                    <w:tr2bl w:val="nil"/>
                  </w:tcBorders>
                  <w:shd w:val="clear" w:color="auto" w:fill="auto"/>
                  <w:vAlign w:val="center"/>
                </w:tcPr>
                <w:p w14:paraId="5B82963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每月</w:t>
                  </w:r>
                </w:p>
              </w:tc>
              <w:tc>
                <w:tcPr>
                  <w:tcW w:w="422" w:type="pct"/>
                  <w:tcBorders>
                    <w:tl2br w:val="nil"/>
                    <w:tr2bl w:val="nil"/>
                  </w:tcBorders>
                  <w:shd w:val="clear" w:color="auto" w:fill="auto"/>
                  <w:vAlign w:val="center"/>
                </w:tcPr>
                <w:p w14:paraId="2B73E41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T/C/I/R</w:t>
                  </w:r>
                </w:p>
              </w:tc>
              <w:tc>
                <w:tcPr>
                  <w:tcW w:w="1080" w:type="pct"/>
                  <w:vMerge w:val="restart"/>
                  <w:tcBorders>
                    <w:tl2br w:val="nil"/>
                    <w:tr2bl w:val="nil"/>
                  </w:tcBorders>
                  <w:shd w:val="clear" w:color="auto" w:fill="auto"/>
                  <w:vAlign w:val="center"/>
                </w:tcPr>
                <w:p w14:paraId="245D655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采用符合要求危险废物的器具盛载，并贴危废标签置于危废暂存间，委托有资质单位处置。</w:t>
                  </w:r>
                </w:p>
              </w:tc>
            </w:tr>
            <w:tr w14:paraId="5CF1F4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7" w:type="pct"/>
                  <w:tcBorders>
                    <w:tl2br w:val="nil"/>
                    <w:tr2bl w:val="nil"/>
                  </w:tcBorders>
                  <w:shd w:val="clear" w:color="auto" w:fill="auto"/>
                  <w:vAlign w:val="center"/>
                </w:tcPr>
                <w:p w14:paraId="2C72BB8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2</w:t>
                  </w:r>
                </w:p>
              </w:tc>
              <w:tc>
                <w:tcPr>
                  <w:tcW w:w="337" w:type="pct"/>
                  <w:tcBorders>
                    <w:tl2br w:val="nil"/>
                    <w:tr2bl w:val="nil"/>
                  </w:tcBorders>
                  <w:shd w:val="clear" w:color="auto" w:fill="auto"/>
                  <w:vAlign w:val="center"/>
                </w:tcPr>
                <w:p w14:paraId="3D835D7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pPr>
                  <w:r>
                    <w:rPr>
                      <w:rFonts w:hint="eastAsia" w:cs="Times New Roman"/>
                      <w:color w:val="000000" w:themeColor="text1"/>
                      <w:sz w:val="18"/>
                      <w:szCs w:val="18"/>
                      <w:highlight w:val="none"/>
                      <w:lang w:val="en-US" w:eastAsia="zh-CN" w:bidi="ar"/>
                      <w14:textFill>
                        <w14:solidFill>
                          <w14:schemeClr w14:val="tx1"/>
                        </w14:solidFill>
                      </w14:textFill>
                    </w:rPr>
                    <w:t>废活性炭</w:t>
                  </w:r>
                </w:p>
              </w:tc>
              <w:tc>
                <w:tcPr>
                  <w:tcW w:w="471" w:type="pct"/>
                  <w:tcBorders>
                    <w:tl2br w:val="nil"/>
                    <w:tr2bl w:val="nil"/>
                  </w:tcBorders>
                  <w:shd w:val="clear" w:color="auto" w:fill="auto"/>
                  <w:vAlign w:val="center"/>
                </w:tcPr>
                <w:p w14:paraId="750E51C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pPr>
                  <w:r>
                    <w:rPr>
                      <w:rFonts w:hint="eastAsia" w:cs="Times New Roman"/>
                      <w:color w:val="000000" w:themeColor="text1"/>
                      <w:sz w:val="18"/>
                      <w:szCs w:val="18"/>
                      <w:highlight w:val="none"/>
                      <w:lang w:val="en-US" w:eastAsia="zh-CN" w:bidi="ar"/>
                      <w14:textFill>
                        <w14:solidFill>
                          <w14:schemeClr w14:val="tx1"/>
                        </w14:solidFill>
                      </w14:textFill>
                    </w:rPr>
                    <w:t>HW49</w:t>
                  </w:r>
                </w:p>
              </w:tc>
              <w:tc>
                <w:tcPr>
                  <w:tcW w:w="485" w:type="pct"/>
                  <w:tcBorders>
                    <w:tl2br w:val="nil"/>
                    <w:tr2bl w:val="nil"/>
                  </w:tcBorders>
                  <w:shd w:val="clear" w:color="auto" w:fill="auto"/>
                  <w:vAlign w:val="center"/>
                </w:tcPr>
                <w:p w14:paraId="7B821AA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pPr>
                  <w:r>
                    <w:rPr>
                      <w:rFonts w:hint="eastAsia" w:cs="Times New Roman"/>
                      <w:color w:val="000000" w:themeColor="text1"/>
                      <w:sz w:val="18"/>
                      <w:szCs w:val="18"/>
                      <w:highlight w:val="none"/>
                      <w:lang w:val="en-US" w:eastAsia="zh-CN" w:bidi="ar"/>
                      <w14:textFill>
                        <w14:solidFill>
                          <w14:schemeClr w14:val="tx1"/>
                        </w14:solidFill>
                      </w14:textFill>
                    </w:rPr>
                    <w:t>900-039-49</w:t>
                  </w:r>
                </w:p>
              </w:tc>
              <w:tc>
                <w:tcPr>
                  <w:tcW w:w="428" w:type="pct"/>
                  <w:tcBorders>
                    <w:tl2br w:val="nil"/>
                    <w:tr2bl w:val="nil"/>
                  </w:tcBorders>
                  <w:shd w:val="clear" w:color="auto" w:fill="auto"/>
                  <w:vAlign w:val="center"/>
                </w:tcPr>
                <w:p w14:paraId="010BCF1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0.2</w:t>
                  </w:r>
                </w:p>
              </w:tc>
              <w:tc>
                <w:tcPr>
                  <w:tcW w:w="445" w:type="pct"/>
                  <w:tcBorders>
                    <w:tl2br w:val="nil"/>
                    <w:tr2bl w:val="nil"/>
                  </w:tcBorders>
                  <w:shd w:val="clear" w:color="auto" w:fill="auto"/>
                  <w:vAlign w:val="center"/>
                </w:tcPr>
                <w:p w14:paraId="610F777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pPr>
                  <w:r>
                    <w:rPr>
                      <w:rFonts w:hint="eastAsia" w:cs="Times New Roman"/>
                      <w:color w:val="000000" w:themeColor="text1"/>
                      <w:sz w:val="18"/>
                      <w:szCs w:val="18"/>
                      <w:highlight w:val="none"/>
                      <w:lang w:val="en-US" w:eastAsia="zh-CN" w:bidi="ar"/>
                      <w14:textFill>
                        <w14:solidFill>
                          <w14:schemeClr w14:val="tx1"/>
                        </w14:solidFill>
                      </w14:textFill>
                    </w:rPr>
                    <w:t>废气治理措施</w:t>
                  </w:r>
                </w:p>
              </w:tc>
              <w:tc>
                <w:tcPr>
                  <w:tcW w:w="354" w:type="pct"/>
                  <w:tcBorders>
                    <w:tl2br w:val="nil"/>
                    <w:tr2bl w:val="nil"/>
                  </w:tcBorders>
                  <w:shd w:val="clear" w:color="auto" w:fill="auto"/>
                  <w:vAlign w:val="center"/>
                </w:tcPr>
                <w:p w14:paraId="3D5326F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pPr>
                  <w:r>
                    <w:rPr>
                      <w:rFonts w:hint="eastAsia" w:cs="Times New Roman"/>
                      <w:color w:val="000000" w:themeColor="text1"/>
                      <w:sz w:val="18"/>
                      <w:szCs w:val="18"/>
                      <w:highlight w:val="none"/>
                      <w:lang w:val="en-US" w:eastAsia="zh-CN" w:bidi="ar"/>
                      <w14:textFill>
                        <w14:solidFill>
                          <w14:schemeClr w14:val="tx1"/>
                        </w14:solidFill>
                      </w14:textFill>
                    </w:rPr>
                    <w:t>固态</w:t>
                  </w:r>
                </w:p>
              </w:tc>
              <w:tc>
                <w:tcPr>
                  <w:tcW w:w="345" w:type="pct"/>
                  <w:tcBorders>
                    <w:tl2br w:val="nil"/>
                    <w:tr2bl w:val="nil"/>
                  </w:tcBorders>
                  <w:shd w:val="clear" w:color="auto" w:fill="auto"/>
                  <w:vAlign w:val="center"/>
                </w:tcPr>
                <w:p w14:paraId="67B9CF3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pPr>
                  <w:r>
                    <w:rPr>
                      <w:rFonts w:hint="eastAsia" w:cs="Times New Roman"/>
                      <w:color w:val="000000" w:themeColor="text1"/>
                      <w:sz w:val="18"/>
                      <w:szCs w:val="18"/>
                      <w:highlight w:val="none"/>
                      <w:lang w:val="en-US" w:eastAsia="zh-CN" w:bidi="ar"/>
                      <w14:textFill>
                        <w14:solidFill>
                          <w14:schemeClr w14:val="tx1"/>
                        </w14:solidFill>
                      </w14:textFill>
                    </w:rPr>
                    <w:t>化学品</w:t>
                  </w:r>
                </w:p>
              </w:tc>
              <w:tc>
                <w:tcPr>
                  <w:tcW w:w="370" w:type="pct"/>
                  <w:tcBorders>
                    <w:tl2br w:val="nil"/>
                    <w:tr2bl w:val="nil"/>
                  </w:tcBorders>
                  <w:shd w:val="clear" w:color="auto" w:fill="auto"/>
                  <w:vAlign w:val="center"/>
                </w:tcPr>
                <w:p w14:paraId="0332FBE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pPr>
                  <w:r>
                    <w:rPr>
                      <w:rFonts w:hint="eastAsia" w:cs="Times New Roman"/>
                      <w:color w:val="000000" w:themeColor="text1"/>
                      <w:sz w:val="18"/>
                      <w:szCs w:val="18"/>
                      <w:highlight w:val="none"/>
                      <w:lang w:val="en-US" w:eastAsia="zh-CN" w:bidi="ar"/>
                      <w14:textFill>
                        <w14:solidFill>
                          <w14:schemeClr w14:val="tx1"/>
                        </w14:solidFill>
                      </w14:textFill>
                    </w:rPr>
                    <w:t>每半年</w:t>
                  </w:r>
                </w:p>
              </w:tc>
              <w:tc>
                <w:tcPr>
                  <w:tcW w:w="422" w:type="pct"/>
                  <w:tcBorders>
                    <w:tl2br w:val="nil"/>
                    <w:tr2bl w:val="nil"/>
                  </w:tcBorders>
                  <w:shd w:val="clear" w:color="auto" w:fill="auto"/>
                  <w:vAlign w:val="center"/>
                </w:tcPr>
                <w:p w14:paraId="59B3DEB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pPr>
                  <w:r>
                    <w:rPr>
                      <w:rFonts w:hint="eastAsia" w:cs="Times New Roman"/>
                      <w:color w:val="000000" w:themeColor="text1"/>
                      <w:sz w:val="18"/>
                      <w:szCs w:val="18"/>
                      <w:highlight w:val="none"/>
                      <w:lang w:val="en-US" w:eastAsia="zh-CN" w:bidi="ar"/>
                      <w14:textFill>
                        <w14:solidFill>
                          <w14:schemeClr w14:val="tx1"/>
                        </w14:solidFill>
                      </w14:textFill>
                    </w:rPr>
                    <w:t>T</w:t>
                  </w:r>
                </w:p>
              </w:tc>
              <w:tc>
                <w:tcPr>
                  <w:tcW w:w="1080" w:type="pct"/>
                  <w:vMerge w:val="continue"/>
                  <w:tcBorders>
                    <w:tl2br w:val="nil"/>
                    <w:tr2bl w:val="nil"/>
                  </w:tcBorders>
                  <w:shd w:val="clear" w:color="auto" w:fill="auto"/>
                  <w:vAlign w:val="center"/>
                </w:tcPr>
                <w:p w14:paraId="38A8A2E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pPr>
                </w:p>
              </w:tc>
            </w:tr>
          </w:tbl>
          <w:p w14:paraId="3BFAE336">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表4-17  项目依托的危险废物贮存场所（设施）基本情况表</w:t>
            </w:r>
          </w:p>
          <w:tbl>
            <w:tblPr>
              <w:tblStyle w:val="12"/>
              <w:tblW w:w="4995"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475"/>
              <w:gridCol w:w="658"/>
              <w:gridCol w:w="748"/>
              <w:gridCol w:w="1106"/>
              <w:gridCol w:w="1233"/>
              <w:gridCol w:w="938"/>
              <w:gridCol w:w="644"/>
              <w:gridCol w:w="1236"/>
              <w:gridCol w:w="757"/>
              <w:gridCol w:w="698"/>
            </w:tblGrid>
            <w:tr w14:paraId="694B26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79" w:type="pct"/>
                  <w:tcBorders>
                    <w:tl2br w:val="nil"/>
                    <w:tr2bl w:val="nil"/>
                  </w:tcBorders>
                  <w:shd w:val="clear" w:color="auto" w:fill="auto"/>
                  <w:vAlign w:val="center"/>
                </w:tcPr>
                <w:p w14:paraId="11425A2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序号</w:t>
                  </w:r>
                </w:p>
              </w:tc>
              <w:tc>
                <w:tcPr>
                  <w:tcW w:w="387" w:type="pct"/>
                  <w:tcBorders>
                    <w:tl2br w:val="nil"/>
                    <w:tr2bl w:val="nil"/>
                  </w:tcBorders>
                  <w:shd w:val="clear" w:color="auto" w:fill="auto"/>
                  <w:vAlign w:val="center"/>
                </w:tcPr>
                <w:p w14:paraId="503CF8D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贮存场所</w:t>
                  </w:r>
                </w:p>
              </w:tc>
              <w:tc>
                <w:tcPr>
                  <w:tcW w:w="440" w:type="pct"/>
                  <w:tcBorders>
                    <w:tl2br w:val="nil"/>
                    <w:tr2bl w:val="nil"/>
                  </w:tcBorders>
                  <w:shd w:val="clear" w:color="auto" w:fill="auto"/>
                  <w:vAlign w:val="center"/>
                </w:tcPr>
                <w:p w14:paraId="36E523D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危险废物名称</w:t>
                  </w:r>
                </w:p>
              </w:tc>
              <w:tc>
                <w:tcPr>
                  <w:tcW w:w="651" w:type="pct"/>
                  <w:tcBorders>
                    <w:tl2br w:val="nil"/>
                    <w:tr2bl w:val="nil"/>
                  </w:tcBorders>
                  <w:shd w:val="clear" w:color="auto" w:fill="auto"/>
                  <w:vAlign w:val="center"/>
                </w:tcPr>
                <w:p w14:paraId="008CBD1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危废类别</w:t>
                  </w:r>
                </w:p>
              </w:tc>
              <w:tc>
                <w:tcPr>
                  <w:tcW w:w="725" w:type="pct"/>
                  <w:tcBorders>
                    <w:tl2br w:val="nil"/>
                    <w:tr2bl w:val="nil"/>
                  </w:tcBorders>
                  <w:shd w:val="clear" w:color="auto" w:fill="auto"/>
                  <w:vAlign w:val="center"/>
                </w:tcPr>
                <w:p w14:paraId="044B0BA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废物代码</w:t>
                  </w:r>
                </w:p>
              </w:tc>
              <w:tc>
                <w:tcPr>
                  <w:tcW w:w="552" w:type="pct"/>
                  <w:tcBorders>
                    <w:tl2br w:val="nil"/>
                    <w:tr2bl w:val="nil"/>
                  </w:tcBorders>
                  <w:shd w:val="clear" w:color="auto" w:fill="auto"/>
                  <w:vAlign w:val="center"/>
                </w:tcPr>
                <w:p w14:paraId="101F26E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位置</w:t>
                  </w:r>
                </w:p>
              </w:tc>
              <w:tc>
                <w:tcPr>
                  <w:tcW w:w="379" w:type="pct"/>
                  <w:tcBorders>
                    <w:tl2br w:val="nil"/>
                    <w:tr2bl w:val="nil"/>
                  </w:tcBorders>
                  <w:shd w:val="clear" w:color="auto" w:fill="auto"/>
                  <w:vAlign w:val="center"/>
                </w:tcPr>
                <w:p w14:paraId="702746E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面积</w:t>
                  </w:r>
                </w:p>
              </w:tc>
              <w:tc>
                <w:tcPr>
                  <w:tcW w:w="727" w:type="pct"/>
                  <w:tcBorders>
                    <w:tl2br w:val="nil"/>
                    <w:tr2bl w:val="nil"/>
                  </w:tcBorders>
                  <w:shd w:val="clear" w:color="auto" w:fill="auto"/>
                  <w:vAlign w:val="center"/>
                </w:tcPr>
                <w:p w14:paraId="7C7D419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贮存方式</w:t>
                  </w:r>
                </w:p>
              </w:tc>
              <w:tc>
                <w:tcPr>
                  <w:tcW w:w="445" w:type="pct"/>
                  <w:tcBorders>
                    <w:tl2br w:val="nil"/>
                    <w:tr2bl w:val="nil"/>
                  </w:tcBorders>
                  <w:shd w:val="clear" w:color="auto" w:fill="auto"/>
                  <w:vAlign w:val="center"/>
                </w:tcPr>
                <w:p w14:paraId="1284F3D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贮存能力</w:t>
                  </w:r>
                </w:p>
              </w:tc>
              <w:tc>
                <w:tcPr>
                  <w:tcW w:w="410" w:type="pct"/>
                  <w:tcBorders>
                    <w:tl2br w:val="nil"/>
                    <w:tr2bl w:val="nil"/>
                  </w:tcBorders>
                  <w:shd w:val="clear" w:color="auto" w:fill="auto"/>
                  <w:vAlign w:val="center"/>
                </w:tcPr>
                <w:p w14:paraId="4D7C26C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贮存周期</w:t>
                  </w:r>
                </w:p>
              </w:tc>
            </w:tr>
            <w:tr w14:paraId="4EA81C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79" w:type="pct"/>
                  <w:vMerge w:val="restart"/>
                  <w:tcBorders>
                    <w:tl2br w:val="nil"/>
                    <w:tr2bl w:val="nil"/>
                  </w:tcBorders>
                  <w:shd w:val="clear" w:color="auto" w:fill="auto"/>
                  <w:vAlign w:val="center"/>
                </w:tcPr>
                <w:p w14:paraId="1EE71C2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l</w:t>
                  </w:r>
                </w:p>
              </w:tc>
              <w:tc>
                <w:tcPr>
                  <w:tcW w:w="387" w:type="pct"/>
                  <w:vMerge w:val="restart"/>
                  <w:tcBorders>
                    <w:tl2br w:val="nil"/>
                    <w:tr2bl w:val="nil"/>
                  </w:tcBorders>
                  <w:shd w:val="clear" w:color="auto" w:fill="auto"/>
                  <w:vAlign w:val="center"/>
                </w:tcPr>
                <w:p w14:paraId="596F5B8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危废暂存间</w:t>
                  </w:r>
                </w:p>
              </w:tc>
              <w:tc>
                <w:tcPr>
                  <w:tcW w:w="440" w:type="pct"/>
                  <w:tcBorders>
                    <w:tl2br w:val="nil"/>
                    <w:tr2bl w:val="nil"/>
                  </w:tcBorders>
                  <w:shd w:val="clear" w:color="auto" w:fill="auto"/>
                  <w:vAlign w:val="center"/>
                </w:tcPr>
                <w:p w14:paraId="0F457C6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线监测废液</w:t>
                  </w:r>
                </w:p>
              </w:tc>
              <w:tc>
                <w:tcPr>
                  <w:tcW w:w="651" w:type="pct"/>
                  <w:tcBorders>
                    <w:tl2br w:val="nil"/>
                    <w:tr2bl w:val="nil"/>
                  </w:tcBorders>
                  <w:shd w:val="clear" w:color="auto" w:fill="auto"/>
                  <w:vAlign w:val="center"/>
                </w:tcPr>
                <w:p w14:paraId="0167973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HW49</w:t>
                  </w:r>
                </w:p>
              </w:tc>
              <w:tc>
                <w:tcPr>
                  <w:tcW w:w="725" w:type="pct"/>
                  <w:tcBorders>
                    <w:tl2br w:val="nil"/>
                    <w:tr2bl w:val="nil"/>
                  </w:tcBorders>
                  <w:shd w:val="clear" w:color="auto" w:fill="auto"/>
                  <w:vAlign w:val="center"/>
                </w:tcPr>
                <w:p w14:paraId="7D08012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900-047-49</w:t>
                  </w:r>
                </w:p>
              </w:tc>
              <w:tc>
                <w:tcPr>
                  <w:tcW w:w="552" w:type="pct"/>
                  <w:tcBorders>
                    <w:tl2br w:val="nil"/>
                    <w:tr2bl w:val="nil"/>
                  </w:tcBorders>
                  <w:shd w:val="clear" w:color="auto" w:fill="auto"/>
                  <w:vAlign w:val="center"/>
                </w:tcPr>
                <w:p w14:paraId="28F2517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在线监测室</w:t>
                  </w:r>
                </w:p>
              </w:tc>
              <w:tc>
                <w:tcPr>
                  <w:tcW w:w="379" w:type="pct"/>
                  <w:vMerge w:val="restart"/>
                  <w:tcBorders>
                    <w:tl2br w:val="nil"/>
                    <w:tr2bl w:val="nil"/>
                  </w:tcBorders>
                  <w:shd w:val="clear" w:color="auto" w:fill="auto"/>
                  <w:vAlign w:val="center"/>
                </w:tcPr>
                <w:p w14:paraId="361C2CC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bidi="ar"/>
                      <w14:textFill>
                        <w14:solidFill>
                          <w14:schemeClr w14:val="tx1"/>
                        </w14:solidFill>
                      </w14:textFill>
                    </w:rPr>
                    <w:t>15</w:t>
                  </w: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m</w:t>
                  </w:r>
                  <w:r>
                    <w:rPr>
                      <w:rFonts w:hint="eastAsia" w:ascii="Times New Roman" w:hAnsi="Times New Roman" w:eastAsia="宋体" w:cs="Times New Roman"/>
                      <w:color w:val="000000" w:themeColor="text1"/>
                      <w:sz w:val="18"/>
                      <w:szCs w:val="18"/>
                      <w:highlight w:val="none"/>
                      <w:vertAlign w:val="superscript"/>
                      <w:lang w:val="en-US" w:eastAsia="zh-CN" w:bidi="ar"/>
                      <w14:textFill>
                        <w14:solidFill>
                          <w14:schemeClr w14:val="tx1"/>
                        </w14:solidFill>
                      </w14:textFill>
                    </w:rPr>
                    <w:t>2</w:t>
                  </w:r>
                </w:p>
              </w:tc>
              <w:tc>
                <w:tcPr>
                  <w:tcW w:w="727" w:type="pct"/>
                  <w:vMerge w:val="restart"/>
                  <w:tcBorders>
                    <w:tl2br w:val="nil"/>
                    <w:tr2bl w:val="nil"/>
                  </w:tcBorders>
                  <w:shd w:val="clear" w:color="auto" w:fill="auto"/>
                  <w:vAlign w:val="center"/>
                </w:tcPr>
                <w:p w14:paraId="104E043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专用塑料容器，下设盛装</w:t>
                  </w: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托盘</w:t>
                  </w:r>
                </w:p>
              </w:tc>
              <w:tc>
                <w:tcPr>
                  <w:tcW w:w="445" w:type="pct"/>
                  <w:vMerge w:val="restart"/>
                  <w:tcBorders>
                    <w:tl2br w:val="nil"/>
                    <w:tr2bl w:val="nil"/>
                  </w:tcBorders>
                  <w:shd w:val="clear" w:color="auto" w:fill="auto"/>
                  <w:vAlign w:val="center"/>
                </w:tcPr>
                <w:p w14:paraId="3BD0984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18"/>
                      <w:szCs w:val="18"/>
                      <w:highlight w:val="none"/>
                      <w:u w:val="none"/>
                      <w14:textFill>
                        <w14:solidFill>
                          <w14:schemeClr w14:val="tx1"/>
                        </w14:solidFill>
                      </w14:textFill>
                    </w:rPr>
                  </w:pPr>
                  <w:r>
                    <w:rPr>
                      <w:rFonts w:hint="eastAsia" w:ascii="Times New Roman" w:hAnsi="Times New Roman" w:eastAsia="宋体" w:cs="Times New Roman"/>
                      <w:color w:val="000000" w:themeColor="text1"/>
                      <w:sz w:val="18"/>
                      <w:szCs w:val="18"/>
                      <w:highlight w:val="none"/>
                      <w:lang w:val="en-US" w:eastAsia="zh-CN" w:bidi="ar"/>
                      <w14:textFill>
                        <w14:solidFill>
                          <w14:schemeClr w14:val="tx1"/>
                        </w14:solidFill>
                      </w14:textFill>
                    </w:rPr>
                    <w:t>10</w:t>
                  </w:r>
                  <w: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t>t</w:t>
                  </w:r>
                </w:p>
              </w:tc>
              <w:tc>
                <w:tcPr>
                  <w:tcW w:w="410" w:type="pct"/>
                  <w:vMerge w:val="restart"/>
                  <w:tcBorders>
                    <w:tl2br w:val="nil"/>
                    <w:tr2bl w:val="nil"/>
                  </w:tcBorders>
                  <w:shd w:val="clear" w:color="auto" w:fill="auto"/>
                  <w:vAlign w:val="center"/>
                </w:tcPr>
                <w:p w14:paraId="513DB38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18"/>
                      <w:szCs w:val="18"/>
                      <w:highlight w:val="none"/>
                      <w:u w:val="none"/>
                      <w:lang w:val="en-US"/>
                      <w14:textFill>
                        <w14:solidFill>
                          <w14:schemeClr w14:val="tx1"/>
                        </w14:solidFill>
                      </w14:textFill>
                    </w:rPr>
                  </w:pPr>
                  <w:r>
                    <w:rPr>
                      <w:rFonts w:hint="eastAsia" w:cs="Times New Roman"/>
                      <w:color w:val="000000" w:themeColor="text1"/>
                      <w:sz w:val="18"/>
                      <w:szCs w:val="18"/>
                      <w:highlight w:val="none"/>
                      <w:lang w:val="en-US" w:eastAsia="zh-CN" w:bidi="ar"/>
                      <w14:textFill>
                        <w14:solidFill>
                          <w14:schemeClr w14:val="tx1"/>
                        </w14:solidFill>
                      </w14:textFill>
                    </w:rPr>
                    <w:t>不超过1年</w:t>
                  </w:r>
                </w:p>
              </w:tc>
            </w:tr>
            <w:tr w14:paraId="36F3FB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79" w:type="pct"/>
                  <w:vMerge w:val="continue"/>
                  <w:tcBorders>
                    <w:tl2br w:val="nil"/>
                    <w:tr2bl w:val="nil"/>
                  </w:tcBorders>
                  <w:shd w:val="clear" w:color="auto" w:fill="auto"/>
                  <w:vAlign w:val="center"/>
                </w:tcPr>
                <w:p w14:paraId="0C10E95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pPr>
                </w:p>
              </w:tc>
              <w:tc>
                <w:tcPr>
                  <w:tcW w:w="387" w:type="pct"/>
                  <w:vMerge w:val="continue"/>
                  <w:tcBorders>
                    <w:tl2br w:val="nil"/>
                    <w:tr2bl w:val="nil"/>
                  </w:tcBorders>
                  <w:shd w:val="clear" w:color="auto" w:fill="auto"/>
                  <w:vAlign w:val="center"/>
                </w:tcPr>
                <w:p w14:paraId="43E9C31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pPr>
                </w:p>
              </w:tc>
              <w:tc>
                <w:tcPr>
                  <w:tcW w:w="440" w:type="pct"/>
                  <w:tcBorders>
                    <w:tl2br w:val="nil"/>
                    <w:tr2bl w:val="nil"/>
                  </w:tcBorders>
                  <w:shd w:val="clear" w:color="auto" w:fill="auto"/>
                  <w:vAlign w:val="center"/>
                </w:tcPr>
                <w:p w14:paraId="5FC67FF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pPr>
                  <w:r>
                    <w:rPr>
                      <w:rFonts w:hint="eastAsia" w:cs="Times New Roman"/>
                      <w:color w:val="000000" w:themeColor="text1"/>
                      <w:sz w:val="18"/>
                      <w:szCs w:val="18"/>
                      <w:highlight w:val="none"/>
                      <w:lang w:val="en-US" w:eastAsia="zh-CN" w:bidi="ar"/>
                      <w14:textFill>
                        <w14:solidFill>
                          <w14:schemeClr w14:val="tx1"/>
                        </w14:solidFill>
                      </w14:textFill>
                    </w:rPr>
                    <w:t>废活性炭</w:t>
                  </w:r>
                </w:p>
              </w:tc>
              <w:tc>
                <w:tcPr>
                  <w:tcW w:w="651" w:type="pct"/>
                  <w:tcBorders>
                    <w:tl2br w:val="nil"/>
                    <w:tr2bl w:val="nil"/>
                  </w:tcBorders>
                  <w:shd w:val="clear" w:color="auto" w:fill="auto"/>
                  <w:vAlign w:val="center"/>
                </w:tcPr>
                <w:p w14:paraId="2A24BDD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pPr>
                  <w:r>
                    <w:rPr>
                      <w:rFonts w:hint="eastAsia" w:cs="Times New Roman"/>
                      <w:color w:val="000000" w:themeColor="text1"/>
                      <w:sz w:val="18"/>
                      <w:szCs w:val="18"/>
                      <w:highlight w:val="none"/>
                      <w:lang w:val="en-US" w:eastAsia="zh-CN" w:bidi="ar"/>
                      <w14:textFill>
                        <w14:solidFill>
                          <w14:schemeClr w14:val="tx1"/>
                        </w14:solidFill>
                      </w14:textFill>
                    </w:rPr>
                    <w:t>HW49</w:t>
                  </w:r>
                </w:p>
              </w:tc>
              <w:tc>
                <w:tcPr>
                  <w:tcW w:w="725" w:type="pct"/>
                  <w:tcBorders>
                    <w:tl2br w:val="nil"/>
                    <w:tr2bl w:val="nil"/>
                  </w:tcBorders>
                  <w:shd w:val="clear" w:color="auto" w:fill="auto"/>
                  <w:vAlign w:val="center"/>
                </w:tcPr>
                <w:p w14:paraId="62CE470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pPr>
                  <w:r>
                    <w:rPr>
                      <w:rFonts w:hint="eastAsia" w:cs="Times New Roman"/>
                      <w:color w:val="000000" w:themeColor="text1"/>
                      <w:sz w:val="18"/>
                      <w:szCs w:val="18"/>
                      <w:highlight w:val="none"/>
                      <w:lang w:val="en-US" w:eastAsia="zh-CN" w:bidi="ar"/>
                      <w14:textFill>
                        <w14:solidFill>
                          <w14:schemeClr w14:val="tx1"/>
                        </w14:solidFill>
                      </w14:textFill>
                    </w:rPr>
                    <w:t>900-039-49</w:t>
                  </w:r>
                </w:p>
              </w:tc>
              <w:tc>
                <w:tcPr>
                  <w:tcW w:w="552" w:type="pct"/>
                  <w:tcBorders>
                    <w:tl2br w:val="nil"/>
                    <w:tr2bl w:val="nil"/>
                  </w:tcBorders>
                  <w:shd w:val="clear" w:color="auto" w:fill="auto"/>
                  <w:vAlign w:val="center"/>
                </w:tcPr>
                <w:p w14:paraId="4275097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color w:val="000000" w:themeColor="text1"/>
                      <w:sz w:val="18"/>
                      <w:szCs w:val="18"/>
                      <w:highlight w:val="none"/>
                      <w:lang w:val="en-US" w:eastAsia="zh-CN" w:bidi="ar"/>
                      <w14:textFill>
                        <w14:solidFill>
                          <w14:schemeClr w14:val="tx1"/>
                        </w14:solidFill>
                      </w14:textFill>
                    </w:rPr>
                  </w:pPr>
                  <w:r>
                    <w:rPr>
                      <w:rFonts w:hint="eastAsia" w:cs="Times New Roman"/>
                      <w:color w:val="000000" w:themeColor="text1"/>
                      <w:sz w:val="18"/>
                      <w:szCs w:val="18"/>
                      <w:highlight w:val="none"/>
                      <w:lang w:val="en-US" w:eastAsia="zh-CN" w:bidi="ar"/>
                      <w14:textFill>
                        <w14:solidFill>
                          <w14:schemeClr w14:val="tx1"/>
                        </w14:solidFill>
                      </w14:textFill>
                    </w:rPr>
                    <w:t>废气治理措施</w:t>
                  </w:r>
                </w:p>
              </w:tc>
              <w:tc>
                <w:tcPr>
                  <w:tcW w:w="379" w:type="pct"/>
                  <w:vMerge w:val="continue"/>
                  <w:tcBorders>
                    <w:tl2br w:val="nil"/>
                    <w:tr2bl w:val="nil"/>
                  </w:tcBorders>
                  <w:shd w:val="clear" w:color="auto" w:fill="auto"/>
                  <w:vAlign w:val="center"/>
                </w:tcPr>
                <w:p w14:paraId="1C92691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eastAsia" w:ascii="Times New Roman" w:hAnsi="Times New Roman" w:eastAsia="宋体" w:cs="Times New Roman"/>
                      <w:color w:val="000000" w:themeColor="text1"/>
                      <w:sz w:val="18"/>
                      <w:szCs w:val="18"/>
                      <w:highlight w:val="none"/>
                      <w:lang w:val="en-US" w:eastAsia="zh-CN" w:bidi="ar"/>
                      <w14:textFill>
                        <w14:solidFill>
                          <w14:schemeClr w14:val="tx1"/>
                        </w14:solidFill>
                      </w14:textFill>
                    </w:rPr>
                  </w:pPr>
                </w:p>
              </w:tc>
              <w:tc>
                <w:tcPr>
                  <w:tcW w:w="727" w:type="pct"/>
                  <w:vMerge w:val="continue"/>
                  <w:tcBorders>
                    <w:tl2br w:val="nil"/>
                    <w:tr2bl w:val="nil"/>
                  </w:tcBorders>
                  <w:shd w:val="clear" w:color="auto" w:fill="auto"/>
                  <w:vAlign w:val="center"/>
                </w:tcPr>
                <w:p w14:paraId="713B2B2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p>
              </w:tc>
              <w:tc>
                <w:tcPr>
                  <w:tcW w:w="445" w:type="pct"/>
                  <w:vMerge w:val="continue"/>
                  <w:tcBorders>
                    <w:tl2br w:val="nil"/>
                    <w:tr2bl w:val="nil"/>
                  </w:tcBorders>
                  <w:shd w:val="clear" w:color="auto" w:fill="auto"/>
                  <w:vAlign w:val="center"/>
                </w:tcPr>
                <w:p w14:paraId="6CF1AFB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eastAsia" w:ascii="Times New Roman" w:hAnsi="Times New Roman" w:eastAsia="宋体" w:cs="Times New Roman"/>
                      <w:color w:val="000000" w:themeColor="text1"/>
                      <w:sz w:val="18"/>
                      <w:szCs w:val="18"/>
                      <w:highlight w:val="none"/>
                      <w:lang w:val="en-US" w:eastAsia="zh-CN" w:bidi="ar"/>
                      <w14:textFill>
                        <w14:solidFill>
                          <w14:schemeClr w14:val="tx1"/>
                        </w14:solidFill>
                      </w14:textFill>
                    </w:rPr>
                  </w:pPr>
                </w:p>
              </w:tc>
              <w:tc>
                <w:tcPr>
                  <w:tcW w:w="410" w:type="pct"/>
                  <w:vMerge w:val="continue"/>
                  <w:tcBorders>
                    <w:tl2br w:val="nil"/>
                    <w:tr2bl w:val="nil"/>
                  </w:tcBorders>
                  <w:shd w:val="clear" w:color="auto" w:fill="auto"/>
                  <w:vAlign w:val="center"/>
                </w:tcPr>
                <w:p w14:paraId="67EA846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eastAsia" w:cs="Times New Roman"/>
                      <w:color w:val="000000" w:themeColor="text1"/>
                      <w:sz w:val="18"/>
                      <w:szCs w:val="18"/>
                      <w:highlight w:val="none"/>
                      <w:lang w:val="en-US" w:eastAsia="zh-CN" w:bidi="ar"/>
                      <w14:textFill>
                        <w14:solidFill>
                          <w14:schemeClr w14:val="tx1"/>
                        </w14:solidFill>
                      </w14:textFill>
                    </w:rPr>
                  </w:pPr>
                </w:p>
              </w:tc>
            </w:tr>
          </w:tbl>
          <w:p w14:paraId="4E99516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p>
          <w:p w14:paraId="1A5A2F3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（7）危险废物管理要求</w:t>
            </w:r>
          </w:p>
          <w:p w14:paraId="3337523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r>
              <w:rPr>
                <w:rFonts w:hint="default"/>
                <w:color w:val="000000" w:themeColor="text1"/>
                <w:highlight w:val="none"/>
                <w:lang w:val="en-US" w:eastAsia="zh-CN"/>
                <w14:textFill>
                  <w14:solidFill>
                    <w14:schemeClr w14:val="tx1"/>
                  </w14:solidFill>
                </w14:textFill>
              </w:rPr>
              <w:t>危废暂存间建设要求</w:t>
            </w:r>
          </w:p>
          <w:p w14:paraId="4C44716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建设单位已严格按照《危险废物贮存污染控制标准》（GB18597-2023）相关要求实施。</w:t>
            </w:r>
          </w:p>
          <w:p w14:paraId="1035ACB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针对危废暂存间，建设单位应采取以下污染控制措施：</w:t>
            </w:r>
          </w:p>
          <w:p w14:paraId="6F2DDFF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①根据《中华人民共和国固体废物污染环境防治法》中第八十一条“从事收集、贮存、利用、处置危险废物经营活动的单位，贮存危险废物不得超过一年”。项目危废暂存间危废暂存时间不超过1年。</w:t>
            </w:r>
          </w:p>
          <w:p w14:paraId="4FF2371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②危险废物贮存容器必须完好无损；容器材质和衬里与危险废物相容，不相互反应；</w:t>
            </w:r>
          </w:p>
          <w:p w14:paraId="2502B64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③地面与裙脚要用坚固、防渗的材料建造，建筑材料必须与危险废物相容；</w:t>
            </w:r>
          </w:p>
          <w:p w14:paraId="7666045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④储存间内要有安全照明设施和观察窗口；</w:t>
            </w:r>
          </w:p>
          <w:p w14:paraId="43F9976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⑤应设计堵截泄漏的裙脚，地面与裙脚所围建的容积不低于堵截最大容器最大储量或总储量的20%；</w:t>
            </w:r>
          </w:p>
          <w:p w14:paraId="7A1B2E9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⑥</w:t>
            </w:r>
            <w:r>
              <w:rPr>
                <w:rFonts w:hint="eastAsia"/>
                <w:color w:val="000000" w:themeColor="text1"/>
                <w:highlight w:val="none"/>
                <w:lang w:val="en-US" w:eastAsia="zh-CN"/>
                <w14:textFill>
                  <w14:solidFill>
                    <w14:schemeClr w14:val="tx1"/>
                  </w14:solidFill>
                </w14:textFill>
              </w:rPr>
              <w:t>项目依托二期工程危险废物暂存间，废物暂存场所按照《危险废物贮存污染控制标准》（GB18597-2001）的要求进行建设，设置防渗、防漏、防雨等措施。基础防渗层为1m厚粘土层（渗透系数&lt;107cm/s），最上层为2mm厚的高密度聚乙烯，或至少2mm厚的其他人工材料，渗透系数≤10-</w:t>
            </w:r>
            <w:r>
              <w:rPr>
                <w:rFonts w:hint="eastAsia"/>
                <w:color w:val="000000" w:themeColor="text1"/>
                <w:highlight w:val="none"/>
                <w:vertAlign w:val="superscript"/>
                <w:lang w:val="en-US" w:eastAsia="zh-CN"/>
                <w14:textFill>
                  <w14:solidFill>
                    <w14:schemeClr w14:val="tx1"/>
                  </w14:solidFill>
                </w14:textFill>
              </w:rPr>
              <w:t>10</w:t>
            </w:r>
            <w:r>
              <w:rPr>
                <w:rFonts w:hint="eastAsia"/>
                <w:color w:val="000000" w:themeColor="text1"/>
                <w:highlight w:val="none"/>
                <w:lang w:val="en-US" w:eastAsia="zh-CN"/>
                <w14:textFill>
                  <w14:solidFill>
                    <w14:schemeClr w14:val="tx1"/>
                  </w14:solidFill>
                </w14:textFill>
              </w:rPr>
              <w:t>cm/s。危险废物产生后用容器密封储存，并在容器显著位置张贴危险废物的标识。需根据《环境保护图形标志—固体废物贮存（处置场）》（GB15562.2-1995）在固废贮存场所设置环保标志。</w:t>
            </w:r>
          </w:p>
          <w:p w14:paraId="3AEF280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⑦危废贮存间应防风、防雨、防晒、防渗，保证能防止25年一遇暴雨不会流到危废贮存间内。</w:t>
            </w:r>
          </w:p>
          <w:p w14:paraId="3B1D043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r>
              <w:rPr>
                <w:rFonts w:hint="default"/>
                <w:color w:val="000000" w:themeColor="text1"/>
                <w:highlight w:val="none"/>
                <w:lang w:val="en-US" w:eastAsia="zh-CN"/>
                <w14:textFill>
                  <w14:solidFill>
                    <w14:schemeClr w14:val="tx1"/>
                  </w14:solidFill>
                </w14:textFill>
              </w:rPr>
              <w:t>危废处置措施</w:t>
            </w:r>
          </w:p>
          <w:p w14:paraId="3B54DD7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本项目产生的危险废物储存、转移和处理途径需遵守《危险废物贮存污染控制标准》（GB18597-2023）中的相关规定。建设单位在生产前必须落实危废处理措施，与相关有资质的单位完成签约。</w:t>
            </w:r>
          </w:p>
          <w:p w14:paraId="7BBA93B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危险废物保存要求</w:t>
            </w:r>
          </w:p>
          <w:p w14:paraId="576AF21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ascii="宋体" w:hAnsi="宋体" w:eastAsia="宋体" w:cs="宋体"/>
                <w:color w:val="000000" w:themeColor="text1"/>
                <w:highlight w:val="none"/>
                <w:lang w:val="en-US" w:eastAsia="zh-CN"/>
                <w14:textFill>
                  <w14:solidFill>
                    <w14:schemeClr w14:val="tx1"/>
                  </w14:solidFill>
                </w14:textFill>
              </w:rPr>
              <w:t>①</w:t>
            </w:r>
            <w:r>
              <w:rPr>
                <w:rFonts w:hint="default"/>
                <w:color w:val="000000" w:themeColor="text1"/>
                <w:highlight w:val="none"/>
                <w:lang w:val="en-US" w:eastAsia="zh-CN"/>
                <w14:textFill>
                  <w14:solidFill>
                    <w14:schemeClr w14:val="tx1"/>
                  </w14:solidFill>
                </w14:textFill>
              </w:rPr>
              <w:t>项目</w:t>
            </w:r>
            <w:r>
              <w:rPr>
                <w:rFonts w:hint="eastAsia"/>
                <w:color w:val="000000" w:themeColor="text1"/>
                <w:highlight w:val="none"/>
                <w:lang w:val="en-US" w:eastAsia="zh-CN"/>
                <w14:textFill>
                  <w14:solidFill>
                    <w14:schemeClr w14:val="tx1"/>
                  </w14:solidFill>
                </w14:textFill>
              </w:rPr>
              <w:t>依托于</w:t>
            </w:r>
            <w:r>
              <w:rPr>
                <w:rFonts w:hint="default"/>
                <w:color w:val="000000" w:themeColor="text1"/>
                <w:highlight w:val="none"/>
                <w:lang w:val="en-US" w:eastAsia="zh-CN"/>
                <w14:textFill>
                  <w14:solidFill>
                    <w14:schemeClr w14:val="tx1"/>
                  </w14:solidFill>
                </w14:textFill>
              </w:rPr>
              <w:t>于生产区域内部</w:t>
            </w:r>
            <w:r>
              <w:rPr>
                <w:rFonts w:hint="eastAsia"/>
                <w:color w:val="000000" w:themeColor="text1"/>
                <w:highlight w:val="none"/>
                <w:lang w:val="en-US" w:eastAsia="zh-CN"/>
                <w14:textFill>
                  <w14:solidFill>
                    <w14:schemeClr w14:val="tx1"/>
                  </w14:solidFill>
                </w14:textFill>
              </w:rPr>
              <w:t>二期工程</w:t>
            </w:r>
            <w:r>
              <w:rPr>
                <w:rFonts w:hint="default"/>
                <w:color w:val="000000" w:themeColor="text1"/>
                <w:highlight w:val="none"/>
                <w:lang w:val="en-US" w:eastAsia="zh-CN"/>
                <w14:textFill>
                  <w14:solidFill>
                    <w14:schemeClr w14:val="tx1"/>
                  </w14:solidFill>
                </w14:textFill>
              </w:rPr>
              <w:t>设置</w:t>
            </w:r>
            <w:r>
              <w:rPr>
                <w:rFonts w:hint="eastAsia"/>
                <w:color w:val="000000" w:themeColor="text1"/>
                <w:highlight w:val="none"/>
                <w:lang w:val="en-US" w:eastAsia="zh-CN"/>
                <w14:textFill>
                  <w14:solidFill>
                    <w14:schemeClr w14:val="tx1"/>
                  </w14:solidFill>
                </w14:textFill>
              </w:rPr>
              <w:t>的</w:t>
            </w:r>
            <w:r>
              <w:rPr>
                <w:rFonts w:hint="default"/>
                <w:color w:val="000000" w:themeColor="text1"/>
                <w:highlight w:val="none"/>
                <w:lang w:val="en-US" w:eastAsia="zh-CN"/>
                <w14:textFill>
                  <w14:solidFill>
                    <w14:schemeClr w14:val="tx1"/>
                  </w14:solidFill>
                </w14:textFill>
              </w:rPr>
              <w:t>危险废物暂存间1处，建筑面积</w:t>
            </w:r>
            <w:r>
              <w:rPr>
                <w:rFonts w:hint="eastAsia"/>
                <w:color w:val="000000" w:themeColor="text1"/>
                <w:highlight w:val="none"/>
                <w:lang w:val="en-US" w:eastAsia="zh-CN"/>
                <w14:textFill>
                  <w14:solidFill>
                    <w14:schemeClr w14:val="tx1"/>
                  </w14:solidFill>
                </w14:textFill>
              </w:rPr>
              <w:t>1</w:t>
            </w:r>
            <w:r>
              <w:rPr>
                <w:rFonts w:hint="default"/>
                <w:color w:val="000000" w:themeColor="text1"/>
                <w:highlight w:val="none"/>
                <w:lang w:val="en-US" w:eastAsia="zh-CN"/>
                <w14:textFill>
                  <w14:solidFill>
                    <w14:schemeClr w14:val="tx1"/>
                  </w14:solidFill>
                </w14:textFill>
              </w:rPr>
              <w:t>5m</w:t>
            </w:r>
            <w:r>
              <w:rPr>
                <w:rFonts w:hint="default"/>
                <w:color w:val="000000" w:themeColor="text1"/>
                <w:highlight w:val="none"/>
                <w:vertAlign w:val="superscript"/>
                <w:lang w:val="en-US" w:eastAsia="zh-CN"/>
                <w14:textFill>
                  <w14:solidFill>
                    <w14:schemeClr w14:val="tx1"/>
                  </w14:solidFill>
                </w14:textFill>
              </w:rPr>
              <w:t>2</w:t>
            </w:r>
            <w:r>
              <w:rPr>
                <w:rFonts w:hint="default"/>
                <w:color w:val="000000" w:themeColor="text1"/>
                <w:highlight w:val="none"/>
                <w:lang w:val="en-US" w:eastAsia="zh-CN"/>
                <w14:textFill>
                  <w14:solidFill>
                    <w14:schemeClr w14:val="tx1"/>
                  </w14:solidFill>
                </w14:textFill>
              </w:rPr>
              <w:t>。对不同类型的危废分别采取不同的专用盛装容器收集存放，并在桶上张贴识别标签（注明种类、数量、存放日期等）及安全用语，临时存放在危废暂存间，累计一定数量后由有相应危废资质单位专用运输车辆外运统一处置。禁止将危险废物混入一般废物收集、贮存、运输和处置。</w:t>
            </w:r>
          </w:p>
          <w:p w14:paraId="3BBBD5C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ascii="宋体" w:hAnsi="宋体" w:eastAsia="宋体" w:cs="宋体"/>
                <w:color w:val="000000" w:themeColor="text1"/>
                <w:highlight w:val="none"/>
                <w:lang w:val="en-US" w:eastAsia="zh-CN"/>
                <w14:textFill>
                  <w14:solidFill>
                    <w14:schemeClr w14:val="tx1"/>
                  </w14:solidFill>
                </w14:textFill>
              </w:rPr>
              <w:t>②</w:t>
            </w:r>
            <w:r>
              <w:rPr>
                <w:rFonts w:hint="default"/>
                <w:color w:val="000000" w:themeColor="text1"/>
                <w:highlight w:val="none"/>
                <w:lang w:val="en-US" w:eastAsia="zh-CN"/>
                <w14:textFill>
                  <w14:solidFill>
                    <w14:schemeClr w14:val="tx1"/>
                  </w14:solidFill>
                </w14:textFill>
              </w:rPr>
              <w:t>所使用的储存容器应为不宜发生破损泄漏，储存液态危废时，容器应留有不低于100mm的足够空间，容器外表面应有明显的危废警示标示。</w:t>
            </w:r>
          </w:p>
          <w:p w14:paraId="59E9D0A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w:t>
            </w:r>
            <w:r>
              <w:rPr>
                <w:rFonts w:hint="default"/>
                <w:color w:val="000000" w:themeColor="text1"/>
                <w:highlight w:val="none"/>
                <w:lang w:val="en-US" w:eastAsia="zh-CN"/>
                <w14:textFill>
                  <w14:solidFill>
                    <w14:schemeClr w14:val="tx1"/>
                  </w14:solidFill>
                </w14:textFill>
              </w:rPr>
              <w:t>危险废物管理要求</w:t>
            </w:r>
          </w:p>
          <w:p w14:paraId="10BAFC0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根据《危险废物贮存污染控制标准》（GB18597-2023），危险废物临时贮存及委托处置应按以下要求进行管理：</w:t>
            </w:r>
          </w:p>
          <w:p w14:paraId="370DB74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ascii="宋体" w:hAnsi="宋体" w:eastAsia="宋体" w:cs="宋体"/>
                <w:color w:val="000000" w:themeColor="text1"/>
                <w:highlight w:val="none"/>
                <w:lang w:val="en-US" w:eastAsia="zh-CN"/>
                <w14:textFill>
                  <w14:solidFill>
                    <w14:schemeClr w14:val="tx1"/>
                  </w14:solidFill>
                </w14:textFill>
              </w:rPr>
              <w:t>①</w:t>
            </w:r>
            <w:r>
              <w:rPr>
                <w:rFonts w:hint="default"/>
                <w:color w:val="000000" w:themeColor="text1"/>
                <w:highlight w:val="none"/>
                <w:lang w:val="en-US" w:eastAsia="zh-CN"/>
                <w14:textFill>
                  <w14:solidFill>
                    <w14:schemeClr w14:val="tx1"/>
                  </w14:solidFill>
                </w14:textFill>
              </w:rPr>
              <w:t>危险废物进入危废暂存间前应进行检验，确保同预定接收的危废一致，并登记注册。</w:t>
            </w:r>
          </w:p>
          <w:p w14:paraId="2824CC6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ascii="宋体" w:hAnsi="宋体" w:eastAsia="宋体" w:cs="宋体"/>
                <w:color w:val="000000" w:themeColor="text1"/>
                <w:highlight w:val="none"/>
                <w:lang w:val="en-US" w:eastAsia="zh-CN"/>
                <w14:textFill>
                  <w14:solidFill>
                    <w14:schemeClr w14:val="tx1"/>
                  </w14:solidFill>
                </w14:textFill>
              </w:rPr>
              <w:t>②</w:t>
            </w:r>
            <w:r>
              <w:rPr>
                <w:rFonts w:hint="default"/>
                <w:color w:val="000000" w:themeColor="text1"/>
                <w:highlight w:val="none"/>
                <w:lang w:val="en-US" w:eastAsia="zh-CN"/>
                <w14:textFill>
                  <w14:solidFill>
                    <w14:schemeClr w14:val="tx1"/>
                  </w14:solidFill>
                </w14:textFill>
              </w:rPr>
              <w:t>不得暂存未粘贴标签或标签没按规定填写的危险废物。</w:t>
            </w:r>
          </w:p>
          <w:p w14:paraId="0515967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ascii="宋体" w:hAnsi="宋体" w:eastAsia="宋体" w:cs="宋体"/>
                <w:color w:val="000000" w:themeColor="text1"/>
                <w:highlight w:val="none"/>
                <w:lang w:val="en-US" w:eastAsia="zh-CN"/>
                <w14:textFill>
                  <w14:solidFill>
                    <w14:schemeClr w14:val="tx1"/>
                  </w14:solidFill>
                </w14:textFill>
              </w:rPr>
              <w:t>③</w:t>
            </w:r>
            <w:r>
              <w:rPr>
                <w:rFonts w:hint="default"/>
                <w:color w:val="000000" w:themeColor="text1"/>
                <w:highlight w:val="none"/>
                <w:lang w:val="en-US" w:eastAsia="zh-CN"/>
                <w14:textFill>
                  <w14:solidFill>
                    <w14:schemeClr w14:val="tx1"/>
                  </w14:solidFill>
                </w14:textFill>
              </w:rPr>
              <w:t>不得将不相容的废物混合或合并存放。</w:t>
            </w:r>
          </w:p>
          <w:p w14:paraId="671E7F3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ascii="宋体" w:hAnsi="宋体" w:eastAsia="宋体" w:cs="宋体"/>
                <w:color w:val="000000" w:themeColor="text1"/>
                <w:highlight w:val="none"/>
                <w:lang w:val="en-US" w:eastAsia="zh-CN"/>
                <w14:textFill>
                  <w14:solidFill>
                    <w14:schemeClr w14:val="tx1"/>
                  </w14:solidFill>
                </w14:textFill>
              </w:rPr>
              <w:t>④</w:t>
            </w:r>
            <w:r>
              <w:rPr>
                <w:rFonts w:hint="default"/>
                <w:color w:val="000000" w:themeColor="text1"/>
                <w:highlight w:val="none"/>
                <w:lang w:val="en-US" w:eastAsia="zh-CN"/>
                <w14:textFill>
                  <w14:solidFill>
                    <w14:schemeClr w14:val="tx1"/>
                  </w14:solidFill>
                </w14:textFill>
              </w:rPr>
              <w:t>应做好危险废物产生、贮存情况的记录，记录上需注明危险废物的名称、来源、数量、特征和包装容器的类别、入库日期、存放库位、废物出库日期及接收单位名称。</w:t>
            </w:r>
          </w:p>
          <w:p w14:paraId="64CA395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ascii="宋体" w:hAnsi="宋体" w:eastAsia="宋体" w:cs="宋体"/>
                <w:color w:val="000000" w:themeColor="text1"/>
                <w:highlight w:val="none"/>
                <w:lang w:val="en-US" w:eastAsia="zh-CN"/>
                <w14:textFill>
                  <w14:solidFill>
                    <w14:schemeClr w14:val="tx1"/>
                  </w14:solidFill>
                </w14:textFill>
              </w:rPr>
              <w:t>⑤</w:t>
            </w:r>
            <w:r>
              <w:rPr>
                <w:rFonts w:hint="default"/>
                <w:color w:val="000000" w:themeColor="text1"/>
                <w:highlight w:val="none"/>
                <w:lang w:val="en-US" w:eastAsia="zh-CN"/>
                <w14:textFill>
                  <w14:solidFill>
                    <w14:schemeClr w14:val="tx1"/>
                  </w14:solidFill>
                </w14:textFill>
              </w:rPr>
              <w:t>必须定期对所贮存的危险废物包装容器及贮存设施进行检查，发现破损，应及时采取措施清理更换。</w:t>
            </w:r>
          </w:p>
          <w:p w14:paraId="12D5298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ascii="微软雅黑" w:hAnsi="微软雅黑" w:eastAsia="微软雅黑" w:cs="微软雅黑"/>
                <w:color w:val="000000" w:themeColor="text1"/>
                <w:highlight w:val="none"/>
                <w:lang w:val="en-US" w:eastAsia="zh-CN"/>
                <w14:textFill>
                  <w14:solidFill>
                    <w14:schemeClr w14:val="tx1"/>
                  </w14:solidFill>
                </w14:textFill>
              </w:rPr>
              <w:t>⑥</w:t>
            </w:r>
            <w:r>
              <w:rPr>
                <w:rFonts w:hint="default"/>
                <w:color w:val="000000" w:themeColor="text1"/>
                <w:highlight w:val="none"/>
                <w:lang w:val="en-US" w:eastAsia="zh-CN"/>
                <w14:textFill>
                  <w14:solidFill>
                    <w14:schemeClr w14:val="tx1"/>
                  </w14:solidFill>
                </w14:textFill>
              </w:rPr>
              <w:t>按照《危险废物转移管理办法》相应管理要求，制定危险废物管理计划，明确拟转移危险废物的种类、重量（数量）和流向等信息；建立危险废物管理台账，对转移的危险废物进行计量称重，如实记录、妥善保管转移危险废物的种类、重量（数量）和接受人等相关信息；填写、运行危险废物转移联单，在危险废物转移联单中如实填写移出人、承运人、接受人信息，转移危险废物的种类、重量（数量）、危险特性等信息，以及突发环境事件的防范措施等；危险废物转移联单应当根据危险废物管理计划中填报的危险废物转移等备案信息填写、运行。</w:t>
            </w:r>
          </w:p>
          <w:p w14:paraId="3D48A8C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评价要求：项目固体废物必须按“资源化、减量化、无害化”处置原则进行综合处置，严禁将各类生产固废、危废直接排放或混入生活垃圾中倾倒。按照《环境保护图形标志一固体废物贮存（处置）场》（GB15562.2-1995）设置一般固体废物堆放场的环境保护图形标志，《危险废物识别标志设置技术规范》（HJ1276-2022）设置危险废物贮存设施的环境保护图形标志。</w:t>
            </w:r>
          </w:p>
          <w:p w14:paraId="5664AC3C">
            <w:pPr>
              <w:pStyle w:val="20"/>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表4-</w:t>
            </w:r>
            <w:r>
              <w:rPr>
                <w:rFonts w:hint="eastAsia"/>
                <w:color w:val="000000" w:themeColor="text1"/>
                <w:highlight w:val="none"/>
                <w:lang w:val="en-US" w:eastAsia="zh-CN"/>
                <w14:textFill>
                  <w14:solidFill>
                    <w14:schemeClr w14:val="tx1"/>
                  </w14:solidFill>
                </w14:textFill>
              </w:rPr>
              <w:t xml:space="preserve">18 </w:t>
            </w:r>
            <w:r>
              <w:rPr>
                <w:rFonts w:hint="default"/>
                <w:color w:val="000000" w:themeColor="text1"/>
                <w:highlight w:val="none"/>
                <w:lang w:val="en-US" w:eastAsia="zh-CN"/>
                <w14:textFill>
                  <w14:solidFill>
                    <w14:schemeClr w14:val="tx1"/>
                  </w14:solidFill>
                </w14:textFill>
              </w:rPr>
              <w:t xml:space="preserve"> 一般固废堆场、危废库环境保护图形标志</w:t>
            </w:r>
          </w:p>
          <w:tbl>
            <w:tblPr>
              <w:tblStyle w:val="12"/>
              <w:tblW w:w="8296" w:type="dxa"/>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019"/>
              <w:gridCol w:w="1081"/>
              <w:gridCol w:w="772"/>
              <w:gridCol w:w="1136"/>
              <w:gridCol w:w="1061"/>
              <w:gridCol w:w="3227"/>
            </w:tblGrid>
            <w:tr w14:paraId="0A8F12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614" w:type="pct"/>
                  <w:tcBorders>
                    <w:tl2br w:val="nil"/>
                    <w:tr2bl w:val="nil"/>
                  </w:tcBorders>
                  <w:shd w:val="clear" w:color="auto" w:fill="auto"/>
                  <w:vAlign w:val="center"/>
                </w:tcPr>
                <w:p w14:paraId="44CBF3F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bCs/>
                      <w:i w:val="0"/>
                      <w:iCs w:val="0"/>
                      <w:color w:val="000000" w:themeColor="text1"/>
                      <w:sz w:val="21"/>
                      <w:szCs w:val="21"/>
                      <w:highlight w:val="none"/>
                      <w:u w:val="none"/>
                      <w14:textFill>
                        <w14:solidFill>
                          <w14:schemeClr w14:val="tx1"/>
                        </w14:solidFill>
                      </w14:textFill>
                    </w:rPr>
                  </w:pPr>
                  <w:r>
                    <w:rPr>
                      <w:color w:val="000000" w:themeColor="text1"/>
                      <w:sz w:val="21"/>
                      <w:szCs w:val="21"/>
                      <w:highlight w:val="none"/>
                      <w:lang w:val="en-US" w:eastAsia="zh-CN" w:bidi="ar"/>
                      <w14:textFill>
                        <w14:solidFill>
                          <w14:schemeClr w14:val="tx1"/>
                        </w14:solidFill>
                      </w14:textFill>
                    </w:rPr>
                    <w:t>名称</w:t>
                  </w:r>
                </w:p>
              </w:tc>
              <w:tc>
                <w:tcPr>
                  <w:tcW w:w="651" w:type="pct"/>
                  <w:tcBorders>
                    <w:tl2br w:val="nil"/>
                    <w:tr2bl w:val="nil"/>
                  </w:tcBorders>
                  <w:shd w:val="clear" w:color="auto" w:fill="auto"/>
                  <w:vAlign w:val="center"/>
                </w:tcPr>
                <w:p w14:paraId="3A731D1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bCs/>
                      <w:i w:val="0"/>
                      <w:iCs w:val="0"/>
                      <w:color w:val="000000" w:themeColor="text1"/>
                      <w:sz w:val="21"/>
                      <w:szCs w:val="21"/>
                      <w:highlight w:val="none"/>
                      <w:u w:val="none"/>
                      <w14:textFill>
                        <w14:solidFill>
                          <w14:schemeClr w14:val="tx1"/>
                        </w14:solidFill>
                      </w14:textFill>
                    </w:rPr>
                  </w:pPr>
                  <w:r>
                    <w:rPr>
                      <w:color w:val="000000" w:themeColor="text1"/>
                      <w:sz w:val="21"/>
                      <w:szCs w:val="21"/>
                      <w:highlight w:val="none"/>
                      <w:lang w:val="en-US" w:eastAsia="zh-CN" w:bidi="ar"/>
                      <w14:textFill>
                        <w14:solidFill>
                          <w14:schemeClr w14:val="tx1"/>
                        </w14:solidFill>
                      </w14:textFill>
                    </w:rPr>
                    <w:t>图形标志</w:t>
                  </w:r>
                </w:p>
              </w:tc>
              <w:tc>
                <w:tcPr>
                  <w:tcW w:w="465" w:type="pct"/>
                  <w:tcBorders>
                    <w:tl2br w:val="nil"/>
                    <w:tr2bl w:val="nil"/>
                  </w:tcBorders>
                  <w:shd w:val="clear" w:color="auto" w:fill="auto"/>
                  <w:vAlign w:val="center"/>
                </w:tcPr>
                <w:p w14:paraId="5570369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bCs/>
                      <w:i w:val="0"/>
                      <w:iCs w:val="0"/>
                      <w:color w:val="000000" w:themeColor="text1"/>
                      <w:sz w:val="21"/>
                      <w:szCs w:val="21"/>
                      <w:highlight w:val="none"/>
                      <w:u w:val="none"/>
                      <w14:textFill>
                        <w14:solidFill>
                          <w14:schemeClr w14:val="tx1"/>
                        </w14:solidFill>
                      </w14:textFill>
                    </w:rPr>
                  </w:pPr>
                  <w:r>
                    <w:rPr>
                      <w:color w:val="000000" w:themeColor="text1"/>
                      <w:sz w:val="21"/>
                      <w:szCs w:val="21"/>
                      <w:highlight w:val="none"/>
                      <w:lang w:val="en-US" w:eastAsia="zh-CN" w:bidi="ar"/>
                      <w14:textFill>
                        <w14:solidFill>
                          <w14:schemeClr w14:val="tx1"/>
                        </w14:solidFill>
                      </w14:textFill>
                    </w:rPr>
                    <w:t>形状</w:t>
                  </w:r>
                </w:p>
              </w:tc>
              <w:tc>
                <w:tcPr>
                  <w:tcW w:w="684" w:type="pct"/>
                  <w:tcBorders>
                    <w:tl2br w:val="nil"/>
                    <w:tr2bl w:val="nil"/>
                  </w:tcBorders>
                  <w:shd w:val="clear" w:color="auto" w:fill="auto"/>
                  <w:vAlign w:val="center"/>
                </w:tcPr>
                <w:p w14:paraId="6AB5B66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bCs/>
                      <w:i w:val="0"/>
                      <w:iCs w:val="0"/>
                      <w:color w:val="000000" w:themeColor="text1"/>
                      <w:sz w:val="21"/>
                      <w:szCs w:val="21"/>
                      <w:highlight w:val="none"/>
                      <w:u w:val="none"/>
                      <w14:textFill>
                        <w14:solidFill>
                          <w14:schemeClr w14:val="tx1"/>
                        </w14:solidFill>
                      </w14:textFill>
                    </w:rPr>
                  </w:pPr>
                  <w:r>
                    <w:rPr>
                      <w:color w:val="000000" w:themeColor="text1"/>
                      <w:sz w:val="21"/>
                      <w:szCs w:val="21"/>
                      <w:highlight w:val="none"/>
                      <w:lang w:val="en-US" w:eastAsia="zh-CN" w:bidi="ar"/>
                      <w14:textFill>
                        <w14:solidFill>
                          <w14:schemeClr w14:val="tx1"/>
                        </w14:solidFill>
                      </w14:textFill>
                    </w:rPr>
                    <w:t>背景颜色</w:t>
                  </w:r>
                </w:p>
              </w:tc>
              <w:tc>
                <w:tcPr>
                  <w:tcW w:w="639" w:type="pct"/>
                  <w:tcBorders>
                    <w:tl2br w:val="nil"/>
                    <w:tr2bl w:val="nil"/>
                  </w:tcBorders>
                  <w:shd w:val="clear" w:color="auto" w:fill="auto"/>
                  <w:vAlign w:val="center"/>
                </w:tcPr>
                <w:p w14:paraId="1258DF7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bCs/>
                      <w:i w:val="0"/>
                      <w:iCs w:val="0"/>
                      <w:color w:val="000000" w:themeColor="text1"/>
                      <w:sz w:val="21"/>
                      <w:szCs w:val="21"/>
                      <w:highlight w:val="none"/>
                      <w:u w:val="none"/>
                      <w14:textFill>
                        <w14:solidFill>
                          <w14:schemeClr w14:val="tx1"/>
                        </w14:solidFill>
                      </w14:textFill>
                    </w:rPr>
                  </w:pPr>
                  <w:r>
                    <w:rPr>
                      <w:color w:val="000000" w:themeColor="text1"/>
                      <w:sz w:val="21"/>
                      <w:szCs w:val="21"/>
                      <w:highlight w:val="none"/>
                      <w:lang w:val="en-US" w:eastAsia="zh-CN" w:bidi="ar"/>
                      <w14:textFill>
                        <w14:solidFill>
                          <w14:schemeClr w14:val="tx1"/>
                        </w14:solidFill>
                      </w14:textFill>
                    </w:rPr>
                    <w:t>图形颜色</w:t>
                  </w:r>
                </w:p>
              </w:tc>
              <w:tc>
                <w:tcPr>
                  <w:tcW w:w="1944" w:type="pct"/>
                  <w:tcBorders>
                    <w:tl2br w:val="nil"/>
                    <w:tr2bl w:val="nil"/>
                  </w:tcBorders>
                  <w:shd w:val="clear" w:color="auto" w:fill="auto"/>
                  <w:vAlign w:val="center"/>
                </w:tcPr>
                <w:p w14:paraId="7F3F6B4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bCs/>
                      <w:i w:val="0"/>
                      <w:iCs w:val="0"/>
                      <w:color w:val="000000" w:themeColor="text1"/>
                      <w:sz w:val="21"/>
                      <w:szCs w:val="21"/>
                      <w:highlight w:val="none"/>
                      <w:u w:val="none"/>
                      <w14:textFill>
                        <w14:solidFill>
                          <w14:schemeClr w14:val="tx1"/>
                        </w14:solidFill>
                      </w14:textFill>
                    </w:rPr>
                  </w:pPr>
                  <w:r>
                    <w:rPr>
                      <w:color w:val="000000" w:themeColor="text1"/>
                      <w:sz w:val="21"/>
                      <w:szCs w:val="21"/>
                      <w:highlight w:val="none"/>
                      <w:lang w:val="en-US" w:eastAsia="zh-CN" w:bidi="ar"/>
                      <w14:textFill>
                        <w14:solidFill>
                          <w14:schemeClr w14:val="tx1"/>
                        </w14:solidFill>
                      </w14:textFill>
                    </w:rPr>
                    <w:t>提示图形符号</w:t>
                  </w:r>
                </w:p>
              </w:tc>
            </w:tr>
            <w:tr w14:paraId="2E7A94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614" w:type="pct"/>
                  <w:tcBorders>
                    <w:tl2br w:val="nil"/>
                    <w:tr2bl w:val="nil"/>
                  </w:tcBorders>
                  <w:shd w:val="clear" w:color="auto" w:fill="auto"/>
                  <w:vAlign w:val="center"/>
                </w:tcPr>
                <w:p w14:paraId="45046BD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i w:val="0"/>
                      <w:iCs w:val="0"/>
                      <w:color w:val="000000" w:themeColor="text1"/>
                      <w:sz w:val="21"/>
                      <w:szCs w:val="21"/>
                      <w:highlight w:val="none"/>
                      <w:u w:val="none"/>
                      <w14:textFill>
                        <w14:solidFill>
                          <w14:schemeClr w14:val="tx1"/>
                        </w14:solidFill>
                      </w14:textFill>
                    </w:rPr>
                  </w:pPr>
                  <w:r>
                    <w:rPr>
                      <w:color w:val="000000" w:themeColor="text1"/>
                      <w:sz w:val="21"/>
                      <w:szCs w:val="21"/>
                      <w:highlight w:val="none"/>
                      <w:lang w:val="en-US" w:eastAsia="zh-CN" w:bidi="ar"/>
                      <w14:textFill>
                        <w14:solidFill>
                          <w14:schemeClr w14:val="tx1"/>
                        </w14:solidFill>
                      </w14:textFill>
                    </w:rPr>
                    <w:t>一般固废堆场</w:t>
                  </w:r>
                </w:p>
              </w:tc>
              <w:tc>
                <w:tcPr>
                  <w:tcW w:w="651" w:type="pct"/>
                  <w:tcBorders>
                    <w:tl2br w:val="nil"/>
                    <w:tr2bl w:val="nil"/>
                  </w:tcBorders>
                  <w:shd w:val="clear" w:color="auto" w:fill="auto"/>
                  <w:vAlign w:val="center"/>
                </w:tcPr>
                <w:p w14:paraId="628A4D4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i w:val="0"/>
                      <w:iCs w:val="0"/>
                      <w:color w:val="000000" w:themeColor="text1"/>
                      <w:sz w:val="21"/>
                      <w:szCs w:val="21"/>
                      <w:highlight w:val="none"/>
                      <w:u w:val="none"/>
                      <w14:textFill>
                        <w14:solidFill>
                          <w14:schemeClr w14:val="tx1"/>
                        </w14:solidFill>
                      </w14:textFill>
                    </w:rPr>
                  </w:pPr>
                  <w:r>
                    <w:rPr>
                      <w:color w:val="000000" w:themeColor="text1"/>
                      <w:sz w:val="21"/>
                      <w:szCs w:val="21"/>
                      <w:highlight w:val="none"/>
                      <w:lang w:val="en-US" w:eastAsia="zh-CN" w:bidi="ar"/>
                      <w14:textFill>
                        <w14:solidFill>
                          <w14:schemeClr w14:val="tx1"/>
                        </w14:solidFill>
                      </w14:textFill>
                    </w:rPr>
                    <w:t>提示标志</w:t>
                  </w:r>
                </w:p>
              </w:tc>
              <w:tc>
                <w:tcPr>
                  <w:tcW w:w="465" w:type="pct"/>
                  <w:tcBorders>
                    <w:tl2br w:val="nil"/>
                    <w:tr2bl w:val="nil"/>
                  </w:tcBorders>
                  <w:shd w:val="clear" w:color="auto" w:fill="auto"/>
                  <w:vAlign w:val="center"/>
                </w:tcPr>
                <w:p w14:paraId="2F46239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i w:val="0"/>
                      <w:iCs w:val="0"/>
                      <w:color w:val="000000" w:themeColor="text1"/>
                      <w:sz w:val="21"/>
                      <w:szCs w:val="21"/>
                      <w:highlight w:val="none"/>
                      <w:u w:val="none"/>
                      <w14:textFill>
                        <w14:solidFill>
                          <w14:schemeClr w14:val="tx1"/>
                        </w14:solidFill>
                      </w14:textFill>
                    </w:rPr>
                  </w:pPr>
                  <w:r>
                    <w:rPr>
                      <w:color w:val="000000" w:themeColor="text1"/>
                      <w:sz w:val="21"/>
                      <w:szCs w:val="21"/>
                      <w:highlight w:val="none"/>
                      <w:lang w:val="en-US" w:eastAsia="zh-CN" w:bidi="ar"/>
                      <w14:textFill>
                        <w14:solidFill>
                          <w14:schemeClr w14:val="tx1"/>
                        </w14:solidFill>
                      </w14:textFill>
                    </w:rPr>
                    <w:t>正方形边框</w:t>
                  </w:r>
                </w:p>
              </w:tc>
              <w:tc>
                <w:tcPr>
                  <w:tcW w:w="684" w:type="pct"/>
                  <w:tcBorders>
                    <w:tl2br w:val="nil"/>
                    <w:tr2bl w:val="nil"/>
                  </w:tcBorders>
                  <w:shd w:val="clear" w:color="auto" w:fill="auto"/>
                  <w:vAlign w:val="center"/>
                </w:tcPr>
                <w:p w14:paraId="0C8B2CE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i w:val="0"/>
                      <w:iCs w:val="0"/>
                      <w:color w:val="000000" w:themeColor="text1"/>
                      <w:sz w:val="21"/>
                      <w:szCs w:val="21"/>
                      <w:highlight w:val="none"/>
                      <w:u w:val="none"/>
                      <w14:textFill>
                        <w14:solidFill>
                          <w14:schemeClr w14:val="tx1"/>
                        </w14:solidFill>
                      </w14:textFill>
                    </w:rPr>
                  </w:pPr>
                  <w:r>
                    <w:rPr>
                      <w:color w:val="000000" w:themeColor="text1"/>
                      <w:sz w:val="21"/>
                      <w:szCs w:val="21"/>
                      <w:highlight w:val="none"/>
                      <w:lang w:val="en-US" w:eastAsia="zh-CN" w:bidi="ar"/>
                      <w14:textFill>
                        <w14:solidFill>
                          <w14:schemeClr w14:val="tx1"/>
                        </w14:solidFill>
                      </w14:textFill>
                    </w:rPr>
                    <w:t>绿色</w:t>
                  </w:r>
                </w:p>
              </w:tc>
              <w:tc>
                <w:tcPr>
                  <w:tcW w:w="639" w:type="pct"/>
                  <w:tcBorders>
                    <w:tl2br w:val="nil"/>
                    <w:tr2bl w:val="nil"/>
                  </w:tcBorders>
                  <w:shd w:val="clear" w:color="auto" w:fill="auto"/>
                  <w:vAlign w:val="center"/>
                </w:tcPr>
                <w:p w14:paraId="102F25C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i w:val="0"/>
                      <w:iCs w:val="0"/>
                      <w:color w:val="000000" w:themeColor="text1"/>
                      <w:sz w:val="21"/>
                      <w:szCs w:val="21"/>
                      <w:highlight w:val="none"/>
                      <w:u w:val="none"/>
                      <w14:textFill>
                        <w14:solidFill>
                          <w14:schemeClr w14:val="tx1"/>
                        </w14:solidFill>
                      </w14:textFill>
                    </w:rPr>
                  </w:pPr>
                  <w:r>
                    <w:rPr>
                      <w:color w:val="000000" w:themeColor="text1"/>
                      <w:sz w:val="21"/>
                      <w:szCs w:val="21"/>
                      <w:highlight w:val="none"/>
                      <w:lang w:val="en-US" w:eastAsia="zh-CN" w:bidi="ar"/>
                      <w14:textFill>
                        <w14:solidFill>
                          <w14:schemeClr w14:val="tx1"/>
                        </w14:solidFill>
                      </w14:textFill>
                    </w:rPr>
                    <w:t>白色</w:t>
                  </w:r>
                </w:p>
              </w:tc>
              <w:tc>
                <w:tcPr>
                  <w:tcW w:w="1944" w:type="pct"/>
                  <w:tcBorders>
                    <w:tl2br w:val="nil"/>
                    <w:tr2bl w:val="nil"/>
                  </w:tcBorders>
                  <w:shd w:val="clear" w:color="auto" w:fill="auto"/>
                  <w:vAlign w:val="top"/>
                </w:tcPr>
                <w:p w14:paraId="1B881FE3">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textAlignment w:val="top"/>
                    <w:rPr>
                      <w:rFonts w:hint="default" w:ascii="Arial" w:hAnsi="Arial" w:cs="Arial"/>
                      <w:i w:val="0"/>
                      <w:iCs w:val="0"/>
                      <w:color w:val="000000" w:themeColor="text1"/>
                      <w:sz w:val="21"/>
                      <w:szCs w:val="21"/>
                      <w:highlight w:val="none"/>
                      <w:u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924050" cy="1295400"/>
                        <wp:effectExtent l="0" t="0" r="0" b="0"/>
                        <wp:docPr id="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
                                <pic:cNvPicPr>
                                  <a:picLocks noChangeAspect="1"/>
                                </pic:cNvPicPr>
                              </pic:nvPicPr>
                              <pic:blipFill>
                                <a:blip r:embed="rId42"/>
                                <a:stretch>
                                  <a:fillRect/>
                                </a:stretch>
                              </pic:blipFill>
                              <pic:spPr>
                                <a:xfrm>
                                  <a:off x="0" y="0"/>
                                  <a:ext cx="1924050" cy="1295400"/>
                                </a:xfrm>
                                <a:prstGeom prst="rect">
                                  <a:avLst/>
                                </a:prstGeom>
                                <a:noFill/>
                                <a:ln>
                                  <a:noFill/>
                                </a:ln>
                              </pic:spPr>
                            </pic:pic>
                          </a:graphicData>
                        </a:graphic>
                      </wp:inline>
                    </w:drawing>
                  </w:r>
                </w:p>
              </w:tc>
            </w:tr>
            <w:tr w14:paraId="562C77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14" w:hRule="atLeast"/>
              </w:trPr>
              <w:tc>
                <w:tcPr>
                  <w:tcW w:w="614" w:type="pct"/>
                  <w:tcBorders>
                    <w:tl2br w:val="nil"/>
                    <w:tr2bl w:val="nil"/>
                  </w:tcBorders>
                  <w:shd w:val="clear" w:color="auto" w:fill="auto"/>
                  <w:vAlign w:val="center"/>
                </w:tcPr>
                <w:p w14:paraId="55E01C5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i w:val="0"/>
                      <w:iCs w:val="0"/>
                      <w:color w:val="000000" w:themeColor="text1"/>
                      <w:sz w:val="21"/>
                      <w:szCs w:val="21"/>
                      <w:highlight w:val="none"/>
                      <w:u w:val="none"/>
                      <w14:textFill>
                        <w14:solidFill>
                          <w14:schemeClr w14:val="tx1"/>
                        </w14:solidFill>
                      </w14:textFill>
                    </w:rPr>
                  </w:pPr>
                  <w:r>
                    <w:rPr>
                      <w:color w:val="000000" w:themeColor="text1"/>
                      <w:sz w:val="21"/>
                      <w:szCs w:val="21"/>
                      <w:highlight w:val="none"/>
                      <w:lang w:val="en-US" w:eastAsia="zh-CN" w:bidi="ar"/>
                      <w14:textFill>
                        <w14:solidFill>
                          <w14:schemeClr w14:val="tx1"/>
                        </w14:solidFill>
                      </w14:textFill>
                    </w:rPr>
                    <w:t>危废暂存间</w:t>
                  </w:r>
                </w:p>
              </w:tc>
              <w:tc>
                <w:tcPr>
                  <w:tcW w:w="651" w:type="pct"/>
                  <w:tcBorders>
                    <w:tl2br w:val="nil"/>
                    <w:tr2bl w:val="nil"/>
                  </w:tcBorders>
                  <w:shd w:val="clear" w:color="auto" w:fill="auto"/>
                  <w:vAlign w:val="center"/>
                </w:tcPr>
                <w:p w14:paraId="6B4CC7D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i w:val="0"/>
                      <w:iCs w:val="0"/>
                      <w:color w:val="000000" w:themeColor="text1"/>
                      <w:sz w:val="21"/>
                      <w:szCs w:val="21"/>
                      <w:highlight w:val="none"/>
                      <w:u w:val="none"/>
                      <w14:textFill>
                        <w14:solidFill>
                          <w14:schemeClr w14:val="tx1"/>
                        </w14:solidFill>
                      </w14:textFill>
                    </w:rPr>
                  </w:pPr>
                  <w:r>
                    <w:rPr>
                      <w:color w:val="000000" w:themeColor="text1"/>
                      <w:sz w:val="21"/>
                      <w:szCs w:val="21"/>
                      <w:highlight w:val="none"/>
                      <w:lang w:val="en-US" w:eastAsia="zh-CN" w:bidi="ar"/>
                      <w14:textFill>
                        <w14:solidFill>
                          <w14:schemeClr w14:val="tx1"/>
                        </w14:solidFill>
                      </w14:textFill>
                    </w:rPr>
                    <w:t>警告标志</w:t>
                  </w:r>
                </w:p>
              </w:tc>
              <w:tc>
                <w:tcPr>
                  <w:tcW w:w="465" w:type="pct"/>
                  <w:tcBorders>
                    <w:tl2br w:val="nil"/>
                    <w:tr2bl w:val="nil"/>
                  </w:tcBorders>
                  <w:shd w:val="clear" w:color="auto" w:fill="auto"/>
                  <w:vAlign w:val="center"/>
                </w:tcPr>
                <w:p w14:paraId="653F077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i w:val="0"/>
                      <w:iCs w:val="0"/>
                      <w:color w:val="000000" w:themeColor="text1"/>
                      <w:sz w:val="21"/>
                      <w:szCs w:val="21"/>
                      <w:highlight w:val="none"/>
                      <w:u w:val="none"/>
                      <w14:textFill>
                        <w14:solidFill>
                          <w14:schemeClr w14:val="tx1"/>
                        </w14:solidFill>
                      </w14:textFill>
                    </w:rPr>
                  </w:pPr>
                  <w:r>
                    <w:rPr>
                      <w:color w:val="000000" w:themeColor="text1"/>
                      <w:sz w:val="21"/>
                      <w:szCs w:val="21"/>
                      <w:highlight w:val="none"/>
                      <w:lang w:val="en-US" w:eastAsia="zh-CN" w:bidi="ar"/>
                      <w14:textFill>
                        <w14:solidFill>
                          <w14:schemeClr w14:val="tx1"/>
                        </w14:solidFill>
                      </w14:textFill>
                    </w:rPr>
                    <w:t>三角形边框</w:t>
                  </w:r>
                </w:p>
              </w:tc>
              <w:tc>
                <w:tcPr>
                  <w:tcW w:w="684" w:type="pct"/>
                  <w:tcBorders>
                    <w:tl2br w:val="nil"/>
                    <w:tr2bl w:val="nil"/>
                  </w:tcBorders>
                  <w:shd w:val="clear" w:color="auto" w:fill="auto"/>
                  <w:vAlign w:val="center"/>
                </w:tcPr>
                <w:p w14:paraId="0575A11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i w:val="0"/>
                      <w:iCs w:val="0"/>
                      <w:color w:val="000000" w:themeColor="text1"/>
                      <w:sz w:val="21"/>
                      <w:szCs w:val="21"/>
                      <w:highlight w:val="none"/>
                      <w:u w:val="none"/>
                      <w14:textFill>
                        <w14:solidFill>
                          <w14:schemeClr w14:val="tx1"/>
                        </w14:solidFill>
                      </w14:textFill>
                    </w:rPr>
                  </w:pPr>
                  <w:r>
                    <w:rPr>
                      <w:color w:val="000000" w:themeColor="text1"/>
                      <w:sz w:val="21"/>
                      <w:szCs w:val="21"/>
                      <w:highlight w:val="none"/>
                      <w:lang w:val="en-US" w:eastAsia="zh-CN" w:bidi="ar"/>
                      <w14:textFill>
                        <w14:solidFill>
                          <w14:schemeClr w14:val="tx1"/>
                        </w14:solidFill>
                      </w14:textFill>
                    </w:rPr>
                    <w:t>黄色</w:t>
                  </w:r>
                </w:p>
              </w:tc>
              <w:tc>
                <w:tcPr>
                  <w:tcW w:w="639" w:type="pct"/>
                  <w:tcBorders>
                    <w:tl2br w:val="nil"/>
                    <w:tr2bl w:val="nil"/>
                  </w:tcBorders>
                  <w:shd w:val="clear" w:color="auto" w:fill="auto"/>
                  <w:vAlign w:val="center"/>
                </w:tcPr>
                <w:p w14:paraId="0F6ECFF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i w:val="0"/>
                      <w:iCs w:val="0"/>
                      <w:color w:val="000000" w:themeColor="text1"/>
                      <w:sz w:val="21"/>
                      <w:szCs w:val="21"/>
                      <w:highlight w:val="none"/>
                      <w:u w:val="none"/>
                      <w14:textFill>
                        <w14:solidFill>
                          <w14:schemeClr w14:val="tx1"/>
                        </w14:solidFill>
                      </w14:textFill>
                    </w:rPr>
                  </w:pPr>
                  <w:r>
                    <w:rPr>
                      <w:color w:val="000000" w:themeColor="text1"/>
                      <w:sz w:val="21"/>
                      <w:szCs w:val="21"/>
                      <w:highlight w:val="none"/>
                      <w:lang w:val="en-US" w:eastAsia="zh-CN" w:bidi="ar"/>
                      <w14:textFill>
                        <w14:solidFill>
                          <w14:schemeClr w14:val="tx1"/>
                        </w14:solidFill>
                      </w14:textFill>
                    </w:rPr>
                    <w:t>黑色</w:t>
                  </w:r>
                </w:p>
              </w:tc>
              <w:tc>
                <w:tcPr>
                  <w:tcW w:w="1944" w:type="pct"/>
                  <w:tcBorders>
                    <w:tl2br w:val="nil"/>
                    <w:tr2bl w:val="nil"/>
                  </w:tcBorders>
                  <w:shd w:val="clear" w:color="auto" w:fill="auto"/>
                  <w:vAlign w:val="top"/>
                </w:tcPr>
                <w:p w14:paraId="70C6E42C">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textAlignment w:val="top"/>
                    <w:rPr>
                      <w:rFonts w:hint="default" w:ascii="Arial" w:hAnsi="Arial" w:cs="Arial"/>
                      <w:i w:val="0"/>
                      <w:iCs w:val="0"/>
                      <w:color w:val="000000" w:themeColor="text1"/>
                      <w:sz w:val="21"/>
                      <w:szCs w:val="21"/>
                      <w:highlight w:val="none"/>
                      <w:u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976120" cy="1255395"/>
                        <wp:effectExtent l="0" t="0" r="5080" b="1905"/>
                        <wp:docPr id="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
                                <pic:cNvPicPr>
                                  <a:picLocks noChangeAspect="1"/>
                                </pic:cNvPicPr>
                              </pic:nvPicPr>
                              <pic:blipFill>
                                <a:blip r:embed="rId43"/>
                                <a:stretch>
                                  <a:fillRect/>
                                </a:stretch>
                              </pic:blipFill>
                              <pic:spPr>
                                <a:xfrm>
                                  <a:off x="0" y="0"/>
                                  <a:ext cx="1976120" cy="1255395"/>
                                </a:xfrm>
                                <a:prstGeom prst="rect">
                                  <a:avLst/>
                                </a:prstGeom>
                                <a:noFill/>
                                <a:ln>
                                  <a:noFill/>
                                </a:ln>
                              </pic:spPr>
                            </pic:pic>
                          </a:graphicData>
                        </a:graphic>
                      </wp:inline>
                    </w:drawing>
                  </w:r>
                </w:p>
              </w:tc>
            </w:tr>
          </w:tbl>
          <w:p w14:paraId="5B1344B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p>
          <w:p w14:paraId="3B62523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经核实，厂区已建的危废暂存间满足以上相关管控要求，本次依托现有危废暂存间具有可行性。</w:t>
            </w:r>
          </w:p>
          <w:p w14:paraId="7B83ACD6">
            <w:pPr>
              <w:keepNext w:val="0"/>
              <w:keepLines w:val="0"/>
              <w:pageBreakBefore w:val="0"/>
              <w:widowControl w:val="0"/>
              <w:kinsoku/>
              <w:wordWrap/>
              <w:overflowPunct/>
              <w:topLinePunct w:val="0"/>
              <w:autoSpaceDE/>
              <w:autoSpaceDN/>
              <w:bidi w:val="0"/>
              <w:adjustRightInd w:val="0"/>
              <w:snapToGrid w:val="0"/>
              <w:textAlignment w:val="auto"/>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5、</w:t>
            </w:r>
            <w:r>
              <w:rPr>
                <w:rFonts w:hint="default"/>
                <w:b/>
                <w:bCs/>
                <w:color w:val="000000" w:themeColor="text1"/>
                <w:highlight w:val="none"/>
                <w:lang w:val="en-US" w:eastAsia="zh-CN"/>
                <w14:textFill>
                  <w14:solidFill>
                    <w14:schemeClr w14:val="tx1"/>
                  </w14:solidFill>
                </w14:textFill>
              </w:rPr>
              <w:t>土壤</w:t>
            </w:r>
          </w:p>
          <w:p w14:paraId="7D6E7AD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本项目可能污染土壤环境的污染物为污水池泄漏导致的废水下渗和废水漫流，本项目的污水处理</w:t>
            </w:r>
            <w:r>
              <w:rPr>
                <w:rFonts w:hint="eastAsia"/>
                <w:color w:val="000000" w:themeColor="text1"/>
                <w:highlight w:val="none"/>
                <w:lang w:val="en-US" w:eastAsia="zh-CN"/>
                <w14:textFill>
                  <w14:solidFill>
                    <w14:schemeClr w14:val="tx1"/>
                  </w14:solidFill>
                </w14:textFill>
              </w:rPr>
              <w:t>池体</w:t>
            </w:r>
            <w:r>
              <w:rPr>
                <w:rFonts w:hint="default"/>
                <w:color w:val="000000" w:themeColor="text1"/>
                <w:highlight w:val="none"/>
                <w:lang w:val="en-US" w:eastAsia="zh-CN"/>
                <w14:textFill>
                  <w14:solidFill>
                    <w14:schemeClr w14:val="tx1"/>
                  </w14:solidFill>
                </w14:textFill>
              </w:rPr>
              <w:t>等处理工艺构筑物均为钢筋混凝土结构，一般情况下不会发生泄漏污染环境，但在池体被腐蚀有裂隙的事故情形下，废水可能从池体漫流出来，从而对池体周围的土壤造成污染。</w:t>
            </w:r>
          </w:p>
          <w:p w14:paraId="0B38AB9A">
            <w:pPr>
              <w:pStyle w:val="20"/>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表4-</w:t>
            </w:r>
            <w:r>
              <w:rPr>
                <w:rFonts w:hint="eastAsia"/>
                <w:color w:val="000000" w:themeColor="text1"/>
                <w:highlight w:val="none"/>
                <w:lang w:val="en-US" w:eastAsia="zh-CN"/>
                <w14:textFill>
                  <w14:solidFill>
                    <w14:schemeClr w14:val="tx1"/>
                  </w14:solidFill>
                </w14:textFill>
              </w:rPr>
              <w:t xml:space="preserve">18 </w:t>
            </w:r>
            <w:r>
              <w:rPr>
                <w:rFonts w:hint="default"/>
                <w:color w:val="000000" w:themeColor="text1"/>
                <w:highlight w:val="none"/>
                <w:lang w:val="en-US" w:eastAsia="zh-CN"/>
                <w14:textFill>
                  <w14:solidFill>
                    <w14:schemeClr w14:val="tx1"/>
                  </w14:solidFill>
                </w14:textFill>
              </w:rPr>
              <w:t xml:space="preserve"> 项目土壤环境影响类型及影响途径表</w:t>
            </w:r>
          </w:p>
          <w:tbl>
            <w:tblPr>
              <w:tblStyle w:val="12"/>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371"/>
              <w:gridCol w:w="1011"/>
              <w:gridCol w:w="1102"/>
              <w:gridCol w:w="1140"/>
              <w:gridCol w:w="719"/>
              <w:gridCol w:w="866"/>
              <w:gridCol w:w="866"/>
              <w:gridCol w:w="710"/>
              <w:gridCol w:w="714"/>
            </w:tblGrid>
            <w:tr w14:paraId="72292E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807" w:type="pct"/>
                  <w:vMerge w:val="restart"/>
                  <w:tcBorders>
                    <w:tl2br w:val="nil"/>
                    <w:tr2bl w:val="nil"/>
                  </w:tcBorders>
                  <w:shd w:val="clear" w:color="auto" w:fill="auto"/>
                  <w:vAlign w:val="center"/>
                </w:tcPr>
                <w:p w14:paraId="4084800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不同时段</w:t>
                  </w:r>
                </w:p>
              </w:tc>
              <w:tc>
                <w:tcPr>
                  <w:tcW w:w="2337" w:type="pct"/>
                  <w:gridSpan w:val="4"/>
                  <w:tcBorders>
                    <w:tl2br w:val="nil"/>
                    <w:tr2bl w:val="nil"/>
                  </w:tcBorders>
                  <w:shd w:val="clear" w:color="auto" w:fill="auto"/>
                  <w:vAlign w:val="center"/>
                </w:tcPr>
                <w:p w14:paraId="280DA3D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污染影响型</w:t>
                  </w:r>
                </w:p>
              </w:tc>
              <w:tc>
                <w:tcPr>
                  <w:tcW w:w="1854" w:type="pct"/>
                  <w:gridSpan w:val="4"/>
                  <w:tcBorders>
                    <w:tl2br w:val="nil"/>
                    <w:tr2bl w:val="nil"/>
                  </w:tcBorders>
                  <w:shd w:val="clear" w:color="auto" w:fill="auto"/>
                  <w:vAlign w:val="center"/>
                </w:tcPr>
                <w:p w14:paraId="1BCBADF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生态影响型</w:t>
                  </w:r>
                </w:p>
              </w:tc>
            </w:tr>
            <w:tr w14:paraId="4A1916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807" w:type="pct"/>
                  <w:vMerge w:val="continue"/>
                  <w:tcBorders>
                    <w:tl2br w:val="nil"/>
                    <w:tr2bl w:val="nil"/>
                  </w:tcBorders>
                  <w:shd w:val="clear" w:color="auto" w:fill="auto"/>
                  <w:vAlign w:val="center"/>
                </w:tcPr>
                <w:p w14:paraId="1DD07D59">
                  <w:pPr>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宋体" w:hAnsi="宋体" w:eastAsia="宋体" w:cs="宋体"/>
                      <w:b w:val="0"/>
                      <w:bCs w:val="0"/>
                      <w:i w:val="0"/>
                      <w:iCs w:val="0"/>
                      <w:color w:val="000000" w:themeColor="text1"/>
                      <w:sz w:val="21"/>
                      <w:szCs w:val="21"/>
                      <w:highlight w:val="none"/>
                      <w:u w:val="none"/>
                      <w14:textFill>
                        <w14:solidFill>
                          <w14:schemeClr w14:val="tx1"/>
                        </w14:solidFill>
                      </w14:textFill>
                    </w:rPr>
                  </w:pPr>
                </w:p>
              </w:tc>
              <w:tc>
                <w:tcPr>
                  <w:tcW w:w="595" w:type="pct"/>
                  <w:tcBorders>
                    <w:tl2br w:val="nil"/>
                    <w:tr2bl w:val="nil"/>
                  </w:tcBorders>
                  <w:shd w:val="clear" w:color="auto" w:fill="auto"/>
                  <w:vAlign w:val="center"/>
                </w:tcPr>
                <w:p w14:paraId="0F47294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大气沉降</w:t>
                  </w:r>
                </w:p>
              </w:tc>
              <w:tc>
                <w:tcPr>
                  <w:tcW w:w="648" w:type="pct"/>
                  <w:tcBorders>
                    <w:tl2br w:val="nil"/>
                    <w:tr2bl w:val="nil"/>
                  </w:tcBorders>
                  <w:shd w:val="clear" w:color="auto" w:fill="auto"/>
                  <w:vAlign w:val="center"/>
                </w:tcPr>
                <w:p w14:paraId="4FAB0DC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地面漫流</w:t>
                  </w:r>
                </w:p>
              </w:tc>
              <w:tc>
                <w:tcPr>
                  <w:tcW w:w="671" w:type="pct"/>
                  <w:tcBorders>
                    <w:tl2br w:val="nil"/>
                    <w:tr2bl w:val="nil"/>
                  </w:tcBorders>
                  <w:shd w:val="clear" w:color="auto" w:fill="auto"/>
                  <w:vAlign w:val="center"/>
                </w:tcPr>
                <w:p w14:paraId="7750694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垂直渗入</w:t>
                  </w:r>
                </w:p>
              </w:tc>
              <w:tc>
                <w:tcPr>
                  <w:tcW w:w="422" w:type="pct"/>
                  <w:tcBorders>
                    <w:tl2br w:val="nil"/>
                    <w:tr2bl w:val="nil"/>
                  </w:tcBorders>
                  <w:shd w:val="clear" w:color="auto" w:fill="auto"/>
                  <w:vAlign w:val="center"/>
                </w:tcPr>
                <w:p w14:paraId="2D82201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其他</w:t>
                  </w:r>
                </w:p>
              </w:tc>
              <w:tc>
                <w:tcPr>
                  <w:tcW w:w="509" w:type="pct"/>
                  <w:tcBorders>
                    <w:tl2br w:val="nil"/>
                    <w:tr2bl w:val="nil"/>
                  </w:tcBorders>
                  <w:shd w:val="clear" w:color="auto" w:fill="auto"/>
                  <w:vAlign w:val="center"/>
                </w:tcPr>
                <w:p w14:paraId="175CDF3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盐化</w:t>
                  </w:r>
                </w:p>
              </w:tc>
              <w:tc>
                <w:tcPr>
                  <w:tcW w:w="509" w:type="pct"/>
                  <w:tcBorders>
                    <w:tl2br w:val="nil"/>
                    <w:tr2bl w:val="nil"/>
                  </w:tcBorders>
                  <w:shd w:val="clear" w:color="auto" w:fill="auto"/>
                  <w:vAlign w:val="center"/>
                </w:tcPr>
                <w:p w14:paraId="0DDF788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碱化</w:t>
                  </w:r>
                </w:p>
              </w:tc>
              <w:tc>
                <w:tcPr>
                  <w:tcW w:w="418" w:type="pct"/>
                  <w:tcBorders>
                    <w:tl2br w:val="nil"/>
                    <w:tr2bl w:val="nil"/>
                  </w:tcBorders>
                  <w:shd w:val="clear" w:color="auto" w:fill="auto"/>
                  <w:vAlign w:val="center"/>
                </w:tcPr>
                <w:p w14:paraId="7F1FDB9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酸化</w:t>
                  </w:r>
                </w:p>
              </w:tc>
              <w:tc>
                <w:tcPr>
                  <w:tcW w:w="417" w:type="pct"/>
                  <w:tcBorders>
                    <w:tl2br w:val="nil"/>
                    <w:tr2bl w:val="nil"/>
                  </w:tcBorders>
                  <w:shd w:val="clear" w:color="auto" w:fill="auto"/>
                  <w:vAlign w:val="center"/>
                </w:tcPr>
                <w:p w14:paraId="7EA7994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其他</w:t>
                  </w:r>
                </w:p>
              </w:tc>
            </w:tr>
            <w:tr w14:paraId="790D7A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807" w:type="pct"/>
                  <w:tcBorders>
                    <w:tl2br w:val="nil"/>
                    <w:tr2bl w:val="nil"/>
                  </w:tcBorders>
                  <w:shd w:val="clear" w:color="auto" w:fill="auto"/>
                  <w:vAlign w:val="center"/>
                </w:tcPr>
                <w:p w14:paraId="7A53C91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建设期</w:t>
                  </w:r>
                </w:p>
              </w:tc>
              <w:tc>
                <w:tcPr>
                  <w:tcW w:w="595" w:type="pct"/>
                  <w:tcBorders>
                    <w:tl2br w:val="nil"/>
                    <w:tr2bl w:val="nil"/>
                  </w:tcBorders>
                  <w:shd w:val="clear" w:color="auto" w:fill="auto"/>
                  <w:vAlign w:val="center"/>
                </w:tcPr>
                <w:p w14:paraId="604A7EE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c>
                <w:tcPr>
                  <w:tcW w:w="648" w:type="pct"/>
                  <w:tcBorders>
                    <w:tl2br w:val="nil"/>
                    <w:tr2bl w:val="nil"/>
                  </w:tcBorders>
                  <w:shd w:val="clear" w:color="auto" w:fill="auto"/>
                  <w:vAlign w:val="center"/>
                </w:tcPr>
                <w:p w14:paraId="04387C3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c>
                <w:tcPr>
                  <w:tcW w:w="671" w:type="pct"/>
                  <w:tcBorders>
                    <w:tl2br w:val="nil"/>
                    <w:tr2bl w:val="nil"/>
                  </w:tcBorders>
                  <w:shd w:val="clear" w:color="auto" w:fill="auto"/>
                  <w:vAlign w:val="center"/>
                </w:tcPr>
                <w:p w14:paraId="25A7C45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c>
                <w:tcPr>
                  <w:tcW w:w="422" w:type="pct"/>
                  <w:tcBorders>
                    <w:tl2br w:val="nil"/>
                    <w:tr2bl w:val="nil"/>
                  </w:tcBorders>
                  <w:shd w:val="clear" w:color="auto" w:fill="auto"/>
                  <w:vAlign w:val="center"/>
                </w:tcPr>
                <w:p w14:paraId="19FC0C4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c>
                <w:tcPr>
                  <w:tcW w:w="509" w:type="pct"/>
                  <w:tcBorders>
                    <w:tl2br w:val="nil"/>
                    <w:tr2bl w:val="nil"/>
                  </w:tcBorders>
                  <w:shd w:val="clear" w:color="auto" w:fill="auto"/>
                  <w:vAlign w:val="center"/>
                </w:tcPr>
                <w:p w14:paraId="48750C9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c>
                <w:tcPr>
                  <w:tcW w:w="509" w:type="pct"/>
                  <w:tcBorders>
                    <w:tl2br w:val="nil"/>
                    <w:tr2bl w:val="nil"/>
                  </w:tcBorders>
                  <w:shd w:val="clear" w:color="auto" w:fill="auto"/>
                  <w:vAlign w:val="center"/>
                </w:tcPr>
                <w:p w14:paraId="5719283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c>
                <w:tcPr>
                  <w:tcW w:w="418" w:type="pct"/>
                  <w:tcBorders>
                    <w:tl2br w:val="nil"/>
                    <w:tr2bl w:val="nil"/>
                  </w:tcBorders>
                  <w:shd w:val="clear" w:color="auto" w:fill="auto"/>
                  <w:vAlign w:val="center"/>
                </w:tcPr>
                <w:p w14:paraId="2CDB3B2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c>
                <w:tcPr>
                  <w:tcW w:w="417" w:type="pct"/>
                  <w:tcBorders>
                    <w:tl2br w:val="nil"/>
                    <w:tr2bl w:val="nil"/>
                  </w:tcBorders>
                  <w:shd w:val="clear" w:color="auto" w:fill="auto"/>
                  <w:vAlign w:val="center"/>
                </w:tcPr>
                <w:p w14:paraId="7C3BE44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r>
            <w:tr w14:paraId="22008C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807" w:type="pct"/>
                  <w:tcBorders>
                    <w:tl2br w:val="nil"/>
                    <w:tr2bl w:val="nil"/>
                  </w:tcBorders>
                  <w:shd w:val="clear" w:color="auto" w:fill="auto"/>
                  <w:vAlign w:val="center"/>
                </w:tcPr>
                <w:p w14:paraId="4AF861D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运营期</w:t>
                  </w:r>
                </w:p>
              </w:tc>
              <w:tc>
                <w:tcPr>
                  <w:tcW w:w="595" w:type="pct"/>
                  <w:tcBorders>
                    <w:tl2br w:val="nil"/>
                    <w:tr2bl w:val="nil"/>
                  </w:tcBorders>
                  <w:shd w:val="clear" w:color="auto" w:fill="auto"/>
                  <w:vAlign w:val="center"/>
                </w:tcPr>
                <w:p w14:paraId="02C477B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c>
                <w:tcPr>
                  <w:tcW w:w="648" w:type="pct"/>
                  <w:tcBorders>
                    <w:tl2br w:val="nil"/>
                    <w:tr2bl w:val="nil"/>
                  </w:tcBorders>
                  <w:shd w:val="clear" w:color="auto" w:fill="A6A6A6"/>
                  <w:vAlign w:val="center"/>
                </w:tcPr>
                <w:p w14:paraId="16E665E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c>
                <w:tcPr>
                  <w:tcW w:w="671" w:type="pct"/>
                  <w:tcBorders>
                    <w:tl2br w:val="nil"/>
                    <w:tr2bl w:val="nil"/>
                  </w:tcBorders>
                  <w:shd w:val="clear" w:color="auto" w:fill="A6A6A6"/>
                  <w:vAlign w:val="center"/>
                </w:tcPr>
                <w:p w14:paraId="41023A4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c>
                <w:tcPr>
                  <w:tcW w:w="422" w:type="pct"/>
                  <w:tcBorders>
                    <w:tl2br w:val="nil"/>
                    <w:tr2bl w:val="nil"/>
                  </w:tcBorders>
                  <w:shd w:val="clear" w:color="auto" w:fill="auto"/>
                  <w:vAlign w:val="center"/>
                </w:tcPr>
                <w:p w14:paraId="1D3B799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c>
                <w:tcPr>
                  <w:tcW w:w="509" w:type="pct"/>
                  <w:tcBorders>
                    <w:tl2br w:val="nil"/>
                    <w:tr2bl w:val="nil"/>
                  </w:tcBorders>
                  <w:shd w:val="clear" w:color="auto" w:fill="auto"/>
                  <w:vAlign w:val="center"/>
                </w:tcPr>
                <w:p w14:paraId="1170F39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c>
                <w:tcPr>
                  <w:tcW w:w="509" w:type="pct"/>
                  <w:tcBorders>
                    <w:tl2br w:val="nil"/>
                    <w:tr2bl w:val="nil"/>
                  </w:tcBorders>
                  <w:shd w:val="clear" w:color="auto" w:fill="auto"/>
                  <w:vAlign w:val="center"/>
                </w:tcPr>
                <w:p w14:paraId="7297927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c>
                <w:tcPr>
                  <w:tcW w:w="418" w:type="pct"/>
                  <w:tcBorders>
                    <w:tl2br w:val="nil"/>
                    <w:tr2bl w:val="nil"/>
                  </w:tcBorders>
                  <w:shd w:val="clear" w:color="auto" w:fill="auto"/>
                  <w:vAlign w:val="center"/>
                </w:tcPr>
                <w:p w14:paraId="190EB3F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c>
                <w:tcPr>
                  <w:tcW w:w="417" w:type="pct"/>
                  <w:tcBorders>
                    <w:tl2br w:val="nil"/>
                    <w:tr2bl w:val="nil"/>
                  </w:tcBorders>
                  <w:shd w:val="clear" w:color="auto" w:fill="auto"/>
                  <w:vAlign w:val="center"/>
                </w:tcPr>
                <w:p w14:paraId="1248D27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r>
            <w:tr w14:paraId="2A8173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807" w:type="pct"/>
                  <w:tcBorders>
                    <w:tl2br w:val="nil"/>
                    <w:tr2bl w:val="nil"/>
                  </w:tcBorders>
                  <w:shd w:val="clear" w:color="auto" w:fill="auto"/>
                  <w:vAlign w:val="center"/>
                </w:tcPr>
                <w:p w14:paraId="498FECA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服务期满后</w:t>
                  </w:r>
                </w:p>
              </w:tc>
              <w:tc>
                <w:tcPr>
                  <w:tcW w:w="595" w:type="pct"/>
                  <w:tcBorders>
                    <w:tl2br w:val="nil"/>
                    <w:tr2bl w:val="nil"/>
                  </w:tcBorders>
                  <w:shd w:val="clear" w:color="auto" w:fill="auto"/>
                  <w:vAlign w:val="center"/>
                </w:tcPr>
                <w:p w14:paraId="58EA3AC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c>
                <w:tcPr>
                  <w:tcW w:w="648" w:type="pct"/>
                  <w:tcBorders>
                    <w:tl2br w:val="nil"/>
                    <w:tr2bl w:val="nil"/>
                  </w:tcBorders>
                  <w:shd w:val="clear" w:color="auto" w:fill="auto"/>
                  <w:vAlign w:val="center"/>
                </w:tcPr>
                <w:p w14:paraId="5088B3E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c>
                <w:tcPr>
                  <w:tcW w:w="671" w:type="pct"/>
                  <w:tcBorders>
                    <w:tl2br w:val="nil"/>
                    <w:tr2bl w:val="nil"/>
                  </w:tcBorders>
                  <w:shd w:val="clear" w:color="auto" w:fill="auto"/>
                  <w:vAlign w:val="center"/>
                </w:tcPr>
                <w:p w14:paraId="30BC864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c>
                <w:tcPr>
                  <w:tcW w:w="422" w:type="pct"/>
                  <w:tcBorders>
                    <w:tl2br w:val="nil"/>
                    <w:tr2bl w:val="nil"/>
                  </w:tcBorders>
                  <w:shd w:val="clear" w:color="auto" w:fill="auto"/>
                  <w:vAlign w:val="center"/>
                </w:tcPr>
                <w:p w14:paraId="42A8444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c>
                <w:tcPr>
                  <w:tcW w:w="509" w:type="pct"/>
                  <w:tcBorders>
                    <w:tl2br w:val="nil"/>
                    <w:tr2bl w:val="nil"/>
                  </w:tcBorders>
                  <w:shd w:val="clear" w:color="auto" w:fill="auto"/>
                  <w:vAlign w:val="center"/>
                </w:tcPr>
                <w:p w14:paraId="0272995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c>
                <w:tcPr>
                  <w:tcW w:w="509" w:type="pct"/>
                  <w:tcBorders>
                    <w:tl2br w:val="nil"/>
                    <w:tr2bl w:val="nil"/>
                  </w:tcBorders>
                  <w:shd w:val="clear" w:color="auto" w:fill="auto"/>
                  <w:vAlign w:val="center"/>
                </w:tcPr>
                <w:p w14:paraId="03252B0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c>
                <w:tcPr>
                  <w:tcW w:w="418" w:type="pct"/>
                  <w:tcBorders>
                    <w:tl2br w:val="nil"/>
                    <w:tr2bl w:val="nil"/>
                  </w:tcBorders>
                  <w:shd w:val="clear" w:color="auto" w:fill="auto"/>
                  <w:vAlign w:val="center"/>
                </w:tcPr>
                <w:p w14:paraId="15F2650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c>
                <w:tcPr>
                  <w:tcW w:w="417" w:type="pct"/>
                  <w:tcBorders>
                    <w:tl2br w:val="nil"/>
                    <w:tr2bl w:val="nil"/>
                  </w:tcBorders>
                  <w:shd w:val="clear" w:color="auto" w:fill="auto"/>
                  <w:vAlign w:val="center"/>
                </w:tcPr>
                <w:p w14:paraId="1CE1BD8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w:t>
                  </w:r>
                </w:p>
              </w:tc>
            </w:tr>
            <w:tr w14:paraId="45184E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000" w:type="pct"/>
                  <w:gridSpan w:val="9"/>
                  <w:tcBorders>
                    <w:tl2br w:val="nil"/>
                    <w:tr2bl w:val="nil"/>
                  </w:tcBorders>
                  <w:shd w:val="clear" w:color="auto" w:fill="auto"/>
                  <w:vAlign w:val="center"/>
                </w:tcPr>
                <w:p w14:paraId="303AFDB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ascii="宋体" w:hAnsi="宋体" w:eastAsia="宋体" w:cs="宋体"/>
                      <w:b w:val="0"/>
                      <w:bCs w:val="0"/>
                      <w:i w:val="0"/>
                      <w:iCs w:val="0"/>
                      <w:color w:val="000000" w:themeColor="text1"/>
                      <w:sz w:val="21"/>
                      <w:szCs w:val="21"/>
                      <w:highlight w:val="none"/>
                      <w:u w:val="none"/>
                      <w14:textFill>
                        <w14:solidFill>
                          <w14:schemeClr w14:val="tx1"/>
                        </w14:solidFill>
                      </w14:textFill>
                    </w:rPr>
                  </w:pPr>
                  <w:r>
                    <w:rPr>
                      <w:b w:val="0"/>
                      <w:bCs w:val="0"/>
                      <w:color w:val="000000" w:themeColor="text1"/>
                      <w:sz w:val="21"/>
                      <w:szCs w:val="21"/>
                      <w:highlight w:val="none"/>
                      <w:lang w:val="en-US" w:eastAsia="zh-CN" w:bidi="ar"/>
                      <w14:textFill>
                        <w14:solidFill>
                          <w14:schemeClr w14:val="tx1"/>
                        </w14:solidFill>
                      </w14:textFill>
                    </w:rPr>
                    <w:t>注：在可能产生的土壤环境影响类型处打“√”</w:t>
                  </w:r>
                  <w:r>
                    <w:rPr>
                      <w:rFonts w:hint="eastAsia"/>
                      <w:b w:val="0"/>
                      <w:bCs w:val="0"/>
                      <w:color w:val="000000" w:themeColor="text1"/>
                      <w:sz w:val="21"/>
                      <w:szCs w:val="21"/>
                      <w:highlight w:val="none"/>
                      <w:lang w:val="en-US" w:eastAsia="zh-CN" w:bidi="ar"/>
                      <w14:textFill>
                        <w14:solidFill>
                          <w14:schemeClr w14:val="tx1"/>
                        </w14:solidFill>
                      </w14:textFill>
                    </w:rPr>
                    <w:t>，</w:t>
                  </w:r>
                  <w:r>
                    <w:rPr>
                      <w:b w:val="0"/>
                      <w:bCs w:val="0"/>
                      <w:color w:val="000000" w:themeColor="text1"/>
                      <w:sz w:val="21"/>
                      <w:szCs w:val="21"/>
                      <w:highlight w:val="none"/>
                      <w:lang w:val="en-US" w:eastAsia="zh-CN" w:bidi="ar"/>
                      <w14:textFill>
                        <w14:solidFill>
                          <w14:schemeClr w14:val="tx1"/>
                        </w14:solidFill>
                      </w14:textFill>
                    </w:rPr>
                    <w:t>列表未涵盖的可自行设计</w:t>
                  </w:r>
                </w:p>
              </w:tc>
            </w:tr>
          </w:tbl>
          <w:p w14:paraId="081880D9">
            <w:pPr>
              <w:pStyle w:val="20"/>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表4-</w:t>
            </w:r>
            <w:r>
              <w:rPr>
                <w:rFonts w:hint="eastAsia"/>
                <w:color w:val="000000" w:themeColor="text1"/>
                <w:highlight w:val="none"/>
                <w:lang w:val="en-US" w:eastAsia="zh-CN"/>
                <w14:textFill>
                  <w14:solidFill>
                    <w14:schemeClr w14:val="tx1"/>
                  </w14:solidFill>
                </w14:textFill>
              </w:rPr>
              <w:t xml:space="preserve">19 </w:t>
            </w:r>
            <w:r>
              <w:rPr>
                <w:rFonts w:hint="default"/>
                <w:color w:val="000000" w:themeColor="text1"/>
                <w:highlight w:val="none"/>
                <w:lang w:val="en-US" w:eastAsia="zh-CN"/>
                <w14:textFill>
                  <w14:solidFill>
                    <w14:schemeClr w14:val="tx1"/>
                  </w14:solidFill>
                </w14:textFill>
              </w:rPr>
              <w:t xml:space="preserve"> 污染影响型建设项目土壤环境影响源及影响因子识别表</w:t>
            </w:r>
          </w:p>
          <w:tbl>
            <w:tblPr>
              <w:tblStyle w:val="12"/>
              <w:tblW w:w="4998" w:type="pct"/>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314"/>
              <w:gridCol w:w="1562"/>
              <w:gridCol w:w="1313"/>
              <w:gridCol w:w="1876"/>
              <w:gridCol w:w="1318"/>
              <w:gridCol w:w="1114"/>
            </w:tblGrid>
            <w:tr w14:paraId="761B42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773" w:type="pct"/>
                  <w:tcBorders>
                    <w:tl2br w:val="nil"/>
                    <w:tr2bl w:val="nil"/>
                  </w:tcBorders>
                  <w:shd w:val="clear" w:color="auto" w:fill="auto"/>
                  <w:vAlign w:val="center"/>
                </w:tcPr>
                <w:p w14:paraId="239E01B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污染源</w:t>
                  </w:r>
                </w:p>
              </w:tc>
              <w:tc>
                <w:tcPr>
                  <w:tcW w:w="918" w:type="pct"/>
                  <w:tcBorders>
                    <w:tl2br w:val="nil"/>
                    <w:tr2bl w:val="nil"/>
                  </w:tcBorders>
                  <w:shd w:val="clear" w:color="auto" w:fill="auto"/>
                  <w:vAlign w:val="center"/>
                </w:tcPr>
                <w:p w14:paraId="3FEF470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工艺流程/节点</w:t>
                  </w:r>
                </w:p>
              </w:tc>
              <w:tc>
                <w:tcPr>
                  <w:tcW w:w="772" w:type="pct"/>
                  <w:tcBorders>
                    <w:tl2br w:val="nil"/>
                    <w:tr2bl w:val="nil"/>
                  </w:tcBorders>
                  <w:shd w:val="clear" w:color="auto" w:fill="auto"/>
                  <w:vAlign w:val="center"/>
                </w:tcPr>
                <w:p w14:paraId="2136724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污染途径</w:t>
                  </w:r>
                </w:p>
              </w:tc>
              <w:tc>
                <w:tcPr>
                  <w:tcW w:w="1103" w:type="pct"/>
                  <w:tcBorders>
                    <w:tl2br w:val="nil"/>
                    <w:tr2bl w:val="nil"/>
                  </w:tcBorders>
                  <w:shd w:val="clear" w:color="auto" w:fill="auto"/>
                  <w:vAlign w:val="center"/>
                </w:tcPr>
                <w:p w14:paraId="51FA813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全部污染物指标</w:t>
                  </w:r>
                </w:p>
              </w:tc>
              <w:tc>
                <w:tcPr>
                  <w:tcW w:w="775" w:type="pct"/>
                  <w:tcBorders>
                    <w:tl2br w:val="nil"/>
                    <w:tr2bl w:val="nil"/>
                  </w:tcBorders>
                  <w:shd w:val="clear" w:color="auto" w:fill="auto"/>
                  <w:vAlign w:val="center"/>
                </w:tcPr>
                <w:p w14:paraId="5A6CD7B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特征因子</w:t>
                  </w:r>
                </w:p>
              </w:tc>
              <w:tc>
                <w:tcPr>
                  <w:tcW w:w="655" w:type="pct"/>
                  <w:tcBorders>
                    <w:tl2br w:val="nil"/>
                    <w:tr2bl w:val="nil"/>
                  </w:tcBorders>
                  <w:shd w:val="clear" w:color="auto" w:fill="auto"/>
                  <w:vAlign w:val="center"/>
                </w:tcPr>
                <w:p w14:paraId="6A80EB0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备注</w:t>
                  </w:r>
                </w:p>
              </w:tc>
            </w:tr>
            <w:tr w14:paraId="2703F9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773" w:type="pct"/>
                  <w:tcBorders>
                    <w:tl2br w:val="nil"/>
                    <w:tr2bl w:val="nil"/>
                  </w:tcBorders>
                  <w:shd w:val="clear" w:color="auto" w:fill="auto"/>
                  <w:vAlign w:val="center"/>
                </w:tcPr>
                <w:p w14:paraId="2E8D4FC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污水处理设施构筑物</w:t>
                  </w:r>
                </w:p>
              </w:tc>
              <w:tc>
                <w:tcPr>
                  <w:tcW w:w="918" w:type="pct"/>
                  <w:tcBorders>
                    <w:tl2br w:val="nil"/>
                    <w:tr2bl w:val="nil"/>
                  </w:tcBorders>
                  <w:shd w:val="clear" w:color="auto" w:fill="auto"/>
                  <w:vAlign w:val="center"/>
                </w:tcPr>
                <w:p w14:paraId="20B8076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池体有裂隙等事故情况时</w:t>
                  </w:r>
                </w:p>
              </w:tc>
              <w:tc>
                <w:tcPr>
                  <w:tcW w:w="772" w:type="pct"/>
                  <w:tcBorders>
                    <w:tl2br w:val="nil"/>
                    <w:tr2bl w:val="nil"/>
                  </w:tcBorders>
                  <w:shd w:val="clear" w:color="auto" w:fill="auto"/>
                  <w:vAlign w:val="center"/>
                </w:tcPr>
                <w:p w14:paraId="7B21982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地面漫流、垂直渗入</w:t>
                  </w:r>
                </w:p>
              </w:tc>
              <w:tc>
                <w:tcPr>
                  <w:tcW w:w="1103" w:type="pct"/>
                  <w:tcBorders>
                    <w:tl2br w:val="nil"/>
                    <w:tr2bl w:val="nil"/>
                  </w:tcBorders>
                  <w:shd w:val="clear" w:color="auto" w:fill="auto"/>
                  <w:vAlign w:val="center"/>
                </w:tcPr>
                <w:p w14:paraId="1C79CAE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CODcr、BOD</w:t>
                  </w: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₅</w:t>
                  </w: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、SS、氨氮、TP</w:t>
                  </w:r>
                </w:p>
              </w:tc>
              <w:tc>
                <w:tcPr>
                  <w:tcW w:w="775" w:type="pct"/>
                  <w:tcBorders>
                    <w:tl2br w:val="nil"/>
                    <w:tr2bl w:val="nil"/>
                  </w:tcBorders>
                  <w:shd w:val="clear" w:color="auto" w:fill="auto"/>
                  <w:vAlign w:val="center"/>
                </w:tcPr>
                <w:p w14:paraId="182CEA2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CODcr、氨氮、TP</w:t>
                  </w:r>
                </w:p>
              </w:tc>
              <w:tc>
                <w:tcPr>
                  <w:tcW w:w="655" w:type="pct"/>
                  <w:tcBorders>
                    <w:tl2br w:val="nil"/>
                    <w:tr2bl w:val="nil"/>
                  </w:tcBorders>
                  <w:shd w:val="clear" w:color="auto" w:fill="auto"/>
                  <w:vAlign w:val="center"/>
                </w:tcPr>
                <w:p w14:paraId="2144BC5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事故情况</w:t>
                  </w:r>
                </w:p>
              </w:tc>
            </w:tr>
          </w:tbl>
          <w:p w14:paraId="73ADB976">
            <w:pPr>
              <w:keepNext w:val="0"/>
              <w:keepLines w:val="0"/>
              <w:pageBreakBefore w:val="0"/>
              <w:widowControl w:val="0"/>
              <w:kinsoku/>
              <w:wordWrap/>
              <w:overflowPunct/>
              <w:topLinePunct w:val="0"/>
              <w:autoSpaceDE/>
              <w:autoSpaceDN/>
              <w:bidi w:val="0"/>
              <w:adjustRightInd w:val="0"/>
              <w:snapToGrid w:val="0"/>
              <w:textAlignment w:val="auto"/>
              <w:rPr>
                <w:rFonts w:hint="default"/>
                <w:color w:val="000000" w:themeColor="text1"/>
                <w:highlight w:val="none"/>
                <w:lang w:val="en-US" w:eastAsia="zh-CN"/>
                <w14:textFill>
                  <w14:solidFill>
                    <w14:schemeClr w14:val="tx1"/>
                  </w14:solidFill>
                </w14:textFill>
              </w:rPr>
            </w:pPr>
          </w:p>
          <w:p w14:paraId="71DA793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结合本项目设计进水水质情况，本项目废水进水污染物浓度较高，废水收集池、废水处理池若没有适当的防漏措施，其中的有害成分渗出后，很容易经过雨水淋溶、地表径流侵蚀而渗入土壤，使土壤结构和土质受到破坏，土壤中微生物生长受到毒素和抑制，栖息环境恶劣，微生物种群改变和减少，有机物在土壤中因与腐殖酸、富里酸等微酸物质产生螯合作用而大量累积，土壤质量下降，由于土壤污染和酸化</w:t>
            </w:r>
            <w:r>
              <w:rPr>
                <w:rFonts w:hint="eastAsia"/>
                <w:color w:val="000000" w:themeColor="text1"/>
                <w:highlight w:val="none"/>
                <w:lang w:val="en-US" w:eastAsia="zh-CN"/>
                <w14:textFill>
                  <w14:solidFill>
                    <w14:schemeClr w14:val="tx1"/>
                  </w14:solidFill>
                </w14:textFill>
              </w:rPr>
              <w:t>，从</w:t>
            </w:r>
            <w:r>
              <w:rPr>
                <w:rFonts w:hint="default"/>
                <w:color w:val="000000" w:themeColor="text1"/>
                <w:highlight w:val="none"/>
                <w:lang w:val="en-US" w:eastAsia="zh-CN"/>
                <w14:textFill>
                  <w14:solidFill>
                    <w14:schemeClr w14:val="tx1"/>
                  </w14:solidFill>
                </w14:textFill>
              </w:rPr>
              <w:t>而对地面树木、花草的生长发育造成不良影响；同时，这些水分经土壤渗入地下水，对地下水也造成污染。</w:t>
            </w:r>
          </w:p>
          <w:p w14:paraId="2124001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如下</w:t>
            </w:r>
            <w:r>
              <w:rPr>
                <w:rFonts w:hint="default"/>
                <w:color w:val="000000" w:themeColor="text1"/>
                <w:highlight w:val="none"/>
                <w:lang w:val="en-US" w:eastAsia="zh-CN"/>
                <w14:textFill>
                  <w14:solidFill>
                    <w14:schemeClr w14:val="tx1"/>
                  </w14:solidFill>
                </w14:textFill>
              </w:rPr>
              <w:t>防控措施</w:t>
            </w:r>
            <w:r>
              <w:rPr>
                <w:rFonts w:hint="eastAsia"/>
                <w:color w:val="000000" w:themeColor="text1"/>
                <w:highlight w:val="none"/>
                <w:lang w:val="en-US" w:eastAsia="zh-CN"/>
                <w14:textFill>
                  <w14:solidFill>
                    <w14:schemeClr w14:val="tx1"/>
                  </w14:solidFill>
                </w14:textFill>
              </w:rPr>
              <w:t>：</w:t>
            </w:r>
          </w:p>
          <w:p w14:paraId="06DCB2D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r>
              <w:rPr>
                <w:rFonts w:hint="default"/>
                <w:color w:val="000000" w:themeColor="text1"/>
                <w:highlight w:val="none"/>
                <w:lang w:val="en-US" w:eastAsia="zh-CN"/>
                <w14:textFill>
                  <w14:solidFill>
                    <w14:schemeClr w14:val="tx1"/>
                  </w14:solidFill>
                </w14:textFill>
              </w:rPr>
              <w:t>项目厂区内排水采用雨污分流制，正常工况下各建构筑物等运行状况良好，并采取严格的防渗、防溢流等措施，污水不会进入地下对土壤和地下水造成污染。</w:t>
            </w:r>
          </w:p>
          <w:p w14:paraId="5E6E893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r>
              <w:rPr>
                <w:rFonts w:hint="default"/>
                <w:color w:val="000000" w:themeColor="text1"/>
                <w:highlight w:val="none"/>
                <w:lang w:val="en-US" w:eastAsia="zh-CN"/>
                <w14:textFill>
                  <w14:solidFill>
                    <w14:schemeClr w14:val="tx1"/>
                  </w14:solidFill>
                </w14:textFill>
              </w:rPr>
              <w:t>项目涉及的化学品药剂包括聚合氯化铝（PAC）等。加药间采取防扬洒、防渗漏、防雨淋等措施，严格化学品的管理，正常工况下不会导致化学品进入地下污染土壤和地下水质。</w:t>
            </w:r>
          </w:p>
          <w:p w14:paraId="3D9D7CA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项目产生的固体废物主要是栅渣、污泥</w:t>
            </w:r>
            <w:r>
              <w:rPr>
                <w:rFonts w:hint="eastAsia"/>
                <w:color w:val="000000" w:themeColor="text1"/>
                <w:highlight w:val="none"/>
                <w:lang w:val="en-US" w:eastAsia="zh-CN"/>
                <w14:textFill>
                  <w14:solidFill>
                    <w14:schemeClr w14:val="tx1"/>
                  </w14:solidFill>
                </w14:textFill>
              </w:rPr>
              <w:t>等</w:t>
            </w:r>
            <w:r>
              <w:rPr>
                <w:rFonts w:hint="default"/>
                <w:color w:val="000000" w:themeColor="text1"/>
                <w:highlight w:val="none"/>
                <w:lang w:val="en-US" w:eastAsia="zh-CN"/>
                <w14:textFill>
                  <w14:solidFill>
                    <w14:schemeClr w14:val="tx1"/>
                  </w14:solidFill>
                </w14:textFill>
              </w:rPr>
              <w:t>。栅渣、污泥等固体废物的存放区采取严格的防雨、防渗措施，正常工况下不会对土壤和地下水产生污染。</w:t>
            </w:r>
          </w:p>
          <w:p w14:paraId="6CDB630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w:t>
            </w:r>
            <w:r>
              <w:rPr>
                <w:rFonts w:hint="default"/>
                <w:color w:val="000000" w:themeColor="text1"/>
                <w:highlight w:val="none"/>
                <w:lang w:val="en-US" w:eastAsia="zh-CN"/>
                <w14:textFill>
                  <w14:solidFill>
                    <w14:schemeClr w14:val="tx1"/>
                  </w14:solidFill>
                </w14:textFill>
              </w:rPr>
              <w:t>废水处理厂内接触原液的管道采</w:t>
            </w:r>
            <w:r>
              <w:rPr>
                <w:rFonts w:hint="eastAsia"/>
                <w:color w:val="000000" w:themeColor="text1"/>
                <w:highlight w:val="none"/>
                <w:lang w:val="en-US" w:eastAsia="zh-CN"/>
                <w14:textFill>
                  <w14:solidFill>
                    <w14:schemeClr w14:val="tx1"/>
                  </w14:solidFill>
                </w14:textFill>
              </w:rPr>
              <w:t>用</w:t>
            </w:r>
            <w:r>
              <w:rPr>
                <w:rFonts w:hint="default"/>
                <w:color w:val="000000" w:themeColor="text1"/>
                <w:highlight w:val="none"/>
                <w:lang w:val="en-US" w:eastAsia="zh-CN"/>
                <w14:textFill>
                  <w14:solidFill>
                    <w14:schemeClr w14:val="tx1"/>
                  </w14:solidFill>
                </w14:textFill>
              </w:rPr>
              <w:t>PVC管。所有管线均采取严格的防渗漏、防腐措施，正常工况下管线不会发生破损，不会导致污水渗入地下影响土壤和地下水环境质量。</w:t>
            </w:r>
          </w:p>
          <w:p w14:paraId="5A5FC4C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w:t>
            </w:r>
            <w:r>
              <w:rPr>
                <w:rFonts w:hint="default"/>
                <w:color w:val="000000" w:themeColor="text1"/>
                <w:highlight w:val="none"/>
                <w:lang w:val="en-US" w:eastAsia="zh-CN"/>
                <w14:textFill>
                  <w14:solidFill>
                    <w14:schemeClr w14:val="tx1"/>
                  </w14:solidFill>
                </w14:textFill>
              </w:rPr>
              <w:t>污水收集管网选用优质管材，根据不同的管径及施工情况，采用不同的管材以满足强度、硬度以及防渗等方面的要求，从而避免管网污水渗漏的风险。在施工阶段，施工单位应严格按照设计资料，对污水处理厂各构筑/建筑物所用的材质、建设高度、厚度、容积大小、防渗等级等要求施工，建设单位应聘请有资质的第三方作为工程监理，对工程施工材质、施工质量进行把关控制。避免因施工质量较差出现孔洞、砂眼、裂纹等现象发生废水泄漏。</w:t>
            </w:r>
          </w:p>
          <w:p w14:paraId="5F0FD93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运营期，运营单位应加强管理，确保污水处理厂运行正常。加强巡检，避免溢流、泄漏等现象发生。</w:t>
            </w:r>
          </w:p>
          <w:p w14:paraId="5255C022">
            <w:pPr>
              <w:keepNext w:val="0"/>
              <w:keepLines w:val="0"/>
              <w:pageBreakBefore w:val="0"/>
              <w:widowControl w:val="0"/>
              <w:kinsoku/>
              <w:wordWrap/>
              <w:overflowPunct/>
              <w:topLinePunct w:val="0"/>
              <w:autoSpaceDE/>
              <w:autoSpaceDN/>
              <w:bidi w:val="0"/>
              <w:adjustRightInd w:val="0"/>
              <w:snapToGrid w:val="0"/>
              <w:textAlignment w:val="auto"/>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6、地下水</w:t>
            </w:r>
          </w:p>
          <w:p w14:paraId="4C43ECD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项目区地质情况</w:t>
            </w:r>
          </w:p>
          <w:p w14:paraId="2FE16E3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评价区位于黄河冲积平原。区内沉积基底为侏罗系地层。在此基底之上沉积了第四系中更新统、上更新统以及全新统地层。现对评价区第四系地层由老到新进行介绍：</w:t>
            </w:r>
          </w:p>
          <w:p w14:paraId="0B03919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1）中更新统下段（Q</w:t>
            </w:r>
            <w:r>
              <w:rPr>
                <w:rFonts w:hint="eastAsia"/>
                <w:color w:val="000000" w:themeColor="text1"/>
                <w:highlight w:val="none"/>
                <w:vertAlign w:val="subscript"/>
                <w:lang w:val="en-US" w:eastAsia="zh-CN"/>
                <w14:textFill>
                  <w14:solidFill>
                    <w14:schemeClr w14:val="tx1"/>
                  </w14:solidFill>
                </w14:textFill>
              </w:rPr>
              <w:t>2</w:t>
            </w:r>
            <w:r>
              <w:rPr>
                <w:rFonts w:hint="eastAsia"/>
                <w:color w:val="000000" w:themeColor="text1"/>
                <w:highlight w:val="none"/>
                <w:vertAlign w:val="superscript"/>
                <w:lang w:val="en-US" w:eastAsia="zh-CN"/>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w:t>
            </w:r>
          </w:p>
          <w:p w14:paraId="2B3CED8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由一套山麓冲积洪积相为主向南渐变为湖沼相为主的物质组成，本区现有钻孔未揭穿该地层。岩性为黄褐色及灰色粘性土夹砂及砂砾石。在垂向上，由下而上大致可分为两段。下段主要由棕黄色粘性土夹薄层砂组成，该段因埋藏较深、砂层薄，供水价值不大；中段主要由细中砂夹粘土层组成，该层为承压水主要含水层。</w:t>
            </w:r>
          </w:p>
          <w:p w14:paraId="2316B0A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2）中更新统上段（Q</w:t>
            </w:r>
            <w:r>
              <w:rPr>
                <w:rFonts w:hint="eastAsia"/>
                <w:color w:val="000000" w:themeColor="text1"/>
                <w:highlight w:val="none"/>
                <w:vertAlign w:val="subscript"/>
                <w:lang w:val="en-US" w:eastAsia="zh-CN"/>
                <w14:textFill>
                  <w14:solidFill>
                    <w14:schemeClr w14:val="tx1"/>
                  </w14:solidFill>
                </w14:textFill>
              </w:rPr>
              <w:t>2</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p>
          <w:p w14:paraId="2A4F899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本段为一套静水湖相沉积物质，主要由具水平薄层理的灰绿色、灰黑色淤泥质粘性土组成。该层不含水，为区域稳定隔水层。</w:t>
            </w:r>
          </w:p>
          <w:p w14:paraId="5087216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3）上更新统至全新统（Q</w:t>
            </w:r>
            <w:r>
              <w:rPr>
                <w:rFonts w:hint="eastAsia"/>
                <w:color w:val="000000" w:themeColor="text1"/>
                <w:highlight w:val="none"/>
                <w:vertAlign w:val="sub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w:t>
            </w:r>
          </w:p>
          <w:p w14:paraId="72B964C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主要由洪积相砂砾石夹粘性土层、细中砂夹泥质粉砂组成，厚度向黄河逐渐变薄。</w:t>
            </w:r>
          </w:p>
          <w:p w14:paraId="24C12F9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4）全新统（Q</w:t>
            </w:r>
            <w:r>
              <w:rPr>
                <w:rFonts w:hint="eastAsia"/>
                <w:color w:val="000000" w:themeColor="text1"/>
                <w:highlight w:val="none"/>
                <w:vertAlign w:val="subscript"/>
                <w:lang w:val="en-US" w:eastAsia="zh-CN"/>
                <w14:textFill>
                  <w14:solidFill>
                    <w14:schemeClr w14:val="tx1"/>
                  </w14:solidFill>
                </w14:textFill>
              </w:rPr>
              <w:t>4</w:t>
            </w:r>
            <w:r>
              <w:rPr>
                <w:rFonts w:hint="eastAsia"/>
                <w:color w:val="000000" w:themeColor="text1"/>
                <w:highlight w:val="none"/>
                <w:lang w:val="en-US" w:eastAsia="zh-CN"/>
                <w14:textFill>
                  <w14:solidFill>
                    <w14:schemeClr w14:val="tx1"/>
                  </w14:solidFill>
                </w14:textFill>
              </w:rPr>
              <w:t>）</w:t>
            </w:r>
          </w:p>
          <w:p w14:paraId="4BC1356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上部为粉细砂层，下部为一套冲洪积细砂、中、粗砂以及砂砾石混合物，往南则过渡到细砂夹粘土层。</w:t>
            </w:r>
          </w:p>
          <w:p w14:paraId="59F7DBA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（2）评价区水文地质</w:t>
            </w:r>
          </w:p>
          <w:p w14:paraId="0194AA1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含水层类型及特征</w:t>
            </w:r>
          </w:p>
          <w:p w14:paraId="3ABFFAB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评价区位于黄河冲积平原。根据地下水赋存条件及水力学特征，将评价区地下水类型划分为第四系松散岩类孔隙潜水和第四系松散岩类孔隙承压水两种类型</w:t>
            </w:r>
            <w:r>
              <w:rPr>
                <w:rFonts w:hint="eastAsia"/>
                <w:color w:val="000000" w:themeColor="text1"/>
                <w:highlight w:val="none"/>
                <w:lang w:val="en-US" w:eastAsia="zh-CN"/>
                <w14:textFill>
                  <w14:solidFill>
                    <w14:schemeClr w14:val="tx1"/>
                  </w14:solidFill>
                </w14:textFill>
              </w:rPr>
              <w:t>。</w:t>
            </w:r>
          </w:p>
          <w:p w14:paraId="3C18636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（1）潜水含水层</w:t>
            </w:r>
          </w:p>
          <w:p w14:paraId="174079B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潜水含水层由上更新统至全新统（Q</w:t>
            </w:r>
            <w:r>
              <w:rPr>
                <w:rFonts w:hint="default"/>
                <w:color w:val="000000" w:themeColor="text1"/>
                <w:highlight w:val="none"/>
                <w:vertAlign w:val="subscript"/>
                <w:lang w:val="en-US" w:eastAsia="zh-CN"/>
                <w14:textFill>
                  <w14:solidFill>
                    <w14:schemeClr w14:val="tx1"/>
                  </w14:solidFill>
                </w14:textFill>
              </w:rPr>
              <w:t>3+4</w:t>
            </w:r>
            <w:r>
              <w:rPr>
                <w:rFonts w:hint="default"/>
                <w:color w:val="000000" w:themeColor="text1"/>
                <w:highlight w:val="none"/>
                <w:lang w:val="en-US" w:eastAsia="zh-CN"/>
                <w14:textFill>
                  <w14:solidFill>
                    <w14:schemeClr w14:val="tx1"/>
                  </w14:solidFill>
                </w14:textFill>
              </w:rPr>
              <w:t>）砂砾卵石及粗细砂组成，广泛分布于整个评价区，含水层岩性以细砂、中粗砂为主。含水层厚度由西部的70m递减至东部50m。水位埋深2</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10m，地下水富水性中等，单井涌水量（换算为8寸井管，5m降深）为100~1000m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/d。地下水化学类型为Cl-Ca•Mg、Cl•HCO</w:t>
            </w:r>
            <w:r>
              <w:rPr>
                <w:rFonts w:hint="default"/>
                <w:color w:val="000000" w:themeColor="text1"/>
                <w:highlight w:val="none"/>
                <w:vertAlign w:val="sub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-Na•Ca、Cl•HCO</w:t>
            </w:r>
            <w:r>
              <w:rPr>
                <w:rFonts w:hint="default"/>
                <w:color w:val="000000" w:themeColor="text1"/>
                <w:highlight w:val="none"/>
                <w:vertAlign w:val="sub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-Na、Cl•HCO</w:t>
            </w:r>
            <w:r>
              <w:rPr>
                <w:rFonts w:hint="default"/>
                <w:color w:val="000000" w:themeColor="text1"/>
                <w:highlight w:val="none"/>
                <w:vertAlign w:val="sub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-Ca•Na、Cl-Na型。矿化度0.625</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1.169g/L。</w:t>
            </w:r>
          </w:p>
          <w:p w14:paraId="4337929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（2）承压含水层</w:t>
            </w:r>
          </w:p>
          <w:p w14:paraId="7438AC3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承压含水层是由中更新统下组（Q</w:t>
            </w:r>
            <w:r>
              <w:rPr>
                <w:rFonts w:hint="default"/>
                <w:color w:val="000000" w:themeColor="text1"/>
                <w:highlight w:val="none"/>
                <w:vertAlign w:val="subscript"/>
                <w:lang w:val="en-US" w:eastAsia="zh-CN"/>
                <w14:textFill>
                  <w14:solidFill>
                    <w14:schemeClr w14:val="tx1"/>
                  </w14:solidFill>
                </w14:textFill>
              </w:rPr>
              <w:t>2</w:t>
            </w:r>
            <w:r>
              <w:rPr>
                <w:rFonts w:hint="default"/>
                <w:color w:val="000000" w:themeColor="text1"/>
                <w:highlight w:val="none"/>
                <w:vertAlign w:val="superscript"/>
                <w:lang w:val="en-US" w:eastAsia="zh-CN"/>
                <w14:textFill>
                  <w14:solidFill>
                    <w14:schemeClr w14:val="tx1"/>
                  </w14:solidFill>
                </w14:textFill>
              </w:rPr>
              <w:t>1</w:t>
            </w:r>
            <w:r>
              <w:rPr>
                <w:rFonts w:hint="default"/>
                <w:color w:val="000000" w:themeColor="text1"/>
                <w:highlight w:val="none"/>
                <w:lang w:val="en-US" w:eastAsia="zh-CN"/>
                <w14:textFill>
                  <w14:solidFill>
                    <w14:schemeClr w14:val="tx1"/>
                  </w14:solidFill>
                </w14:textFill>
              </w:rPr>
              <w:t>）中粗砂与砂砾石组成，埋藏于100～130m以下。隔水顶板为中更新统上组（Q</w:t>
            </w:r>
            <w:r>
              <w:rPr>
                <w:rFonts w:hint="default"/>
                <w:color w:val="000000" w:themeColor="text1"/>
                <w:highlight w:val="none"/>
                <w:vertAlign w:val="subscript"/>
                <w:lang w:val="en-US" w:eastAsia="zh-CN"/>
                <w14:textFill>
                  <w14:solidFill>
                    <w14:schemeClr w14:val="tx1"/>
                  </w14:solidFill>
                </w14:textFill>
              </w:rPr>
              <w:t>2</w:t>
            </w:r>
            <w:r>
              <w:rPr>
                <w:rFonts w:hint="default"/>
                <w:color w:val="000000" w:themeColor="text1"/>
                <w:highlight w:val="none"/>
                <w:vertAlign w:val="superscript"/>
                <w:lang w:val="en-US" w:eastAsia="zh-CN"/>
                <w14:textFill>
                  <w14:solidFill>
                    <w14:schemeClr w14:val="tx1"/>
                  </w14:solidFill>
                </w14:textFill>
              </w:rPr>
              <w:t>2</w:t>
            </w:r>
            <w:r>
              <w:rPr>
                <w:rFonts w:hint="default"/>
                <w:color w:val="000000" w:themeColor="text1"/>
                <w:highlight w:val="none"/>
                <w:lang w:val="en-US" w:eastAsia="zh-CN"/>
                <w14:textFill>
                  <w14:solidFill>
                    <w14:schemeClr w14:val="tx1"/>
                  </w14:solidFill>
                </w14:textFill>
              </w:rPr>
              <w:t>）淤泥质砂粘土，厚度约为60m，隔水性能良好。含水层岩性为砂砾卵石变及细中砂，含水层富水性强，单井涌水量1000-2000m</w:t>
            </w:r>
            <w:r>
              <w:rPr>
                <w:rFonts w:hint="default"/>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/d。矿化度为1～3g/l，地下水化学类型为HCO</w:t>
            </w:r>
            <w:r>
              <w:rPr>
                <w:rFonts w:hint="default"/>
                <w:color w:val="000000" w:themeColor="text1"/>
                <w:highlight w:val="none"/>
                <w:vertAlign w:val="sub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-Na型。</w:t>
            </w:r>
          </w:p>
          <w:p w14:paraId="266BA58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r>
              <w:rPr>
                <w:rFonts w:hint="default"/>
                <w:color w:val="000000" w:themeColor="text1"/>
                <w:highlight w:val="none"/>
                <w:lang w:val="en-US" w:eastAsia="zh-CN"/>
                <w14:textFill>
                  <w14:solidFill>
                    <w14:schemeClr w14:val="tx1"/>
                  </w14:solidFill>
                </w14:textFill>
              </w:rPr>
              <w:t>地下水补、径、排条件</w:t>
            </w:r>
          </w:p>
          <w:p w14:paraId="7AED99C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评价区潜水含水层在南部断面上接受南部邻区潜水含水层的侧向径流补给，向北部径流，最后通过北部过水断面以侧向径流的方式排出区外。其次，评价区潜水含水层水位埋深一般小于5m，蒸发极为强烈，蒸发排泄也是区内地下水主要排泄途径之一。此外还有区内的人工开采排泄。</w:t>
            </w:r>
          </w:p>
          <w:p w14:paraId="33CC8AA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区内承压含水层由南部邻区含水层侧向径流补给，并由南向北径流，最终由北部边界以侧向径流的方式排出区外。此外，人工开采排泄也是区内承压含水层主要排泄途径之一。</w:t>
            </w:r>
          </w:p>
          <w:p w14:paraId="51C60E6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评价区内承压水和潜水之间有一层连续分布的厚度较大的泥质粘土层隔水层，隔水层将潜水和承压含水层两层含水层隔开，使得二者不存在水力联系，无越流补给和排泄关系。</w:t>
            </w:r>
          </w:p>
          <w:p w14:paraId="2EBBDDF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lang w:eastAsia="zh-CN"/>
                <w14:textFill>
                  <w14:solidFill>
                    <w14:schemeClr w14:val="tx1"/>
                  </w14:solidFill>
                </w14:textFill>
              </w:rPr>
              <w:t>）地下水污染途径及影响方式</w:t>
            </w:r>
          </w:p>
          <w:p w14:paraId="6D877D8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lang w:eastAsia="zh-CN"/>
                <w14:textFill>
                  <w14:solidFill>
                    <w14:schemeClr w14:val="tx1"/>
                  </w14:solidFill>
                </w14:textFill>
              </w:rPr>
              <w:t>污染途径</w:t>
            </w:r>
          </w:p>
          <w:p w14:paraId="3850362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污染物从污染源进入地下水所经过的路径称为地下水污染途径，地下水污染途径是多种多样的。根据工程所处区域的地质情况，改扩建项目可能对地下水造成污染的途径主要有：格栅、调节池、旋流沉砂池、</w:t>
            </w:r>
            <w:r>
              <w:rPr>
                <w:rFonts w:hint="eastAsia"/>
                <w:color w:val="000000" w:themeColor="text1"/>
                <w:highlight w:val="none"/>
                <w:lang w:val="en-US" w:eastAsia="zh-CN"/>
                <w14:textFill>
                  <w14:solidFill>
                    <w14:schemeClr w14:val="tx1"/>
                  </w14:solidFill>
                </w14:textFill>
              </w:rPr>
              <w:t>生化</w:t>
            </w:r>
            <w:r>
              <w:rPr>
                <w:rFonts w:hint="eastAsia"/>
                <w:color w:val="000000" w:themeColor="text1"/>
                <w:highlight w:val="none"/>
                <w:lang w:eastAsia="zh-CN"/>
                <w14:textFill>
                  <w14:solidFill>
                    <w14:schemeClr w14:val="tx1"/>
                  </w14:solidFill>
                </w14:textFill>
              </w:rPr>
              <w:t>反应池等污水下渗对地下水造成的污染。</w:t>
            </w:r>
          </w:p>
          <w:p w14:paraId="075CD88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）影响分析</w:t>
            </w:r>
          </w:p>
          <w:p w14:paraId="293C7FF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eastAsia="zh-CN"/>
                <w14:textFill>
                  <w14:solidFill>
                    <w14:schemeClr w14:val="tx1"/>
                  </w14:solidFill>
                </w14:textFill>
              </w:rPr>
              <w:t>①</w:t>
            </w:r>
            <w:r>
              <w:rPr>
                <w:rFonts w:hint="eastAsia"/>
                <w:color w:val="000000" w:themeColor="text1"/>
                <w:highlight w:val="none"/>
                <w:lang w:eastAsia="zh-CN"/>
                <w14:textFill>
                  <w14:solidFill>
                    <w14:schemeClr w14:val="tx1"/>
                  </w14:solidFill>
                </w14:textFill>
              </w:rPr>
              <w:t>对浅层地下水的污染影响</w:t>
            </w:r>
          </w:p>
          <w:p w14:paraId="2588730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正常情况下，对地下水的污染主要是由于污染物迁移穿过包气带进入含水层</w:t>
            </w:r>
            <w:r>
              <w:rPr>
                <w:rFonts w:hint="eastAsia"/>
                <w:color w:val="000000" w:themeColor="text1"/>
                <w:highlight w:val="none"/>
                <w:lang w:val="en-US" w:eastAsia="zh-CN"/>
                <w14:textFill>
                  <w14:solidFill>
                    <w14:schemeClr w14:val="tx1"/>
                  </w14:solidFill>
                </w14:textFill>
              </w:rPr>
              <w:t>引起</w:t>
            </w:r>
            <w:r>
              <w:rPr>
                <w:rFonts w:hint="eastAsia"/>
                <w:color w:val="000000" w:themeColor="text1"/>
                <w:highlight w:val="none"/>
                <w:lang w:eastAsia="zh-CN"/>
                <w14:textFill>
                  <w14:solidFill>
                    <w14:schemeClr w14:val="tx1"/>
                  </w14:solidFill>
                </w14:textFill>
              </w:rPr>
              <w:t>。项目场地为粉质粘土层，其渗透系数为</w:t>
            </w:r>
            <w:r>
              <w:rPr>
                <w:rFonts w:hint="eastAsia"/>
                <w:color w:val="000000" w:themeColor="text1"/>
                <w:highlight w:val="none"/>
                <w:lang w:val="en-US" w:eastAsia="zh-CN"/>
                <w14:textFill>
                  <w14:solidFill>
                    <w14:schemeClr w14:val="tx1"/>
                  </w14:solidFill>
                </w14:textFill>
              </w:rPr>
              <w:t>8.42</w:t>
            </w:r>
            <w:r>
              <w:rPr>
                <w:rFonts w:hint="eastAsia"/>
                <w:color w:val="000000" w:themeColor="text1"/>
                <w:highlight w:val="none"/>
                <w:lang w:eastAsia="zh-CN"/>
                <w14:textFill>
                  <w14:solidFill>
                    <w14:schemeClr w14:val="tx1"/>
                  </w14:solidFill>
                </w14:textFill>
              </w:rPr>
              <w:t>m/d，包气带防污性能为</w:t>
            </w:r>
            <w:r>
              <w:rPr>
                <w:rFonts w:hint="eastAsia"/>
                <w:color w:val="000000" w:themeColor="text1"/>
                <w:highlight w:val="none"/>
                <w:lang w:val="en-US" w:eastAsia="zh-CN"/>
                <w14:textFill>
                  <w14:solidFill>
                    <w14:schemeClr w14:val="tx1"/>
                  </w14:solidFill>
                </w14:textFill>
              </w:rPr>
              <w:t>弱</w:t>
            </w:r>
            <w:r>
              <w:rPr>
                <w:rFonts w:hint="eastAsia"/>
                <w:color w:val="000000" w:themeColor="text1"/>
                <w:highlight w:val="none"/>
                <w:lang w:eastAsia="zh-CN"/>
                <w14:textFill>
                  <w14:solidFill>
                    <w14:schemeClr w14:val="tx1"/>
                  </w14:solidFill>
                </w14:textFill>
              </w:rPr>
              <w:t>，说明浅层地下水说明浅层地下水易受地表污染物的垂向迁移影响。</w:t>
            </w:r>
          </w:p>
          <w:p w14:paraId="6A618AB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对深层地下水的污染影响</w:t>
            </w:r>
          </w:p>
          <w:p w14:paraId="4D57AC4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判断深层地下水是否会受到污染影响，通常分析深层地下水含水组上覆地层的防污性能和有无与浅层地下水的水利联系。通过水文地质条件分析，区内为分布比较稳定且厚度较大的粘土隔水层，所以垂直渗入补给条件较差，与浅层地下水水利联系不密切。因此，深层地下水受到项目下渗污水的污染影响可能性小。</w:t>
            </w:r>
          </w:p>
          <w:p w14:paraId="3CAFF32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地下水防渗原则</w:t>
            </w:r>
          </w:p>
          <w:p w14:paraId="5F1E2EC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地下水污染防治措施坚持“源头控制、末端防治、污染监控、应急响应相结合”的原则，即采取主动控制和被动控制相结合的措施。</w:t>
            </w:r>
          </w:p>
          <w:p w14:paraId="2AEF728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14:textFill>
                  <w14:solidFill>
                    <w14:schemeClr w14:val="tx1"/>
                  </w14:solidFill>
                </w14:textFill>
              </w:rPr>
              <w:t>主动控制，即从源头控制措施，主要包括在工艺、管道、设备、污水储存及处理构筑物采取相应措施，防止和降低污染物跑、冒、滴、漏，将污染物泄漏的环境风险事故降到最低程度；</w:t>
            </w:r>
          </w:p>
          <w:p w14:paraId="41A0AE7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14:textFill>
                  <w14:solidFill>
                    <w14:schemeClr w14:val="tx1"/>
                  </w14:solidFill>
                </w14:textFill>
              </w:rPr>
              <w:t>被动控制，即末端控制措施，主要包括厂内污染区地面的防渗措施和泄漏、渗漏污染物收集措施，即在污染区地面进行防渗处理，防止洒落地面的污染物渗入地下，并把滞留在地面的污染物收集起来，集中处理；</w:t>
            </w:r>
          </w:p>
          <w:p w14:paraId="5A27FB5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以重点装置区为主，一般生产区为辅；事故易发区为主，一般区为辅；</w:t>
            </w:r>
          </w:p>
          <w:p w14:paraId="41E1AF4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14:textFill>
                  <w14:solidFill>
                    <w14:schemeClr w14:val="tx1"/>
                  </w14:solidFill>
                </w14:textFill>
              </w:rPr>
              <w:t>实施覆盖生产区的地下水污染监控系统，包括建立完善的监测制度、配备先进的检测仪器和设备、科学、合理设置地下水污染监控井，及时发现污染、及时控制；</w:t>
            </w:r>
          </w:p>
          <w:p w14:paraId="41FEE7A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5）</w:t>
            </w:r>
            <w:r>
              <w:rPr>
                <w:rFonts w:hint="eastAsia"/>
                <w:color w:val="000000" w:themeColor="text1"/>
                <w:highlight w:val="none"/>
                <w14:textFill>
                  <w14:solidFill>
                    <w14:schemeClr w14:val="tx1"/>
                  </w14:solidFill>
                </w14:textFill>
              </w:rPr>
              <w:t>坚持“可视化”原则，输送含有污染物的管道尽可</w:t>
            </w:r>
            <w:r>
              <w:rPr>
                <w:rFonts w:hint="eastAsia"/>
                <w:color w:val="000000" w:themeColor="text1"/>
                <w:highlight w:val="none"/>
                <w:lang w:eastAsia="zh-CN"/>
                <w14:textFill>
                  <w14:solidFill>
                    <w14:schemeClr w14:val="tx1"/>
                  </w14:solidFill>
                </w14:textFill>
              </w:rPr>
              <w:t>能在</w:t>
            </w:r>
            <w:r>
              <w:rPr>
                <w:rFonts w:hint="eastAsia"/>
                <w:color w:val="000000" w:themeColor="text1"/>
                <w:highlight w:val="none"/>
                <w14:textFill>
                  <w14:solidFill>
                    <w14:schemeClr w14:val="tx1"/>
                  </w14:solidFill>
                </w14:textFill>
              </w:rPr>
              <w:t>地上敷设，减少由于埋地管道泄漏而造成的地下水污染。</w:t>
            </w:r>
          </w:p>
          <w:p w14:paraId="428C10E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地下水防渗措施</w:t>
            </w:r>
          </w:p>
          <w:p w14:paraId="6354EF7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结合</w:t>
            </w:r>
            <w:r>
              <w:rPr>
                <w:rFonts w:hint="eastAsia"/>
                <w:color w:val="000000" w:themeColor="text1"/>
                <w:highlight w:val="none"/>
                <w14:textFill>
                  <w14:solidFill>
                    <w14:schemeClr w14:val="tx1"/>
                  </w14:solidFill>
                </w14:textFill>
              </w:rPr>
              <w:t>本项目实际情况，将本次扩建设施划分为重点防渗区、一般防渗区和简单防渗区，划分区域如下：</w:t>
            </w:r>
          </w:p>
          <w:p w14:paraId="08A7453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重点防渗区域：新建厌氧缺氧池、MBR膜池及膜车间等；防渗技术要求为等效粘土防渗层Mb≥6.0m，防渗系数K≤1.0×10</w:t>
            </w:r>
            <w:r>
              <w:rPr>
                <w:rFonts w:hint="eastAsia"/>
                <w:color w:val="000000" w:themeColor="text1"/>
                <w:highlight w:val="none"/>
                <w:vertAlign w:val="superscript"/>
                <w:lang w:val="en-US" w:eastAsia="zh-CN"/>
                <w14:textFill>
                  <w14:solidFill>
                    <w14:schemeClr w14:val="tx1"/>
                  </w14:solidFill>
                </w14:textFill>
              </w:rPr>
              <w:t>-7</w:t>
            </w:r>
            <w:r>
              <w:rPr>
                <w:rFonts w:hint="eastAsia"/>
                <w:color w:val="000000" w:themeColor="text1"/>
                <w:highlight w:val="none"/>
                <w:lang w:val="en-US" w:eastAsia="zh-CN"/>
                <w14:textFill>
                  <w14:solidFill>
                    <w14:schemeClr w14:val="tx1"/>
                  </w14:solidFill>
                </w14:textFill>
              </w:rPr>
              <w:t>cm/s。</w:t>
            </w:r>
          </w:p>
          <w:p w14:paraId="17CADDE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一般防渗区：MBR膜车间</w:t>
            </w:r>
            <w:r>
              <w:rPr>
                <w:rFonts w:hint="eastAsia"/>
                <w:color w:val="000000" w:themeColor="text1"/>
                <w:highlight w:val="none"/>
                <w:lang w:val="en-US" w:eastAsia="zh-CN"/>
                <w14:textFill>
                  <w14:solidFill>
                    <w14:schemeClr w14:val="tx1"/>
                  </w14:solidFill>
                </w14:textFill>
              </w:rPr>
              <w:t>的设备间</w:t>
            </w:r>
            <w:r>
              <w:rPr>
                <w:rFonts w:hint="eastAsia"/>
                <w:color w:val="000000" w:themeColor="text1"/>
                <w:highlight w:val="none"/>
                <w14:textFill>
                  <w14:solidFill>
                    <w14:schemeClr w14:val="tx1"/>
                  </w14:solidFill>
                </w14:textFill>
              </w:rPr>
              <w:t>等。防渗技术要求为等效粘土防渗层Mb≥1.5m，防渗系数K≤1.0×10</w:t>
            </w:r>
            <w:r>
              <w:rPr>
                <w:rFonts w:hint="eastAsia"/>
                <w:color w:val="000000" w:themeColor="text1"/>
                <w:highlight w:val="none"/>
                <w:vertAlign w:val="superscript"/>
                <w14:textFill>
                  <w14:solidFill>
                    <w14:schemeClr w14:val="tx1"/>
                  </w14:solidFill>
                </w14:textFill>
              </w:rPr>
              <w:t>-7</w:t>
            </w:r>
            <w:r>
              <w:rPr>
                <w:rFonts w:hint="eastAsia"/>
                <w:color w:val="000000" w:themeColor="text1"/>
                <w:highlight w:val="none"/>
                <w14:textFill>
                  <w14:solidFill>
                    <w14:schemeClr w14:val="tx1"/>
                  </w14:solidFill>
                </w14:textFill>
              </w:rPr>
              <w:t>cm/s。</w:t>
            </w:r>
          </w:p>
          <w:p w14:paraId="7E39E57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简单防渗区：道路等。防渗技术要求为一般地面硬化。</w:t>
            </w:r>
          </w:p>
          <w:p w14:paraId="69D9198C">
            <w:pPr>
              <w:pStyle w:val="20"/>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表4-</w:t>
            </w:r>
            <w:r>
              <w:rPr>
                <w:rFonts w:hint="eastAsia"/>
                <w:color w:val="000000" w:themeColor="text1"/>
                <w:highlight w:val="none"/>
                <w:lang w:val="en-US" w:eastAsia="zh-CN"/>
                <w14:textFill>
                  <w14:solidFill>
                    <w14:schemeClr w14:val="tx1"/>
                  </w14:solidFill>
                </w14:textFill>
              </w:rPr>
              <w:t>20</w:t>
            </w:r>
            <w:r>
              <w:rPr>
                <w:rFonts w:hint="eastAsia"/>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项目防渗措施一览表</w:t>
            </w:r>
          </w:p>
          <w:tbl>
            <w:tblPr>
              <w:tblStyle w:val="12"/>
              <w:tblW w:w="4998" w:type="pct"/>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366"/>
              <w:gridCol w:w="4233"/>
              <w:gridCol w:w="2898"/>
            </w:tblGrid>
            <w:tr w14:paraId="1D2847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804" w:type="pct"/>
                  <w:tcBorders>
                    <w:tl2br w:val="nil"/>
                    <w:tr2bl w:val="nil"/>
                  </w:tcBorders>
                  <w:shd w:val="clear" w:color="auto" w:fill="auto"/>
                  <w:vAlign w:val="center"/>
                </w:tcPr>
                <w:p w14:paraId="4DF8CBC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防渗级别</w:t>
                  </w:r>
                </w:p>
              </w:tc>
              <w:tc>
                <w:tcPr>
                  <w:tcW w:w="2490" w:type="pct"/>
                  <w:tcBorders>
                    <w:tl2br w:val="nil"/>
                    <w:tr2bl w:val="nil"/>
                  </w:tcBorders>
                  <w:shd w:val="clear" w:color="auto" w:fill="auto"/>
                  <w:vAlign w:val="center"/>
                </w:tcPr>
                <w:p w14:paraId="69B87D4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构筑物</w:t>
                  </w:r>
                </w:p>
              </w:tc>
              <w:tc>
                <w:tcPr>
                  <w:tcW w:w="1704" w:type="pct"/>
                  <w:tcBorders>
                    <w:tl2br w:val="nil"/>
                    <w:tr2bl w:val="nil"/>
                  </w:tcBorders>
                  <w:shd w:val="clear" w:color="auto" w:fill="auto"/>
                  <w:vAlign w:val="center"/>
                </w:tcPr>
                <w:p w14:paraId="27981BA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防渗系数</w:t>
                  </w:r>
                </w:p>
              </w:tc>
            </w:tr>
            <w:tr w14:paraId="616C04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804" w:type="pct"/>
                  <w:tcBorders>
                    <w:tl2br w:val="nil"/>
                    <w:tr2bl w:val="nil"/>
                  </w:tcBorders>
                  <w:shd w:val="clear" w:color="auto" w:fill="auto"/>
                  <w:vAlign w:val="center"/>
                </w:tcPr>
                <w:p w14:paraId="49C0274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重点防渗区</w:t>
                  </w:r>
                </w:p>
              </w:tc>
              <w:tc>
                <w:tcPr>
                  <w:tcW w:w="2490" w:type="pct"/>
                  <w:tcBorders>
                    <w:tl2br w:val="nil"/>
                    <w:tr2bl w:val="nil"/>
                  </w:tcBorders>
                  <w:shd w:val="clear" w:color="auto" w:fill="auto"/>
                  <w:vAlign w:val="center"/>
                </w:tcPr>
                <w:p w14:paraId="6346295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新建厌氧缺氧池、MBR膜池及膜车间等</w:t>
                  </w:r>
                  <w:r>
                    <w:rPr>
                      <w:rFonts w:hint="eastAsia"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w:t>
                  </w:r>
                </w:p>
              </w:tc>
              <w:tc>
                <w:tcPr>
                  <w:tcW w:w="1704" w:type="pct"/>
                  <w:tcBorders>
                    <w:tl2br w:val="nil"/>
                    <w:tr2bl w:val="nil"/>
                  </w:tcBorders>
                  <w:shd w:val="clear" w:color="auto" w:fill="auto"/>
                  <w:vAlign w:val="center"/>
                </w:tcPr>
                <w:p w14:paraId="2518FA6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等效粘土防渗层Mb≥6.0m</w:t>
                  </w:r>
                  <w:r>
                    <w:rPr>
                      <w:rFonts w:hint="eastAsia"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防渗系数K≤1.0×10</w:t>
                  </w: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⁻⁷cm/s</w:t>
                  </w:r>
                </w:p>
              </w:tc>
            </w:tr>
            <w:tr w14:paraId="546850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804" w:type="pct"/>
                  <w:tcBorders>
                    <w:tl2br w:val="nil"/>
                    <w:tr2bl w:val="nil"/>
                  </w:tcBorders>
                  <w:shd w:val="clear" w:color="auto" w:fill="auto"/>
                  <w:vAlign w:val="center"/>
                </w:tcPr>
                <w:p w14:paraId="72C2A5D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一般防渗区</w:t>
                  </w:r>
                </w:p>
              </w:tc>
              <w:tc>
                <w:tcPr>
                  <w:tcW w:w="2490" w:type="pct"/>
                  <w:tcBorders>
                    <w:tl2br w:val="nil"/>
                    <w:tr2bl w:val="nil"/>
                  </w:tcBorders>
                  <w:shd w:val="clear" w:color="auto" w:fill="auto"/>
                  <w:vAlign w:val="center"/>
                </w:tcPr>
                <w:p w14:paraId="000F423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MBR膜车间的设备间</w:t>
                  </w:r>
                </w:p>
              </w:tc>
              <w:tc>
                <w:tcPr>
                  <w:tcW w:w="1704" w:type="pct"/>
                  <w:tcBorders>
                    <w:tl2br w:val="nil"/>
                    <w:tr2bl w:val="nil"/>
                  </w:tcBorders>
                  <w:shd w:val="clear" w:color="auto" w:fill="auto"/>
                  <w:vAlign w:val="center"/>
                </w:tcPr>
                <w:p w14:paraId="3C13B3B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等效粘土防渗层Mb≥1.5m</w:t>
                  </w:r>
                  <w:r>
                    <w:rPr>
                      <w:rFonts w:hint="eastAsia"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防渗系数K≤1.0×10-</w:t>
                  </w: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⁷cm/s</w:t>
                  </w:r>
                </w:p>
              </w:tc>
            </w:tr>
            <w:tr w14:paraId="120CAF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804" w:type="pct"/>
                  <w:tcBorders>
                    <w:tl2br w:val="nil"/>
                    <w:tr2bl w:val="nil"/>
                  </w:tcBorders>
                  <w:shd w:val="clear" w:color="auto" w:fill="auto"/>
                  <w:vAlign w:val="center"/>
                </w:tcPr>
                <w:p w14:paraId="2301795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简单防渗区</w:t>
                  </w:r>
                </w:p>
              </w:tc>
              <w:tc>
                <w:tcPr>
                  <w:tcW w:w="2490" w:type="pct"/>
                  <w:tcBorders>
                    <w:tl2br w:val="nil"/>
                    <w:tr2bl w:val="nil"/>
                  </w:tcBorders>
                  <w:shd w:val="clear" w:color="auto" w:fill="auto"/>
                  <w:vAlign w:val="center"/>
                </w:tcPr>
                <w:p w14:paraId="25129BB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lang w:val="en-US"/>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道路</w:t>
                  </w:r>
                  <w:r>
                    <w:rPr>
                      <w:rFonts w:hint="eastAsia"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等</w:t>
                  </w:r>
                </w:p>
              </w:tc>
              <w:tc>
                <w:tcPr>
                  <w:tcW w:w="1704" w:type="pct"/>
                  <w:tcBorders>
                    <w:tl2br w:val="nil"/>
                    <w:tr2bl w:val="nil"/>
                  </w:tcBorders>
                  <w:shd w:val="clear" w:color="auto" w:fill="auto"/>
                  <w:vAlign w:val="center"/>
                </w:tcPr>
                <w:p w14:paraId="21288CC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一般地面硬化</w:t>
                  </w:r>
                </w:p>
              </w:tc>
            </w:tr>
          </w:tbl>
          <w:p w14:paraId="62B53480">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14:textFill>
                  <w14:solidFill>
                    <w14:schemeClr w14:val="tx1"/>
                  </w14:solidFill>
                </w14:textFill>
              </w:rPr>
            </w:pPr>
          </w:p>
          <w:p w14:paraId="2DA4B04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5</w:t>
            </w:r>
            <w:r>
              <w:rPr>
                <w:rFonts w:hint="eastAsia"/>
                <w:color w:val="000000" w:themeColor="text1"/>
                <w:highlight w:val="none"/>
                <w14:textFill>
                  <w14:solidFill>
                    <w14:schemeClr w14:val="tx1"/>
                  </w14:solidFill>
                </w14:textFill>
              </w:rPr>
              <w:t>）地下水环境的影响评价结论</w:t>
            </w:r>
          </w:p>
          <w:p w14:paraId="50C868F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总体来说，本项目在新建厌氧缺氧池、MBR膜池及膜车间等区域做好污染防渗措施，运行期加强维护和管理情况下，污废水渗漏或泄漏穿过防渗层进入土壤并造成地下水污染的可能性较小，项目建设运营对地下水环境的影响是可控的，对地下水环境的影响从环保上来说是可接受的。</w:t>
            </w:r>
          </w:p>
          <w:p w14:paraId="04E8F72A">
            <w:pPr>
              <w:keepNext w:val="0"/>
              <w:keepLines w:val="0"/>
              <w:pageBreakBefore w:val="0"/>
              <w:widowControl w:val="0"/>
              <w:kinsoku/>
              <w:wordWrap/>
              <w:overflowPunct/>
              <w:topLinePunct w:val="0"/>
              <w:autoSpaceDE/>
              <w:autoSpaceDN/>
              <w:bidi w:val="0"/>
              <w:adjustRightInd w:val="0"/>
              <w:snapToGrid w:val="0"/>
              <w:textAlignment w:val="auto"/>
              <w:rPr>
                <w:rFonts w:hint="eastAsia"/>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7</w:t>
            </w:r>
            <w:r>
              <w:rPr>
                <w:rFonts w:hint="eastAsia"/>
                <w:b/>
                <w:bCs/>
                <w:color w:val="000000" w:themeColor="text1"/>
                <w:highlight w:val="none"/>
                <w14:textFill>
                  <w14:solidFill>
                    <w14:schemeClr w14:val="tx1"/>
                  </w14:solidFill>
                </w14:textFill>
              </w:rPr>
              <w:t>、环境风险</w:t>
            </w:r>
          </w:p>
          <w:p w14:paraId="7CF8C8C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1、危险物质识别</w:t>
            </w:r>
          </w:p>
          <w:p w14:paraId="1A140E6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本项目生产过程中需用到PAC、次氯酸钠等化学药品等，结合《建设项目环境风险评价技术导则》（HJ169-2018）分析可知，项目所使用的PAC等均不属于附录B中的风险物质。按照B.2其他危险物质临界量计算方法，其临界量按表B.2其他危险物质临界量推荐值选取，本项目</w:t>
            </w:r>
            <w:r>
              <w:rPr>
                <w:rFonts w:hint="eastAsia"/>
                <w:color w:val="000000" w:themeColor="text1"/>
                <w:highlight w:val="none"/>
                <w:lang w:eastAsia="zh-CN"/>
                <w14:textFill>
                  <w14:solidFill>
                    <w14:schemeClr w14:val="tx1"/>
                  </w14:solidFill>
                </w14:textFill>
              </w:rPr>
              <w:t>涉及</w:t>
            </w:r>
            <w:r>
              <w:rPr>
                <w:rFonts w:hint="eastAsia"/>
                <w:color w:val="000000" w:themeColor="text1"/>
                <w:highlight w:val="none"/>
                <w14:textFill>
                  <w14:solidFill>
                    <w14:schemeClr w14:val="tx1"/>
                  </w14:solidFill>
                </w14:textFill>
              </w:rPr>
              <w:t>的化学</w:t>
            </w:r>
            <w:r>
              <w:rPr>
                <w:rFonts w:hint="eastAsia"/>
                <w:color w:val="000000" w:themeColor="text1"/>
                <w:highlight w:val="none"/>
                <w:lang w:eastAsia="zh-CN"/>
                <w14:textFill>
                  <w14:solidFill>
                    <w14:schemeClr w14:val="tx1"/>
                  </w14:solidFill>
                </w14:textFill>
              </w:rPr>
              <w:t>品对</w:t>
            </w:r>
            <w:r>
              <w:rPr>
                <w:rFonts w:hint="eastAsia"/>
                <w:color w:val="000000" w:themeColor="text1"/>
                <w:highlight w:val="none"/>
                <w14:textFill>
                  <w14:solidFill>
                    <w14:schemeClr w14:val="tx1"/>
                  </w14:solidFill>
                </w14:textFill>
              </w:rPr>
              <w:t>其健康危害急性毒性物质分类根据《化学品分类和标签规范-第18部分》GB30000.18）判定，其危害水环境物质，分类根据《化学品分类和标签规范-第28部分：对水生环境的危害》（GB30000.28）判定</w:t>
            </w:r>
            <w:r>
              <w:rPr>
                <w:rFonts w:hint="eastAsia"/>
                <w:color w:val="000000" w:themeColor="text1"/>
                <w:highlight w:val="none"/>
                <w:lang w:eastAsia="zh-CN"/>
                <w14:textFill>
                  <w14:solidFill>
                    <w14:schemeClr w14:val="tx1"/>
                  </w14:solidFill>
                </w14:textFill>
              </w:rPr>
              <w:t>。</w:t>
            </w:r>
          </w:p>
          <w:p w14:paraId="4BE7E6D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建设项目环境风险评价技术导则》（HJ169-2018）附录C，计算所涉及的每种危险物质在厂界内的最大存在量与其在附录B中的对应临界量的比值Q。在不同厂区的同一种物质，按其在厂界内的最大存在总量计算。</w:t>
            </w:r>
          </w:p>
          <w:p w14:paraId="0F81136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当只涉及一种危险物质时，计算该物质的总量与其临界量比值，即为Q；当存在多种危险物质时，则按式（1）计算物质总量与其临界量比值（Q）：</w:t>
            </w:r>
          </w:p>
          <w:p w14:paraId="2C3AF78D">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Q=q1/Q1+q2/Q2+…+qn/Qn</w:t>
            </w:r>
          </w:p>
          <w:p w14:paraId="266C474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式中：q1，q2，…，qn——每种危险物质的最大存在总量，t；</w:t>
            </w:r>
          </w:p>
          <w:p w14:paraId="1E44C523">
            <w:pPr>
              <w:keepNext w:val="0"/>
              <w:keepLines w:val="0"/>
              <w:pageBreakBefore w:val="0"/>
              <w:widowControl w:val="0"/>
              <w:kinsoku/>
              <w:wordWrap/>
              <w:overflowPunct/>
              <w:topLinePunct w:val="0"/>
              <w:autoSpaceDE/>
              <w:autoSpaceDN/>
              <w:bidi w:val="0"/>
              <w:adjustRightInd w:val="0"/>
              <w:snapToGrid w:val="0"/>
              <w:ind w:firstLine="1200" w:firstLineChars="5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Q1，Q2，…，Qn——与各危险化学品相对应的临界量，t。</w:t>
            </w:r>
          </w:p>
          <w:p w14:paraId="2F923BF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当Q＜1时，该项目环境风险潜势为Ⅰ。</w:t>
            </w:r>
          </w:p>
          <w:p w14:paraId="748A5D5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当Q≥1时，将Q值划分为：（1）1≤Q＜10；（2）10≤Q＜100；（3）Q≥100。</w:t>
            </w:r>
          </w:p>
          <w:p w14:paraId="423FE19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根据《建设项目环境风险评价技术导则》（HJ169-2018）本项目各种化学药品使用量及存储量情况见下表：</w:t>
            </w:r>
          </w:p>
          <w:p w14:paraId="5EE7689E">
            <w:pPr>
              <w:pStyle w:val="20"/>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表4-</w:t>
            </w:r>
            <w:r>
              <w:rPr>
                <w:rFonts w:hint="eastAsia"/>
                <w:color w:val="000000" w:themeColor="text1"/>
                <w:highlight w:val="none"/>
                <w:lang w:val="en-US" w:eastAsia="zh-CN"/>
                <w14:textFill>
                  <w14:solidFill>
                    <w14:schemeClr w14:val="tx1"/>
                  </w14:solidFill>
                </w14:textFill>
              </w:rPr>
              <w:t>21</w:t>
            </w:r>
            <w:r>
              <w:rPr>
                <w:rFonts w:hint="eastAsia"/>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建设项目Q值确定表</w:t>
            </w:r>
          </w:p>
          <w:tbl>
            <w:tblPr>
              <w:tblStyle w:val="12"/>
              <w:tblW w:w="4998" w:type="pct"/>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611"/>
              <w:gridCol w:w="1471"/>
              <w:gridCol w:w="1173"/>
              <w:gridCol w:w="1075"/>
              <w:gridCol w:w="1255"/>
              <w:gridCol w:w="1050"/>
              <w:gridCol w:w="1861"/>
            </w:tblGrid>
            <w:tr w14:paraId="348936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60" w:type="pct"/>
                  <w:tcBorders>
                    <w:tl2br w:val="nil"/>
                    <w:tr2bl w:val="nil"/>
                  </w:tcBorders>
                  <w:shd w:val="clear" w:color="auto" w:fill="auto"/>
                  <w:vAlign w:val="center"/>
                </w:tcPr>
                <w:p w14:paraId="36ADB94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序号</w:t>
                  </w:r>
                </w:p>
              </w:tc>
              <w:tc>
                <w:tcPr>
                  <w:tcW w:w="865" w:type="pct"/>
                  <w:tcBorders>
                    <w:tl2br w:val="nil"/>
                    <w:tr2bl w:val="nil"/>
                  </w:tcBorders>
                  <w:shd w:val="clear" w:color="auto" w:fill="auto"/>
                  <w:vAlign w:val="center"/>
                </w:tcPr>
                <w:p w14:paraId="33FC56A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名称</w:t>
                  </w:r>
                </w:p>
              </w:tc>
              <w:tc>
                <w:tcPr>
                  <w:tcW w:w="690" w:type="pct"/>
                  <w:tcBorders>
                    <w:tl2br w:val="nil"/>
                    <w:tr2bl w:val="nil"/>
                  </w:tcBorders>
                  <w:shd w:val="clear" w:color="auto" w:fill="auto"/>
                  <w:vAlign w:val="center"/>
                </w:tcPr>
                <w:p w14:paraId="32CD219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CAS号</w:t>
                  </w:r>
                </w:p>
              </w:tc>
              <w:tc>
                <w:tcPr>
                  <w:tcW w:w="633" w:type="pct"/>
                  <w:tcBorders>
                    <w:tl2br w:val="nil"/>
                    <w:tr2bl w:val="nil"/>
                  </w:tcBorders>
                  <w:shd w:val="clear" w:color="auto" w:fill="auto"/>
                  <w:vAlign w:val="center"/>
                </w:tcPr>
                <w:p w14:paraId="2121D3F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包装方式</w:t>
                  </w:r>
                </w:p>
              </w:tc>
              <w:tc>
                <w:tcPr>
                  <w:tcW w:w="738" w:type="pct"/>
                  <w:tcBorders>
                    <w:tl2br w:val="nil"/>
                    <w:tr2bl w:val="nil"/>
                  </w:tcBorders>
                  <w:shd w:val="clear" w:color="auto" w:fill="auto"/>
                  <w:vAlign w:val="center"/>
                </w:tcPr>
                <w:p w14:paraId="2A2D643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最大存储量</w:t>
                  </w:r>
                  <w:r>
                    <w:rPr>
                      <w:rFonts w:hint="eastAsia" w:cs="Times New Roman" w:eastAsiaTheme="minorEastAsia"/>
                      <w:color w:val="000000" w:themeColor="text1"/>
                      <w:sz w:val="21"/>
                      <w:szCs w:val="21"/>
                      <w:highlight w:val="none"/>
                      <w:lang w:val="en-US" w:eastAsia="zh-CN" w:bidi="ar"/>
                      <w14:textFill>
                        <w14:solidFill>
                          <w14:schemeClr w14:val="tx1"/>
                        </w14:solidFill>
                      </w14:textFill>
                    </w:rPr>
                    <w:t>（</w:t>
                  </w: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t</w:t>
                  </w:r>
                  <w:r>
                    <w:rPr>
                      <w:rFonts w:hint="eastAsia" w:cs="Times New Roman" w:eastAsiaTheme="minorEastAsia"/>
                      <w:color w:val="000000" w:themeColor="text1"/>
                      <w:sz w:val="21"/>
                      <w:szCs w:val="21"/>
                      <w:highlight w:val="none"/>
                      <w:lang w:val="en-US" w:eastAsia="zh-CN" w:bidi="ar"/>
                      <w14:textFill>
                        <w14:solidFill>
                          <w14:schemeClr w14:val="tx1"/>
                        </w14:solidFill>
                      </w14:textFill>
                    </w:rPr>
                    <w:t>）</w:t>
                  </w:r>
                </w:p>
              </w:tc>
              <w:tc>
                <w:tcPr>
                  <w:tcW w:w="616" w:type="pct"/>
                  <w:tcBorders>
                    <w:tl2br w:val="nil"/>
                    <w:tr2bl w:val="nil"/>
                  </w:tcBorders>
                  <w:shd w:val="clear" w:color="auto" w:fill="auto"/>
                  <w:vAlign w:val="center"/>
                </w:tcPr>
                <w:p w14:paraId="41D5F9F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临界值</w:t>
                  </w:r>
                  <w:r>
                    <w:rPr>
                      <w:rFonts w:hint="eastAsia" w:cs="Times New Roman" w:eastAsiaTheme="minorEastAsia"/>
                      <w:color w:val="000000" w:themeColor="text1"/>
                      <w:sz w:val="21"/>
                      <w:szCs w:val="21"/>
                      <w:highlight w:val="none"/>
                      <w:lang w:val="en-US" w:eastAsia="zh-CN" w:bidi="ar"/>
                      <w14:textFill>
                        <w14:solidFill>
                          <w14:schemeClr w14:val="tx1"/>
                        </w14:solidFill>
                      </w14:textFill>
                    </w:rPr>
                    <w:t>（</w:t>
                  </w: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t</w:t>
                  </w:r>
                  <w:r>
                    <w:rPr>
                      <w:rFonts w:hint="eastAsia" w:cs="Times New Roman" w:eastAsiaTheme="minorEastAsia"/>
                      <w:color w:val="000000" w:themeColor="text1"/>
                      <w:sz w:val="21"/>
                      <w:szCs w:val="21"/>
                      <w:highlight w:val="none"/>
                      <w:lang w:val="en-US" w:eastAsia="zh-CN" w:bidi="ar"/>
                      <w14:textFill>
                        <w14:solidFill>
                          <w14:schemeClr w14:val="tx1"/>
                        </w14:solidFill>
                      </w14:textFill>
                    </w:rPr>
                    <w:t>）</w:t>
                  </w:r>
                </w:p>
              </w:tc>
              <w:tc>
                <w:tcPr>
                  <w:tcW w:w="1095" w:type="pct"/>
                  <w:tcBorders>
                    <w:tl2br w:val="nil"/>
                    <w:tr2bl w:val="nil"/>
                  </w:tcBorders>
                  <w:shd w:val="clear" w:color="auto" w:fill="auto"/>
                  <w:vAlign w:val="center"/>
                </w:tcPr>
                <w:p w14:paraId="124A260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物质存在量与临界量的比值</w:t>
                  </w:r>
                </w:p>
              </w:tc>
            </w:tr>
            <w:tr w14:paraId="41D53F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60" w:type="pct"/>
                  <w:tcBorders>
                    <w:tl2br w:val="nil"/>
                    <w:tr2bl w:val="nil"/>
                  </w:tcBorders>
                  <w:shd w:val="clear" w:color="auto" w:fill="auto"/>
                  <w:vAlign w:val="center"/>
                </w:tcPr>
                <w:p w14:paraId="6CAEBEC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w:t>
                  </w:r>
                </w:p>
              </w:tc>
              <w:tc>
                <w:tcPr>
                  <w:tcW w:w="865" w:type="pct"/>
                  <w:tcBorders>
                    <w:tl2br w:val="nil"/>
                    <w:tr2bl w:val="nil"/>
                  </w:tcBorders>
                  <w:shd w:val="clear" w:color="auto" w:fill="auto"/>
                  <w:vAlign w:val="center"/>
                </w:tcPr>
                <w:p w14:paraId="42E84E2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10%PAC</w:t>
                  </w:r>
                </w:p>
              </w:tc>
              <w:tc>
                <w:tcPr>
                  <w:tcW w:w="690" w:type="pct"/>
                  <w:tcBorders>
                    <w:tl2br w:val="nil"/>
                    <w:tr2bl w:val="nil"/>
                  </w:tcBorders>
                  <w:shd w:val="clear" w:color="auto" w:fill="auto"/>
                  <w:vAlign w:val="center"/>
                </w:tcPr>
                <w:p w14:paraId="617A899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w:t>
                  </w:r>
                </w:p>
              </w:tc>
              <w:tc>
                <w:tcPr>
                  <w:tcW w:w="633" w:type="pct"/>
                  <w:tcBorders>
                    <w:tl2br w:val="nil"/>
                    <w:tr2bl w:val="nil"/>
                  </w:tcBorders>
                  <w:shd w:val="clear" w:color="auto" w:fill="auto"/>
                  <w:vAlign w:val="center"/>
                </w:tcPr>
                <w:p w14:paraId="48028E3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lang w:val="en-US"/>
                      <w14:textFill>
                        <w14:solidFill>
                          <w14:schemeClr w14:val="tx1"/>
                        </w14:solidFill>
                      </w14:textFill>
                    </w:rPr>
                  </w:pPr>
                  <w:r>
                    <w:rPr>
                      <w:rFonts w:hint="eastAsia" w:cs="Times New Roman" w:eastAsiaTheme="minorEastAsia"/>
                      <w:color w:val="000000" w:themeColor="text1"/>
                      <w:sz w:val="21"/>
                      <w:szCs w:val="21"/>
                      <w:highlight w:val="none"/>
                      <w:lang w:val="en-US" w:eastAsia="zh-CN" w:bidi="ar"/>
                      <w14:textFill>
                        <w14:solidFill>
                          <w14:schemeClr w14:val="tx1"/>
                        </w14:solidFill>
                      </w14:textFill>
                    </w:rPr>
                    <w:t>袋装</w:t>
                  </w:r>
                </w:p>
              </w:tc>
              <w:tc>
                <w:tcPr>
                  <w:tcW w:w="738" w:type="pct"/>
                  <w:tcBorders>
                    <w:tl2br w:val="nil"/>
                    <w:tr2bl w:val="nil"/>
                  </w:tcBorders>
                  <w:shd w:val="clear" w:color="auto" w:fill="auto"/>
                  <w:vAlign w:val="center"/>
                </w:tcPr>
                <w:p w14:paraId="1F82826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10</w:t>
                  </w:r>
                </w:p>
              </w:tc>
              <w:tc>
                <w:tcPr>
                  <w:tcW w:w="616" w:type="pct"/>
                  <w:tcBorders>
                    <w:tl2br w:val="nil"/>
                    <w:tr2bl w:val="nil"/>
                  </w:tcBorders>
                  <w:shd w:val="clear" w:color="auto" w:fill="auto"/>
                  <w:vAlign w:val="center"/>
                </w:tcPr>
                <w:p w14:paraId="036BCD1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100</w:t>
                  </w:r>
                </w:p>
              </w:tc>
              <w:tc>
                <w:tcPr>
                  <w:tcW w:w="1095" w:type="pct"/>
                  <w:tcBorders>
                    <w:tl2br w:val="nil"/>
                    <w:tr2bl w:val="nil"/>
                  </w:tcBorders>
                  <w:shd w:val="clear" w:color="auto" w:fill="auto"/>
                  <w:vAlign w:val="center"/>
                </w:tcPr>
                <w:p w14:paraId="7D1D5FA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0.10</w:t>
                  </w:r>
                </w:p>
              </w:tc>
            </w:tr>
            <w:tr w14:paraId="060AD2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60" w:type="pct"/>
                  <w:tcBorders>
                    <w:tl2br w:val="nil"/>
                    <w:tr2bl w:val="nil"/>
                  </w:tcBorders>
                  <w:shd w:val="clear" w:color="auto" w:fill="auto"/>
                  <w:vAlign w:val="center"/>
                </w:tcPr>
                <w:p w14:paraId="1039C5F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2</w:t>
                  </w:r>
                </w:p>
              </w:tc>
              <w:tc>
                <w:tcPr>
                  <w:tcW w:w="865" w:type="pct"/>
                  <w:tcBorders>
                    <w:tl2br w:val="nil"/>
                    <w:tr2bl w:val="nil"/>
                  </w:tcBorders>
                  <w:shd w:val="clear" w:color="auto" w:fill="auto"/>
                  <w:vAlign w:val="center"/>
                </w:tcPr>
                <w:p w14:paraId="0CB8499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10%乙酸钠</w:t>
                  </w:r>
                </w:p>
              </w:tc>
              <w:tc>
                <w:tcPr>
                  <w:tcW w:w="690" w:type="pct"/>
                  <w:tcBorders>
                    <w:tl2br w:val="nil"/>
                    <w:tr2bl w:val="nil"/>
                  </w:tcBorders>
                  <w:shd w:val="clear" w:color="auto" w:fill="auto"/>
                  <w:vAlign w:val="center"/>
                </w:tcPr>
                <w:p w14:paraId="629B8FCC">
                  <w:pPr>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cs="Times New Roman" w:eastAsiaTheme="minorEastAsia"/>
                      <w:i w:val="0"/>
                      <w:i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cs="Times New Roman" w:eastAsiaTheme="minorEastAsia"/>
                      <w:i w:val="0"/>
                      <w:iCs w:val="0"/>
                      <w:color w:val="000000" w:themeColor="text1"/>
                      <w:sz w:val="21"/>
                      <w:szCs w:val="21"/>
                      <w:highlight w:val="none"/>
                      <w:u w:val="none"/>
                      <w:lang w:val="en-US" w:eastAsia="zh-CN"/>
                      <w14:textFill>
                        <w14:solidFill>
                          <w14:schemeClr w14:val="tx1"/>
                        </w14:solidFill>
                      </w14:textFill>
                    </w:rPr>
                    <w:t>/</w:t>
                  </w:r>
                </w:p>
              </w:tc>
              <w:tc>
                <w:tcPr>
                  <w:tcW w:w="633" w:type="pct"/>
                  <w:tcBorders>
                    <w:tl2br w:val="nil"/>
                    <w:tr2bl w:val="nil"/>
                  </w:tcBorders>
                  <w:shd w:val="clear" w:color="auto" w:fill="auto"/>
                  <w:vAlign w:val="center"/>
                </w:tcPr>
                <w:p w14:paraId="42359EF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eastAsia" w:cs="Times New Roman" w:eastAsiaTheme="minorEastAsia"/>
                      <w:color w:val="000000" w:themeColor="text1"/>
                      <w:sz w:val="21"/>
                      <w:szCs w:val="21"/>
                      <w:highlight w:val="none"/>
                      <w:lang w:val="en-US" w:eastAsia="zh-CN" w:bidi="ar"/>
                      <w14:textFill>
                        <w14:solidFill>
                          <w14:schemeClr w14:val="tx1"/>
                        </w14:solidFill>
                      </w14:textFill>
                    </w:rPr>
                    <w:t>袋装</w:t>
                  </w:r>
                </w:p>
              </w:tc>
              <w:tc>
                <w:tcPr>
                  <w:tcW w:w="738" w:type="pct"/>
                  <w:tcBorders>
                    <w:tl2br w:val="nil"/>
                    <w:tr2bl w:val="nil"/>
                  </w:tcBorders>
                  <w:shd w:val="clear" w:color="auto" w:fill="auto"/>
                  <w:vAlign w:val="center"/>
                </w:tcPr>
                <w:p w14:paraId="52D5AFE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27</w:t>
                  </w:r>
                </w:p>
              </w:tc>
              <w:tc>
                <w:tcPr>
                  <w:tcW w:w="616" w:type="pct"/>
                  <w:tcBorders>
                    <w:tl2br w:val="nil"/>
                    <w:tr2bl w:val="nil"/>
                  </w:tcBorders>
                  <w:shd w:val="clear" w:color="auto" w:fill="auto"/>
                  <w:vAlign w:val="center"/>
                </w:tcPr>
                <w:p w14:paraId="2A8A957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100</w:t>
                  </w:r>
                </w:p>
              </w:tc>
              <w:tc>
                <w:tcPr>
                  <w:tcW w:w="1095" w:type="pct"/>
                  <w:tcBorders>
                    <w:tl2br w:val="nil"/>
                    <w:tr2bl w:val="nil"/>
                  </w:tcBorders>
                  <w:shd w:val="clear" w:color="auto" w:fill="auto"/>
                  <w:vAlign w:val="center"/>
                </w:tcPr>
                <w:p w14:paraId="7A4512E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0.27</w:t>
                  </w:r>
                </w:p>
              </w:tc>
            </w:tr>
            <w:tr w14:paraId="76B6E0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60" w:type="pct"/>
                  <w:tcBorders>
                    <w:tl2br w:val="nil"/>
                    <w:tr2bl w:val="nil"/>
                  </w:tcBorders>
                  <w:shd w:val="clear" w:color="auto" w:fill="auto"/>
                  <w:vAlign w:val="center"/>
                </w:tcPr>
                <w:p w14:paraId="5A762B6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3</w:t>
                  </w:r>
                </w:p>
              </w:tc>
              <w:tc>
                <w:tcPr>
                  <w:tcW w:w="865" w:type="pct"/>
                  <w:tcBorders>
                    <w:tl2br w:val="nil"/>
                    <w:tr2bl w:val="nil"/>
                  </w:tcBorders>
                  <w:shd w:val="clear" w:color="auto" w:fill="auto"/>
                  <w:vAlign w:val="center"/>
                </w:tcPr>
                <w:p w14:paraId="14AC0F8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次氯酸钠</w:t>
                  </w:r>
                </w:p>
              </w:tc>
              <w:tc>
                <w:tcPr>
                  <w:tcW w:w="690" w:type="pct"/>
                  <w:tcBorders>
                    <w:tl2br w:val="nil"/>
                    <w:tr2bl w:val="nil"/>
                  </w:tcBorders>
                  <w:shd w:val="clear" w:color="auto" w:fill="auto"/>
                  <w:vAlign w:val="center"/>
                </w:tcPr>
                <w:p w14:paraId="416AF08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7681-52-9</w:t>
                  </w:r>
                </w:p>
              </w:tc>
              <w:tc>
                <w:tcPr>
                  <w:tcW w:w="633" w:type="pct"/>
                  <w:tcBorders>
                    <w:tl2br w:val="nil"/>
                    <w:tr2bl w:val="nil"/>
                  </w:tcBorders>
                  <w:shd w:val="clear" w:color="auto" w:fill="auto"/>
                  <w:vAlign w:val="center"/>
                </w:tcPr>
                <w:p w14:paraId="676FC23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eastAsia" w:cs="Times New Roman" w:eastAsiaTheme="minorEastAsia"/>
                      <w:color w:val="000000" w:themeColor="text1"/>
                      <w:sz w:val="21"/>
                      <w:szCs w:val="21"/>
                      <w:highlight w:val="none"/>
                      <w:lang w:val="en-US" w:eastAsia="zh-CN" w:bidi="ar"/>
                      <w14:textFill>
                        <w14:solidFill>
                          <w14:schemeClr w14:val="tx1"/>
                        </w14:solidFill>
                      </w14:textFill>
                    </w:rPr>
                    <w:t>罐装</w:t>
                  </w:r>
                </w:p>
              </w:tc>
              <w:tc>
                <w:tcPr>
                  <w:tcW w:w="738" w:type="pct"/>
                  <w:tcBorders>
                    <w:tl2br w:val="nil"/>
                    <w:tr2bl w:val="nil"/>
                  </w:tcBorders>
                  <w:shd w:val="clear" w:color="auto" w:fill="auto"/>
                  <w:vAlign w:val="center"/>
                </w:tcPr>
                <w:p w14:paraId="3E093D9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1.5</w:t>
                  </w:r>
                </w:p>
              </w:tc>
              <w:tc>
                <w:tcPr>
                  <w:tcW w:w="616" w:type="pct"/>
                  <w:tcBorders>
                    <w:tl2br w:val="nil"/>
                    <w:tr2bl w:val="nil"/>
                  </w:tcBorders>
                  <w:shd w:val="clear" w:color="auto" w:fill="auto"/>
                  <w:vAlign w:val="center"/>
                </w:tcPr>
                <w:p w14:paraId="7762927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5</w:t>
                  </w:r>
                </w:p>
              </w:tc>
              <w:tc>
                <w:tcPr>
                  <w:tcW w:w="1095" w:type="pct"/>
                  <w:tcBorders>
                    <w:tl2br w:val="nil"/>
                    <w:tr2bl w:val="nil"/>
                  </w:tcBorders>
                  <w:shd w:val="clear" w:color="auto" w:fill="auto"/>
                  <w:vAlign w:val="center"/>
                </w:tcPr>
                <w:p w14:paraId="48BE64D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0.30</w:t>
                  </w:r>
                </w:p>
              </w:tc>
            </w:tr>
            <w:tr w14:paraId="6D40DA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60" w:type="pct"/>
                  <w:tcBorders>
                    <w:tl2br w:val="nil"/>
                    <w:tr2bl w:val="nil"/>
                  </w:tcBorders>
                  <w:shd w:val="clear" w:color="auto" w:fill="auto"/>
                  <w:vAlign w:val="center"/>
                </w:tcPr>
                <w:p w14:paraId="14EE05D0">
                  <w:pPr>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cs="Times New Roman" w:eastAsiaTheme="minorEastAsia"/>
                      <w:i w:val="0"/>
                      <w:iCs w:val="0"/>
                      <w:color w:val="000000" w:themeColor="text1"/>
                      <w:sz w:val="21"/>
                      <w:szCs w:val="21"/>
                      <w:highlight w:val="none"/>
                      <w:u w:val="none"/>
                      <w:lang w:val="en-US" w:eastAsia="zh-CN"/>
                      <w14:textFill>
                        <w14:solidFill>
                          <w14:schemeClr w14:val="tx1"/>
                        </w14:solidFill>
                      </w14:textFill>
                    </w:rPr>
                  </w:pPr>
                  <w:r>
                    <w:rPr>
                      <w:rFonts w:hint="eastAsia" w:cs="Times New Roman" w:eastAsiaTheme="minorEastAsia"/>
                      <w:i w:val="0"/>
                      <w:iCs w:val="0"/>
                      <w:color w:val="000000" w:themeColor="text1"/>
                      <w:sz w:val="21"/>
                      <w:szCs w:val="21"/>
                      <w:highlight w:val="none"/>
                      <w:u w:val="none"/>
                      <w:lang w:val="en-US" w:eastAsia="zh-CN"/>
                      <w14:textFill>
                        <w14:solidFill>
                          <w14:schemeClr w14:val="tx1"/>
                        </w14:solidFill>
                      </w14:textFill>
                    </w:rPr>
                    <w:t>4</w:t>
                  </w:r>
                </w:p>
              </w:tc>
              <w:tc>
                <w:tcPr>
                  <w:tcW w:w="865" w:type="pct"/>
                  <w:tcBorders>
                    <w:tl2br w:val="nil"/>
                    <w:tr2bl w:val="nil"/>
                  </w:tcBorders>
                  <w:shd w:val="clear" w:color="auto" w:fill="auto"/>
                  <w:vAlign w:val="center"/>
                </w:tcPr>
                <w:p w14:paraId="01074CF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盐酸</w:t>
                  </w:r>
                </w:p>
              </w:tc>
              <w:tc>
                <w:tcPr>
                  <w:tcW w:w="690" w:type="pct"/>
                  <w:tcBorders>
                    <w:tl2br w:val="nil"/>
                    <w:tr2bl w:val="nil"/>
                  </w:tcBorders>
                  <w:shd w:val="clear" w:color="auto" w:fill="auto"/>
                  <w:vAlign w:val="center"/>
                </w:tcPr>
                <w:p w14:paraId="0D578F0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7647-01-0</w:t>
                  </w:r>
                </w:p>
              </w:tc>
              <w:tc>
                <w:tcPr>
                  <w:tcW w:w="633" w:type="pct"/>
                  <w:tcBorders>
                    <w:tl2br w:val="nil"/>
                    <w:tr2bl w:val="nil"/>
                  </w:tcBorders>
                  <w:shd w:val="clear" w:color="auto" w:fill="auto"/>
                  <w:vAlign w:val="center"/>
                </w:tcPr>
                <w:p w14:paraId="540A27F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eastAsia"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罐装</w:t>
                  </w:r>
                </w:p>
              </w:tc>
              <w:tc>
                <w:tcPr>
                  <w:tcW w:w="738" w:type="pct"/>
                  <w:tcBorders>
                    <w:tl2br w:val="nil"/>
                    <w:tr2bl w:val="nil"/>
                  </w:tcBorders>
                  <w:shd w:val="clear" w:color="auto" w:fill="auto"/>
                  <w:vAlign w:val="center"/>
                </w:tcPr>
                <w:p w14:paraId="34F57B8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0.5</w:t>
                  </w:r>
                </w:p>
              </w:tc>
              <w:tc>
                <w:tcPr>
                  <w:tcW w:w="616" w:type="pct"/>
                  <w:tcBorders>
                    <w:tl2br w:val="nil"/>
                    <w:tr2bl w:val="nil"/>
                  </w:tcBorders>
                  <w:shd w:val="clear" w:color="auto" w:fill="auto"/>
                  <w:vAlign w:val="center"/>
                </w:tcPr>
                <w:p w14:paraId="2357C35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8</w:t>
                  </w:r>
                </w:p>
              </w:tc>
              <w:tc>
                <w:tcPr>
                  <w:tcW w:w="1095" w:type="pct"/>
                  <w:tcBorders>
                    <w:tl2br w:val="nil"/>
                    <w:tr2bl w:val="nil"/>
                  </w:tcBorders>
                  <w:shd w:val="clear" w:color="auto" w:fill="auto"/>
                  <w:vAlign w:val="center"/>
                </w:tcPr>
                <w:p w14:paraId="334CA1E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0.07</w:t>
                  </w:r>
                </w:p>
              </w:tc>
            </w:tr>
            <w:tr w14:paraId="039A2F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904" w:type="pct"/>
                  <w:gridSpan w:val="6"/>
                  <w:tcBorders>
                    <w:tl2br w:val="nil"/>
                    <w:tr2bl w:val="nil"/>
                  </w:tcBorders>
                  <w:shd w:val="clear" w:color="auto" w:fill="auto"/>
                  <w:vAlign w:val="center"/>
                </w:tcPr>
                <w:p w14:paraId="5BF1AF2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项目Q值</w:t>
                  </w:r>
                </w:p>
              </w:tc>
              <w:tc>
                <w:tcPr>
                  <w:tcW w:w="1095" w:type="pct"/>
                  <w:tcBorders>
                    <w:tl2br w:val="nil"/>
                    <w:tr2bl w:val="nil"/>
                  </w:tcBorders>
                  <w:shd w:val="clear" w:color="auto" w:fill="auto"/>
                  <w:vAlign w:val="center"/>
                </w:tcPr>
                <w:p w14:paraId="0C75DCC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lang w:val="en-US"/>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0.7</w:t>
                  </w:r>
                  <w:r>
                    <w:rPr>
                      <w:rFonts w:hint="eastAsia"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4</w:t>
                  </w:r>
                </w:p>
              </w:tc>
            </w:tr>
          </w:tbl>
          <w:p w14:paraId="021B29B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p>
          <w:p w14:paraId="127722F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经计算，本项目危险物质临界量Q值为</w:t>
            </w:r>
            <w:r>
              <w:rPr>
                <w:rFonts w:hint="eastAsia"/>
                <w:color w:val="000000" w:themeColor="text1"/>
                <w:highlight w:val="none"/>
                <w:lang w:val="en-US" w:eastAsia="zh-CN"/>
                <w14:textFill>
                  <w14:solidFill>
                    <w14:schemeClr w14:val="tx1"/>
                  </w14:solidFill>
                </w14:textFill>
              </w:rPr>
              <w:t>0.74</w:t>
            </w:r>
            <w:r>
              <w:rPr>
                <w:rFonts w:hint="eastAsia"/>
                <w:color w:val="000000" w:themeColor="text1"/>
                <w:highlight w:val="none"/>
                <w14:textFill>
                  <w14:solidFill>
                    <w14:schemeClr w14:val="tx1"/>
                  </w14:solidFill>
                </w14:textFill>
              </w:rPr>
              <w:t>，Q＜1，因此该项目环境风险潜势为I。根据《建设项目环境风险评价技术导则》（HJ169</w:t>
            </w:r>
            <w:r>
              <w:rPr>
                <w:rFonts w:hint="eastAsia"/>
                <w:color w:val="000000" w:themeColor="text1"/>
                <w:highlight w:val="none"/>
                <w:lang w:val="en-US" w:eastAsia="zh-CN"/>
                <w14:textFill>
                  <w14:solidFill>
                    <w14:schemeClr w14:val="tx1"/>
                  </w14:solidFill>
                </w14:textFill>
              </w:rPr>
              <w:t>-</w:t>
            </w:r>
            <w:r>
              <w:rPr>
                <w:rFonts w:hint="eastAsia"/>
                <w:color w:val="000000" w:themeColor="text1"/>
                <w:highlight w:val="none"/>
                <w14:textFill>
                  <w14:solidFill>
                    <w14:schemeClr w14:val="tx1"/>
                  </w14:solidFill>
                </w14:textFill>
              </w:rPr>
              <w:t>2018）环境风险潜势划分表，确定本项目环境风险评价等级为简单分析。</w:t>
            </w:r>
          </w:p>
          <w:p w14:paraId="56C6B3D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环境风险识别</w:t>
            </w:r>
          </w:p>
          <w:p w14:paraId="17DAE9E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14:textFill>
                  <w14:solidFill>
                    <w14:schemeClr w14:val="tx1"/>
                  </w14:solidFill>
                </w14:textFill>
              </w:rPr>
              <w:t>尾水事故排放</w:t>
            </w:r>
          </w:p>
          <w:p w14:paraId="39CBC9C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造成尾水事故排放的主要原因包括设备故障、污泥膨胀等。</w:t>
            </w:r>
          </w:p>
          <w:p w14:paraId="3F0D8B9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污水处理厂一旦出现机械故障或停电，会直接影响污水处理厂的正常运行，尤其是遇到机械故障或长时间停电不运转将造成生化池中微生物大批死亡。</w:t>
            </w:r>
          </w:p>
          <w:p w14:paraId="1079F7D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正常的活性污泥沉降性能很好，含水率一般在99%左右，当活性污泥变质时，污泥就不易沉淀，含水率上升，体积膨胀，澄清液减少，这就是污泥膨胀。根据国内外活性污泥系统调查结果，无论是普通活性污泥系统，还是生物脱氮除磷系统都会</w:t>
            </w:r>
            <w:r>
              <w:rPr>
                <w:rFonts w:hint="eastAsia"/>
                <w:color w:val="000000" w:themeColor="text1"/>
                <w:highlight w:val="none"/>
                <w:lang w:eastAsia="zh-CN"/>
                <w14:textFill>
                  <w14:solidFill>
                    <w14:schemeClr w14:val="tx1"/>
                  </w14:solidFill>
                </w14:textFill>
              </w:rPr>
              <w:t>发生</w:t>
            </w:r>
            <w:r>
              <w:rPr>
                <w:rFonts w:hint="eastAsia"/>
                <w:color w:val="000000" w:themeColor="text1"/>
                <w:highlight w:val="none"/>
                <w14:textFill>
                  <w14:solidFill>
                    <w14:schemeClr w14:val="tx1"/>
                  </w14:solidFill>
                </w14:textFill>
              </w:rPr>
              <w:t>污泥膨胀，污泥膨胀是自活性污泥法问世以来在运行管理上一直困扰人们的难题之一。污泥膨胀一般是由丝状菌和真菌引起的，其中由丝状菌过量繁殖引起的污泥膨胀最为常见。目前已知的近30种丝状菌中，与污泥膨胀问题密切相关的有十几种。有的丝状菌引起的污泥膨胀发展迅速，2～4d就可达到非常严重的结果，而且非常持久。当发生污泥膨胀时，会严重影响污水处理设施的处理效果，甚至完全失效时，尾水将严重超标排放。</w:t>
            </w:r>
          </w:p>
          <w:p w14:paraId="1BB9D15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14:textFill>
                  <w14:solidFill>
                    <w14:schemeClr w14:val="tx1"/>
                  </w14:solidFill>
                </w14:textFill>
              </w:rPr>
              <w:t>）污水处理系统维修风险分析</w:t>
            </w:r>
          </w:p>
          <w:p w14:paraId="1242652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在维护污水系统正常运行过程中也时有风险发生。由于污水系统事故风险具有突然性，会给维护系统的工作人员带来重大损害，严重的会危及生命。因污水管道的损坏，会产生泄漏溢流等情况；当污水泵房的格栅被杂物堵住而不及时清理，会影响污水的收集和排出。当污水系统的某一构筑物出现事故，必须立即予以排除，此时需操作工人进入管道和集水井内操作。因污水内含有各类污染物质，有些污染物以气体形式存在，如硫化氢等，若管道内操作人员遇上高浓度的有毒气体，则会造成操作人员的中毒、昏迷，直至丧失生命。</w:t>
            </w:r>
          </w:p>
          <w:p w14:paraId="1E7A366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）尾水管线破裂、断裂和堵塞引起的尾水泄漏风险</w:t>
            </w:r>
          </w:p>
          <w:p w14:paraId="3C085F0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管道破裂、断裂和堵塞原因主要有两个方面：一是自然因素，即地震、气候变化等；二是人为因素，即选材、施工、防腐、检修、操作以及管沟的回填土没有按规范要求进行以及后续建设项目施工损坏管道等。地震、气候变化等自然因素造成的事故不能避免，只能在事故发生后尽早发现及时补救，对于人为因素造成的事故是可以避免的，主要应在施工和运营期间严格管理，遵守有关规定，定期检查，规范操作，则各种人为因素造成事故发生</w:t>
            </w:r>
            <w:r>
              <w:rPr>
                <w:rFonts w:hint="eastAsia"/>
                <w:color w:val="000000" w:themeColor="text1"/>
                <w:highlight w:val="none"/>
                <w:lang w:eastAsia="zh-CN"/>
                <w14:textFill>
                  <w14:solidFill>
                    <w14:schemeClr w14:val="tx1"/>
                  </w14:solidFill>
                </w14:textFill>
              </w:rPr>
              <w:t>概率</w:t>
            </w:r>
            <w:r>
              <w:rPr>
                <w:rFonts w:hint="eastAsia"/>
                <w:color w:val="000000" w:themeColor="text1"/>
                <w:highlight w:val="none"/>
                <w14:textFill>
                  <w14:solidFill>
                    <w14:schemeClr w14:val="tx1"/>
                  </w14:solidFill>
                </w14:textFill>
              </w:rPr>
              <w:t>可以大大降低。</w:t>
            </w:r>
          </w:p>
          <w:p w14:paraId="7D97765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一般来讲，如管网堵塞严重，污水通过检查井外溢，流出地面造成道路积水及内涝，影响交通及公众安全，这种现象易于发现，只要及时向相关部门反映即可降低污染程度和范围。但如管网因破裂、断裂发生渗漏，造成污水下渗，污染地下水，这种现象不易被发现，一般只能通过定期检查发现。经类比调查，一般如管网破裂尾水可渗入地下水并逐渐扩散污染地下水，其规律是离破损区越近，时间越长，污染越重。泄漏污水进入地下后，一部分会受到土壤吸附以及生物降解等作用，滞留在土壤中，还有一部分会随着水体继续前进，最终到达地下水位，汇入地下水中。当其浓度值超过地下水质量标准时，就会污染地下水，成为地下水的主要污染物。</w:t>
            </w:r>
          </w:p>
          <w:p w14:paraId="4D3F13A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14:textFill>
                  <w14:solidFill>
                    <w14:schemeClr w14:val="tx1"/>
                  </w14:solidFill>
                </w14:textFill>
              </w:rPr>
              <w:t>消毒剂泄漏</w:t>
            </w:r>
          </w:p>
          <w:p w14:paraId="6AD8B55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项目消毒剂存放于加药间，若盛装消毒剂的容器破裂将会造成泄漏，或者员工在拿取过程中操作不当，也可能造成消毒剂的泄漏，泄漏地面将对地下水、土壤造成一定影响。</w:t>
            </w:r>
          </w:p>
          <w:p w14:paraId="07CC31E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5</w:t>
            </w:r>
            <w:r>
              <w:rPr>
                <w:rFonts w:hint="eastAsia"/>
                <w:color w:val="000000" w:themeColor="text1"/>
                <w:highlight w:val="none"/>
                <w14:textFill>
                  <w14:solidFill>
                    <w14:schemeClr w14:val="tx1"/>
                  </w14:solidFill>
                </w14:textFill>
              </w:rPr>
              <w:t>）地震对工程的风险影响</w:t>
            </w:r>
          </w:p>
          <w:p w14:paraId="3FEFC3E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地震是一种破坏性极大的自然灾害，波及的范围也很大，万一发生强震，必将造成很大破坏，致使构筑物破坏，污水将溢流附近地区及区域，造成严重的局部污染。本工程施工时对各建筑按照相应抗震设防要求进行施工，工程施工过程中加强监理，可有效避免</w:t>
            </w:r>
            <w:r>
              <w:rPr>
                <w:rFonts w:hint="eastAsia"/>
                <w:color w:val="000000" w:themeColor="text1"/>
                <w:highlight w:val="none"/>
                <w:lang w:eastAsia="zh-CN"/>
                <w14:textFill>
                  <w14:solidFill>
                    <w14:schemeClr w14:val="tx1"/>
                  </w14:solidFill>
                </w14:textFill>
              </w:rPr>
              <w:t>污水处理厂</w:t>
            </w:r>
            <w:r>
              <w:rPr>
                <w:rFonts w:hint="eastAsia"/>
                <w:color w:val="000000" w:themeColor="text1"/>
                <w:highlight w:val="none"/>
                <w14:textFill>
                  <w14:solidFill>
                    <w14:schemeClr w14:val="tx1"/>
                  </w14:solidFill>
                </w14:textFill>
              </w:rPr>
              <w:t>营运过程中地震对其破坏造成不良环境影响的风险。</w:t>
            </w:r>
          </w:p>
          <w:p w14:paraId="1E0DBE5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综上，项目运行过程中可能发生的环境</w:t>
            </w:r>
            <w:r>
              <w:rPr>
                <w:rFonts w:hint="eastAsia"/>
                <w:color w:val="000000" w:themeColor="text1"/>
                <w:highlight w:val="none"/>
                <w:lang w:eastAsia="zh-CN"/>
                <w14:textFill>
                  <w14:solidFill>
                    <w14:schemeClr w14:val="tx1"/>
                  </w14:solidFill>
                </w14:textFill>
              </w:rPr>
              <w:t>风险</w:t>
            </w:r>
            <w:r>
              <w:rPr>
                <w:rFonts w:hint="eastAsia"/>
                <w:color w:val="000000" w:themeColor="text1"/>
                <w:highlight w:val="none"/>
                <w14:textFill>
                  <w14:solidFill>
                    <w14:schemeClr w14:val="tx1"/>
                  </w14:solidFill>
                </w14:textFill>
              </w:rPr>
              <w:t>会对地下水和土壤等产生一定影响。</w:t>
            </w:r>
          </w:p>
          <w:p w14:paraId="3AB1695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环境风险管理及防范措施</w:t>
            </w:r>
          </w:p>
          <w:p w14:paraId="2A002B8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为使环境风险减少到最低限度，必须加强劳动、安全、卫生和环境的管理。可以从人、物、环境和管理四个方面寻找影响事故的原因，制定完备、有效的安全防范措施，尽可能降低本项目环境风险事故发生的概率，减少事故的损失和危害。</w:t>
            </w:r>
          </w:p>
          <w:p w14:paraId="1EC1010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1）事故防范措施</w:t>
            </w:r>
          </w:p>
          <w:p w14:paraId="03B1E0F1">
            <w:pPr>
              <w:keepNext w:val="0"/>
              <w:keepLines w:val="0"/>
              <w:pageBreakBefore w:val="0"/>
              <w:widowControl w:val="0"/>
              <w:kinsoku/>
              <w:wordWrap/>
              <w:overflowPunct/>
              <w:topLinePunct w:val="0"/>
              <w:autoSpaceDE/>
              <w:autoSpaceDN/>
              <w:bidi w:val="0"/>
              <w:adjustRightInd w:val="0"/>
              <w:snapToGrid w:val="0"/>
              <w:ind w:firstLine="482" w:firstLineChars="200"/>
              <w:textAlignment w:val="auto"/>
              <w:rPr>
                <w:rFonts w:hint="eastAsia"/>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设备故障风险防范措施</w:t>
            </w:r>
          </w:p>
          <w:p w14:paraId="3590131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根据风险分析，提出防止风险事故的措施对策。措施对策从技术措施对策和管理措施对策两个层面进行探索。</w:t>
            </w:r>
          </w:p>
          <w:p w14:paraId="671FB80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污水处理厂稳定运行与管网的维护关系密切。应十分重视管网的维护及管理，防止泥沙沉积堵塞而影响管道的过水能力。管道衔接应防止泄漏污染地下水和掏空地基，淤塞应及时疏浚，保证管道通畅，同时最大限度地收集生活污水。污水干管和支管设计中，选择适当充满度和最小设计流速，防止污泥沉积。</w:t>
            </w:r>
          </w:p>
          <w:p w14:paraId="6CFFD35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①</w:t>
            </w:r>
            <w:r>
              <w:rPr>
                <w:rFonts w:hint="eastAsia"/>
                <w:color w:val="000000" w:themeColor="text1"/>
                <w:highlight w:val="none"/>
                <w14:textFill>
                  <w14:solidFill>
                    <w14:schemeClr w14:val="tx1"/>
                  </w14:solidFill>
                </w14:textFill>
              </w:rPr>
              <w:t>污水管网应制定严格的维修制度，用户应严格执行国家、地方的有关排放标准。维修制度主要如下：</w:t>
            </w:r>
          </w:p>
          <w:p w14:paraId="1510889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a.</w:t>
            </w:r>
            <w:r>
              <w:rPr>
                <w:rFonts w:hint="eastAsia"/>
                <w:color w:val="000000" w:themeColor="text1"/>
                <w:highlight w:val="none"/>
                <w14:textFill>
                  <w14:solidFill>
                    <w14:schemeClr w14:val="tx1"/>
                  </w14:solidFill>
                </w14:textFill>
              </w:rPr>
              <w:t>操作运行人员严格按照操作规程进行设备的开、停车；</w:t>
            </w:r>
          </w:p>
          <w:p w14:paraId="25E1FDE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b.</w:t>
            </w:r>
            <w:r>
              <w:rPr>
                <w:rFonts w:hint="eastAsia"/>
                <w:color w:val="000000" w:themeColor="text1"/>
                <w:highlight w:val="none"/>
                <w14:textFill>
                  <w14:solidFill>
                    <w14:schemeClr w14:val="tx1"/>
                  </w14:solidFill>
                </w14:textFill>
              </w:rPr>
              <w:t>操作运行人员严格执行巡回检查制度，认真填写运行记录；</w:t>
            </w:r>
          </w:p>
          <w:p w14:paraId="5771DE5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c.</w:t>
            </w:r>
            <w:r>
              <w:rPr>
                <w:rFonts w:hint="eastAsia"/>
                <w:color w:val="000000" w:themeColor="text1"/>
                <w:highlight w:val="none"/>
                <w14:textFill>
                  <w14:solidFill>
                    <w14:schemeClr w14:val="tx1"/>
                  </w14:solidFill>
                </w14:textFill>
              </w:rPr>
              <w:t>维修人员认真做好设备润滑工作，做到“四定”（即定人、定点、定量、定时）；</w:t>
            </w:r>
          </w:p>
          <w:p w14:paraId="14C8B36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d.</w:t>
            </w:r>
            <w:r>
              <w:rPr>
                <w:rFonts w:hint="eastAsia"/>
                <w:color w:val="000000" w:themeColor="text1"/>
                <w:highlight w:val="none"/>
                <w14:textFill>
                  <w14:solidFill>
                    <w14:schemeClr w14:val="tx1"/>
                  </w14:solidFill>
                </w14:textFill>
              </w:rPr>
              <w:t>操作运行人员和维修人员应经常注意保持设备整洁，及时消除跑、冒、滴、漏，暂时不能消除的维修人员应</w:t>
            </w:r>
            <w:r>
              <w:rPr>
                <w:rFonts w:hint="eastAsia"/>
                <w:color w:val="000000" w:themeColor="text1"/>
                <w:highlight w:val="none"/>
                <w:lang w:eastAsia="zh-CN"/>
                <w14:textFill>
                  <w14:solidFill>
                    <w14:schemeClr w14:val="tx1"/>
                  </w14:solidFill>
                </w14:textFill>
              </w:rPr>
              <w:t>做好</w:t>
            </w:r>
            <w:r>
              <w:rPr>
                <w:rFonts w:hint="eastAsia"/>
                <w:color w:val="000000" w:themeColor="text1"/>
                <w:highlight w:val="none"/>
                <w14:textFill>
                  <w14:solidFill>
                    <w14:schemeClr w14:val="tx1"/>
                  </w14:solidFill>
                </w14:textFill>
              </w:rPr>
              <w:t>记录并挂牌，正常运行中，消除漏点后摘牌也应</w:t>
            </w:r>
            <w:r>
              <w:rPr>
                <w:rFonts w:hint="eastAsia"/>
                <w:color w:val="000000" w:themeColor="text1"/>
                <w:highlight w:val="none"/>
                <w:lang w:eastAsia="zh-CN"/>
                <w14:textFill>
                  <w14:solidFill>
                    <w14:schemeClr w14:val="tx1"/>
                  </w14:solidFill>
                </w14:textFill>
              </w:rPr>
              <w:t>做</w:t>
            </w:r>
            <w:r>
              <w:rPr>
                <w:rFonts w:hint="eastAsia"/>
                <w:color w:val="000000" w:themeColor="text1"/>
                <w:highlight w:val="none"/>
                <w14:textFill>
                  <w14:solidFill>
                    <w14:schemeClr w14:val="tx1"/>
                  </w14:solidFill>
                </w14:textFill>
              </w:rPr>
              <w:t>记录；</w:t>
            </w:r>
          </w:p>
          <w:p w14:paraId="630D69E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e.</w:t>
            </w:r>
            <w:r>
              <w:rPr>
                <w:rFonts w:hint="eastAsia"/>
                <w:color w:val="000000" w:themeColor="text1"/>
                <w:highlight w:val="none"/>
                <w14:textFill>
                  <w14:solidFill>
                    <w14:schemeClr w14:val="tx1"/>
                  </w14:solidFill>
                </w14:textFill>
              </w:rPr>
              <w:t>所有设备均应定期检查，注意防尘、防潮、防冻、防腐蚀；</w:t>
            </w:r>
          </w:p>
          <w:p w14:paraId="63941CB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f.</w:t>
            </w:r>
            <w:r>
              <w:rPr>
                <w:rFonts w:hint="eastAsia"/>
                <w:color w:val="000000" w:themeColor="text1"/>
                <w:highlight w:val="none"/>
                <w14:textFill>
                  <w14:solidFill>
                    <w14:schemeClr w14:val="tx1"/>
                  </w14:solidFill>
                </w14:textFill>
              </w:rPr>
              <w:t>操作人员发现设备异常应立即查找原因，及时汇报，在紧急情况下，应采取果断措施。不能排除的故障，不清楚故障原因，不能盲目开车。未处理的问题应认真记录，与接班人员</w:t>
            </w:r>
            <w:r>
              <w:rPr>
                <w:rFonts w:hint="eastAsia"/>
                <w:color w:val="000000" w:themeColor="text1"/>
                <w:highlight w:val="none"/>
                <w:lang w:eastAsia="zh-CN"/>
                <w14:textFill>
                  <w14:solidFill>
                    <w14:schemeClr w14:val="tx1"/>
                  </w14:solidFill>
                </w14:textFill>
              </w:rPr>
              <w:t>交代清楚</w:t>
            </w:r>
            <w:r>
              <w:rPr>
                <w:rFonts w:hint="eastAsia"/>
                <w:color w:val="000000" w:themeColor="text1"/>
                <w:highlight w:val="none"/>
                <w14:textFill>
                  <w14:solidFill>
                    <w14:schemeClr w14:val="tx1"/>
                  </w14:solidFill>
                </w14:textFill>
              </w:rPr>
              <w:t>；</w:t>
            </w:r>
          </w:p>
          <w:p w14:paraId="1AB4CE0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②</w:t>
            </w:r>
            <w:r>
              <w:rPr>
                <w:rFonts w:hint="eastAsia"/>
                <w:color w:val="000000" w:themeColor="text1"/>
                <w:highlight w:val="none"/>
                <w14:textFill>
                  <w14:solidFill>
                    <w14:schemeClr w14:val="tx1"/>
                  </w14:solidFill>
                </w14:textFill>
              </w:rPr>
              <w:t>污水处理厂采用双回路供电一用一备，水泵设计考虑备用，机械设备采用性能可靠优质产品。</w:t>
            </w:r>
          </w:p>
          <w:p w14:paraId="50BC2BA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③为使在事故状态下污水处理厂能够迅速恢复正常运行，应在主要水工建筑物容积上留有相应的缓冲能力，并配有相应设备（如回流泵、回流管道、阀门及仪表等）。</w:t>
            </w:r>
          </w:p>
          <w:p w14:paraId="26F07C9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④对污水处理厂各种机械电器、仪表等主要设备，必须选择质量优良、事故率低、便于维修的产品。关键设备应一备一用，易损部件要有备用件，在出现事故时能及时更换。</w:t>
            </w:r>
          </w:p>
          <w:p w14:paraId="46E56E9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⑤严格控制处理单元的水量、水质、停留时间、负荷强度等工艺参数，确保处理效果的稳定性。配备流量、水质自动分析监控仪器，定期取样监测。操作人员及时调整，使设备处于最佳工况。如发现不正常现象，必须立即采取预防措施。</w:t>
            </w:r>
          </w:p>
          <w:p w14:paraId="2A20C29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⑥考虑到污水的腐蚀性，淹没于水中的设备、部件所用材料须采用铬镍不锈钢或铸铁等耐腐蚀材料，平台以上部分可为铝合金或碳钢（镀锌或涂刷环氧漆）。</w:t>
            </w:r>
          </w:p>
          <w:p w14:paraId="33FEEED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⑦加强运行管理和进出水的监测工作，未经处理达标的污水严禁外排。</w:t>
            </w:r>
          </w:p>
          <w:p w14:paraId="04C572B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⑧加强事故苗头监控，定期巡检、调节、保养、维修，及时发现有可能引起事故的异常运行苗头，消除事故隐患。</w:t>
            </w:r>
          </w:p>
          <w:p w14:paraId="4CF0CA3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⑨建立由污水处理厂厂长负责制的环境管理机构，从上到下建立起环境目标责任制，规范各部门的运行管理。对工作人员进行必要的审查，组织操作人员进行上岗前的专业培训。组织专业技术人员提前进岗，参与污水处理厂施工、安装、调试和验收的全过程，为今后的正常运行管理奠定基础。</w:t>
            </w:r>
          </w:p>
          <w:p w14:paraId="25206B2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⑩主动接受和协助地方生态环境局和其他相关部门的监督和管理。鼓励公众参与对污水处理厂的监督，最大程度</w:t>
            </w:r>
            <w:r>
              <w:rPr>
                <w:rFonts w:hint="eastAsia" w:cs="Times New Roman" w:eastAsiaTheme="minorEastAsia"/>
                <w:color w:val="000000" w:themeColor="text1"/>
                <w:highlight w:val="none"/>
                <w:lang w:eastAsia="zh-CN"/>
                <w14:textFill>
                  <w14:solidFill>
                    <w14:schemeClr w14:val="tx1"/>
                  </w14:solidFill>
                </w14:textFill>
              </w:rPr>
              <w:t>减少</w:t>
            </w:r>
            <w:r>
              <w:rPr>
                <w:rFonts w:hint="default" w:ascii="Times New Roman" w:hAnsi="Times New Roman" w:cs="Times New Roman" w:eastAsiaTheme="minorEastAsia"/>
                <w:color w:val="000000" w:themeColor="text1"/>
                <w:highlight w:val="none"/>
                <w14:textFill>
                  <w14:solidFill>
                    <w14:schemeClr w14:val="tx1"/>
                  </w14:solidFill>
                </w14:textFill>
              </w:rPr>
              <w:t>事故排放的可能性。</w:t>
            </w:r>
          </w:p>
          <w:p w14:paraId="72DBB445">
            <w:pPr>
              <w:keepNext w:val="0"/>
              <w:keepLines w:val="0"/>
              <w:pageBreakBefore w:val="0"/>
              <w:widowControl w:val="0"/>
              <w:kinsoku/>
              <w:wordWrap/>
              <w:overflowPunct/>
              <w:topLinePunct w:val="0"/>
              <w:autoSpaceDE/>
              <w:autoSpaceDN/>
              <w:bidi w:val="0"/>
              <w:adjustRightInd w:val="0"/>
              <w:snapToGrid w:val="0"/>
              <w:ind w:firstLine="482" w:firstLineChars="200"/>
              <w:textAlignment w:val="auto"/>
              <w:rPr>
                <w:rFonts w:hint="eastAsia"/>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防火防爆对策措施</w:t>
            </w:r>
          </w:p>
          <w:p w14:paraId="2FFF2ED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①报警系统应安装在生产装置的控制室内，其质量、防爆性能必须达到国家标准；检测器和报警器等选用和安装必须符合国家的相关规定。</w:t>
            </w:r>
          </w:p>
          <w:p w14:paraId="0CD6A71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②易燃、易爆物质的生产厂房必须采取有效的通风换气措施。</w:t>
            </w:r>
          </w:p>
          <w:p w14:paraId="45731A1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③在爆炸和火灾危险场所应使用防爆电器和防爆照明器具，其选型符合《爆炸危险环境电力装置设计规范》（GB50058-2014）中的规定要求。</w:t>
            </w:r>
          </w:p>
          <w:p w14:paraId="2A59F4C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④对处理和输送可燃物料的、可能产生静电危险的设备和管道，均应采取静电接地和跨接措施。</w:t>
            </w:r>
          </w:p>
          <w:p w14:paraId="563BCAD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⑤定期或经常性地清扫电气设备，保持设备清洁。设备脏污或灰尘堆积既降低设备的绝缘又妨碍通风和冷却，严重时会引起火灾。</w:t>
            </w:r>
          </w:p>
          <w:p w14:paraId="7C81016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⑥变、配电室内不得堆放杂物。电力线不得直接与高温设备表面接触，或直接缠绕在高温管线等设备上。</w:t>
            </w:r>
          </w:p>
          <w:p w14:paraId="73E4ED2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⑦明敷绝缘导线要防止绝缘受损、老化引起危险，在使用过程中要经常检查、维护。</w:t>
            </w:r>
          </w:p>
          <w:p w14:paraId="64304B7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⑧车间布线时，导线与导线之间、导线的固定点之间，要保持合适的距离。</w:t>
            </w:r>
          </w:p>
          <w:p w14:paraId="57A3B17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⑨为防止机械损伤，绝缘导线穿过墙壁或可燃建筑构件时，应穿过砌在墙内的绝缘管，每根管宜只穿一根导线，绝缘管（瓷管）两端的出线口伸出墙面的距离宜不小于10mm。</w:t>
            </w:r>
          </w:p>
          <w:p w14:paraId="4D08308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⑩有条件时单位在设置室内电气线路时，宜尽量采用难燃电线和金属套管或阻燃塑料套管。</w:t>
            </w:r>
          </w:p>
          <w:p w14:paraId="281340D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⑪</w:t>
            </w:r>
            <w:r>
              <w:rPr>
                <w:rFonts w:hint="eastAsia" w:cs="Times New Roman" w:eastAsiaTheme="minorEastAsia"/>
                <w:color w:val="000000" w:themeColor="text1"/>
                <w:highlight w:val="none"/>
                <w:lang w:eastAsia="zh-CN"/>
                <w14:textFill>
                  <w14:solidFill>
                    <w14:schemeClr w14:val="tx1"/>
                  </w14:solidFill>
                </w14:textFill>
              </w:rPr>
              <w:t>室内外</w:t>
            </w:r>
            <w:r>
              <w:rPr>
                <w:rFonts w:hint="default" w:ascii="Times New Roman" w:hAnsi="Times New Roman" w:cs="Times New Roman" w:eastAsiaTheme="minorEastAsia"/>
                <w:color w:val="000000" w:themeColor="text1"/>
                <w:highlight w:val="none"/>
                <w14:textFill>
                  <w14:solidFill>
                    <w14:schemeClr w14:val="tx1"/>
                  </w14:solidFill>
                </w14:textFill>
              </w:rPr>
              <w:t>变配电装置都应有良好的防雷设施和保护接地或保护接零装置，电气设备必须保持清洁，防止油污灰尘导电引起短路。</w:t>
            </w:r>
          </w:p>
          <w:p w14:paraId="533EAD6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⑫防雷设计应满足《建筑物防雷设计规范》（GB50057-2010）。</w:t>
            </w:r>
          </w:p>
          <w:p w14:paraId="6BF57EF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⑬防雷接地设施安装完毕后，必须按规范要求对其进行测试，以检测其是否能满足规范规定的电阻值的要求。生产运行中，也应加强对防雷接地设施的定期检测。</w:t>
            </w:r>
          </w:p>
          <w:p w14:paraId="4C5D8708">
            <w:pPr>
              <w:keepNext w:val="0"/>
              <w:keepLines w:val="0"/>
              <w:pageBreakBefore w:val="0"/>
              <w:widowControl w:val="0"/>
              <w:kinsoku/>
              <w:wordWrap/>
              <w:overflowPunct/>
              <w:topLinePunct w:val="0"/>
              <w:autoSpaceDE/>
              <w:autoSpaceDN/>
              <w:bidi w:val="0"/>
              <w:adjustRightInd w:val="0"/>
              <w:snapToGrid w:val="0"/>
              <w:ind w:firstLine="482" w:firstLineChars="200"/>
              <w:textAlignment w:val="auto"/>
              <w:rPr>
                <w:rFonts w:hint="eastAsia"/>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污水事故排放的风险防范措施</w:t>
            </w:r>
          </w:p>
          <w:p w14:paraId="4788C4F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本项目事故排放主要由于停电或机械故障以及人为操作时</w:t>
            </w:r>
            <w:r>
              <w:rPr>
                <w:rFonts w:hint="eastAsia" w:cs="Times New Roman" w:eastAsiaTheme="minorEastAsia"/>
                <w:color w:val="000000" w:themeColor="text1"/>
                <w:highlight w:val="none"/>
                <w:lang w:eastAsia="zh-CN"/>
                <w14:textFill>
                  <w14:solidFill>
                    <w14:schemeClr w14:val="tx1"/>
                  </w14:solidFill>
                </w14:textFill>
              </w:rPr>
              <w:t>导致废水处理系统不能正常运行</w:t>
            </w:r>
            <w:r>
              <w:rPr>
                <w:rFonts w:hint="default" w:ascii="Times New Roman" w:hAnsi="Times New Roman" w:cs="Times New Roman" w:eastAsiaTheme="minorEastAsia"/>
                <w:color w:val="000000" w:themeColor="text1"/>
                <w:highlight w:val="none"/>
                <w14:textFill>
                  <w14:solidFill>
                    <w14:schemeClr w14:val="tx1"/>
                  </w14:solidFill>
                </w14:textFill>
              </w:rPr>
              <w:t>。</w:t>
            </w:r>
          </w:p>
          <w:p w14:paraId="4ABC6A9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①选用先进、成熟、可靠的工艺、设备以及行之有效的二次污染治理措施，确保出厂尾水稳定达标排放。</w:t>
            </w:r>
          </w:p>
          <w:p w14:paraId="4DF1E4B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②污水处理系统设置为并联的双系统，一开一备，确保处理系统连续、稳定运行；安装在线监测系统，加强出水水质监控。</w:t>
            </w:r>
          </w:p>
          <w:p w14:paraId="1ED1C86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③本工程污水处理厂均采用双回路供电一用一备，主供电源为10kV市电电源供电。污水处理设施发生故障时，进厂废水可以引至已建池体内暂存，不会产生溢流造成环境影响。</w:t>
            </w:r>
          </w:p>
          <w:p w14:paraId="3A74217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④建立完整的生产、环保和安全、应急管理制度，明确岗位职责，定期培训职工，提高安全生产和管理能力。</w:t>
            </w:r>
          </w:p>
          <w:p w14:paraId="0684BE6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⑤加强对污水处理设施的运行管理和维护，将事故消灭在萌芽状态。定期检测、维修，及时更换腐蚀受损设备，加强对污水处理设施的管理，杜绝污泥膨胀造成事故性排放。</w:t>
            </w:r>
          </w:p>
          <w:p w14:paraId="47C6FB6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⑥因需要暂停运转的，须报当地生态环境部门审查和批准。因事故停止运转，应立即采取措施，停止废水排放，并及时报告当地环境保护行政主管部门。</w:t>
            </w:r>
          </w:p>
          <w:p w14:paraId="07A0A56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⑦建立完整的生产、环保和安全、应急管理制度，明确岗位职责，定期培训职工，提高安全生产和管理能力。</w:t>
            </w:r>
          </w:p>
          <w:p w14:paraId="6EAFC15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eastAsiaTheme="minorEastAsia"/>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highlight w:val="none"/>
                <w14:textFill>
                  <w14:solidFill>
                    <w14:schemeClr w14:val="tx1"/>
                  </w14:solidFill>
                </w14:textFill>
              </w:rPr>
              <w:t>⑧加强对污水处理设施的运行管理和维护，将事故消灭在萌芽状态。定期检测、维修，及时更换腐蚀受损设备，加强对污水处理设施的管理，杜绝污泥膨胀造成事故性排放。</w:t>
            </w:r>
          </w:p>
          <w:p w14:paraId="6B4A90EF">
            <w:pPr>
              <w:keepNext w:val="0"/>
              <w:keepLines w:val="0"/>
              <w:pageBreakBefore w:val="0"/>
              <w:widowControl w:val="0"/>
              <w:kinsoku/>
              <w:wordWrap/>
              <w:overflowPunct/>
              <w:topLinePunct w:val="0"/>
              <w:autoSpaceDE/>
              <w:autoSpaceDN/>
              <w:bidi w:val="0"/>
              <w:adjustRightInd w:val="0"/>
              <w:snapToGrid w:val="0"/>
              <w:ind w:firstLine="482" w:firstLineChars="200"/>
              <w:textAlignment w:val="auto"/>
              <w:rPr>
                <w:rFonts w:hint="eastAsia"/>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管道泄漏风险防范措施</w:t>
            </w:r>
          </w:p>
          <w:p w14:paraId="779474E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项目涉及管道应采取以下风险防范措施：</w:t>
            </w:r>
          </w:p>
          <w:p w14:paraId="04BFA5A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①项目管道均采用钢筋砼管材，其本身具有良好的防腐、防漏功能；</w:t>
            </w:r>
          </w:p>
          <w:p w14:paraId="0398A1B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②施工过程中，在下管前对管沟、平基、管座进行质量检测和复核，合格</w:t>
            </w:r>
            <w:r>
              <w:rPr>
                <w:rFonts w:hint="eastAsia"/>
                <w:color w:val="000000" w:themeColor="text1"/>
                <w:highlight w:val="none"/>
                <w:lang w:eastAsia="zh-CN"/>
                <w14:textFill>
                  <w14:solidFill>
                    <w14:schemeClr w14:val="tx1"/>
                  </w14:solidFill>
                </w14:textFill>
              </w:rPr>
              <w:t>后</w:t>
            </w:r>
            <w:r>
              <w:rPr>
                <w:rFonts w:hint="eastAsia"/>
                <w:color w:val="000000" w:themeColor="text1"/>
                <w:highlight w:val="none"/>
                <w14:textFill>
                  <w14:solidFill>
                    <w14:schemeClr w14:val="tx1"/>
                  </w14:solidFill>
                </w14:textFill>
              </w:rPr>
              <w:t>进行管道安装；在管道安装过程中，将管身垫稳后，对安装的管道进行了复测，在符合要求的情</w:t>
            </w:r>
            <w:r>
              <w:rPr>
                <w:rFonts w:hint="eastAsia"/>
                <w:color w:val="000000" w:themeColor="text1"/>
                <w:highlight w:val="none"/>
                <w:lang w:eastAsia="zh-CN"/>
                <w14:textFill>
                  <w14:solidFill>
                    <w14:schemeClr w14:val="tx1"/>
                  </w14:solidFill>
                </w14:textFill>
              </w:rPr>
              <w:t>况下</w:t>
            </w:r>
            <w:r>
              <w:rPr>
                <w:rFonts w:hint="eastAsia"/>
                <w:color w:val="000000" w:themeColor="text1"/>
                <w:highlight w:val="none"/>
                <w14:textFill>
                  <w14:solidFill>
                    <w14:schemeClr w14:val="tx1"/>
                  </w14:solidFill>
                </w14:textFill>
              </w:rPr>
              <w:t>再进行抹带浇筑，保证了管道安装后的质量。</w:t>
            </w:r>
          </w:p>
          <w:p w14:paraId="21199CA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③加强尾水管道巡查和检修，及时发现管道溢流和渗漏问题。</w:t>
            </w:r>
          </w:p>
          <w:p w14:paraId="26666EE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④制定环境风险应急预案，发生事故时即可启用应急预案，尽可能减轻事故带来的环境影响。</w:t>
            </w:r>
          </w:p>
          <w:p w14:paraId="242A78B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2）消毒剂储存过程中风险防范措施</w:t>
            </w:r>
          </w:p>
          <w:p w14:paraId="530C238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①设置管理责任人，作业人员须了解其接触的危险废物的性质、危害特性、包装容器的使用特性和发生意外时的应急措施，并配备必要的应急处理器材和防护用品。</w:t>
            </w:r>
          </w:p>
          <w:p w14:paraId="7590662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②加药间（暂存消毒剂）地面全部进行重点防渗处理同时评价要求暂存消毒剂时，在此防渗措施基础上再增设</w:t>
            </w:r>
            <w:r>
              <w:rPr>
                <w:rFonts w:hint="eastAsia"/>
                <w:color w:val="000000" w:themeColor="text1"/>
                <w:highlight w:val="none"/>
                <w:lang w:val="en-US" w:eastAsia="zh-CN"/>
                <w14:textFill>
                  <w14:solidFill>
                    <w14:schemeClr w14:val="tx1"/>
                  </w14:solidFill>
                </w14:textFill>
              </w:rPr>
              <w:t>抗腐蚀</w:t>
            </w:r>
            <w:r>
              <w:rPr>
                <w:rFonts w:hint="eastAsia"/>
                <w:color w:val="000000" w:themeColor="text1"/>
                <w:highlight w:val="none"/>
                <w14:textFill>
                  <w14:solidFill>
                    <w14:schemeClr w14:val="tx1"/>
                  </w14:solidFill>
                </w14:textFill>
              </w:rPr>
              <w:t>防渗托盘（边缘高度不</w:t>
            </w:r>
            <w:r>
              <w:rPr>
                <w:rFonts w:hint="eastAsia"/>
                <w:color w:val="000000" w:themeColor="text1"/>
                <w:highlight w:val="none"/>
                <w:lang w:eastAsia="zh-CN"/>
                <w14:textFill>
                  <w14:solidFill>
                    <w14:schemeClr w14:val="tx1"/>
                  </w14:solidFill>
                </w14:textFill>
              </w:rPr>
              <w:t>小于</w:t>
            </w:r>
            <w:r>
              <w:rPr>
                <w:rFonts w:hint="eastAsia"/>
                <w:color w:val="000000" w:themeColor="text1"/>
                <w:highlight w:val="none"/>
                <w14:textFill>
                  <w14:solidFill>
                    <w14:schemeClr w14:val="tx1"/>
                  </w14:solidFill>
                </w14:textFill>
              </w:rPr>
              <w:t>10cm）进行防渗，避免由于操作不当导致消毒剂泄漏。</w:t>
            </w:r>
          </w:p>
          <w:p w14:paraId="4BF72D1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③液态消毒剂采用专用密闭容器收集暂存，且容器下方设置不锈钢托盘，并设置空桶作为备用收容设施。</w:t>
            </w:r>
          </w:p>
          <w:p w14:paraId="0DC52A1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3）风险应急措施</w:t>
            </w:r>
          </w:p>
          <w:p w14:paraId="697EC38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①</w:t>
            </w:r>
            <w:r>
              <w:rPr>
                <w:rFonts w:hint="eastAsia"/>
                <w:color w:val="000000" w:themeColor="text1"/>
                <w:highlight w:val="none"/>
                <w14:textFill>
                  <w14:solidFill>
                    <w14:schemeClr w14:val="tx1"/>
                  </w14:solidFill>
                </w14:textFill>
              </w:rPr>
              <w:t>当</w:t>
            </w:r>
            <w:r>
              <w:rPr>
                <w:rFonts w:hint="eastAsia"/>
                <w:color w:val="000000" w:themeColor="text1"/>
                <w:highlight w:val="none"/>
                <w:lang w:val="en-US" w:eastAsia="zh-CN"/>
                <w14:textFill>
                  <w14:solidFill>
                    <w14:schemeClr w14:val="tx1"/>
                  </w14:solidFill>
                </w14:textFill>
              </w:rPr>
              <w:t>氧化池</w:t>
            </w:r>
            <w:r>
              <w:rPr>
                <w:rFonts w:hint="eastAsia"/>
                <w:color w:val="000000" w:themeColor="text1"/>
                <w:highlight w:val="none"/>
                <w14:textFill>
                  <w14:solidFill>
                    <w14:schemeClr w14:val="tx1"/>
                  </w14:solidFill>
                </w14:textFill>
              </w:rPr>
              <w:t>发生故障不能正常运行时必须关闭故障曝气池进水阀，以避免污水进入停止运行的曝气池，致使池内微生物死亡。待设备故障消除时，必须首先启动曝气池，运行1～2小时，使池内微生物复活后，再打开进池阀门，处理系统恢复运行。</w:t>
            </w:r>
          </w:p>
          <w:p w14:paraId="140F9AE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②</w:t>
            </w:r>
            <w:r>
              <w:rPr>
                <w:rFonts w:hint="eastAsia"/>
                <w:color w:val="000000" w:themeColor="text1"/>
                <w:highlight w:val="none"/>
                <w14:textFill>
                  <w14:solidFill>
                    <w14:schemeClr w14:val="tx1"/>
                  </w14:solidFill>
                </w14:textFill>
              </w:rPr>
              <w:t>若出现出水水质异常，及时进行各处理单元的处理效率检测，并酌情启用备用设备、更换受损设备或不合格的污泥。</w:t>
            </w:r>
          </w:p>
          <w:p w14:paraId="6AC5A36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③</w:t>
            </w:r>
            <w:r>
              <w:rPr>
                <w:rFonts w:hint="eastAsia"/>
                <w:color w:val="000000" w:themeColor="text1"/>
                <w:highlight w:val="none"/>
                <w14:textFill>
                  <w14:solidFill>
                    <w14:schemeClr w14:val="tx1"/>
                  </w14:solidFill>
                </w14:textFill>
              </w:rPr>
              <w:t>事故应急监测</w:t>
            </w:r>
          </w:p>
          <w:p w14:paraId="21CEA54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事故发生后应立即通知当地环保部门，并通知当地所在地的上一级环保部门，立即启动环境应急监测预案，及时掌握发生事故的危害程度、影响范围及影响程度。监测因子确定为：COD</w:t>
            </w:r>
            <w:r>
              <w:rPr>
                <w:rFonts w:hint="eastAsia"/>
                <w:color w:val="000000" w:themeColor="text1"/>
                <w:highlight w:val="none"/>
                <w:vertAlign w:val="subscript"/>
                <w14:textFill>
                  <w14:solidFill>
                    <w14:schemeClr w14:val="tx1"/>
                  </w14:solidFill>
                </w14:textFill>
              </w:rPr>
              <w:t>Cr</w:t>
            </w:r>
            <w:r>
              <w:rPr>
                <w:rFonts w:hint="eastAsia"/>
                <w:color w:val="000000" w:themeColor="text1"/>
                <w:highlight w:val="none"/>
                <w14:textFill>
                  <w14:solidFill>
                    <w14:schemeClr w14:val="tx1"/>
                  </w14:solidFill>
                </w14:textFill>
              </w:rPr>
              <w:t>、BOD</w:t>
            </w:r>
            <w:r>
              <w:rPr>
                <w:rFonts w:hint="eastAsia"/>
                <w:color w:val="000000" w:themeColor="text1"/>
                <w:highlight w:val="none"/>
                <w:vertAlign w:val="subscript"/>
                <w14:textFill>
                  <w14:solidFill>
                    <w14:schemeClr w14:val="tx1"/>
                  </w14:solidFill>
                </w14:textFill>
              </w:rPr>
              <w:t>5</w:t>
            </w:r>
            <w:r>
              <w:rPr>
                <w:rFonts w:hint="eastAsia"/>
                <w:color w:val="000000" w:themeColor="text1"/>
                <w:highlight w:val="none"/>
                <w14:textFill>
                  <w14:solidFill>
                    <w14:schemeClr w14:val="tx1"/>
                  </w14:solidFill>
                </w14:textFill>
              </w:rPr>
              <w:t>、氨氮、总氮、总磷、SS、粪大肠菌群数等。</w:t>
            </w:r>
          </w:p>
          <w:p w14:paraId="7698E18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④</w:t>
            </w:r>
            <w:r>
              <w:rPr>
                <w:rFonts w:hint="default" w:ascii="Times New Roman" w:hAnsi="Times New Roman" w:cs="Times New Roman"/>
                <w:color w:val="000000" w:themeColor="text1"/>
                <w:highlight w:val="none"/>
                <w14:textFill>
                  <w14:solidFill>
                    <w14:schemeClr w14:val="tx1"/>
                  </w14:solidFill>
                </w14:textFill>
              </w:rPr>
              <w:t>制定区域防灾救援方案，与当地政府、消防、环保和医疗救助等部门加强联系。以便风险事故发生时得到及时救援。</w:t>
            </w:r>
          </w:p>
          <w:p w14:paraId="492C8E9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⑤</w:t>
            </w:r>
            <w:r>
              <w:rPr>
                <w:rFonts w:hint="default" w:ascii="Times New Roman" w:hAnsi="Times New Roman" w:cs="Times New Roman"/>
                <w:color w:val="000000" w:themeColor="text1"/>
                <w:highlight w:val="none"/>
                <w14:textFill>
                  <w14:solidFill>
                    <w14:schemeClr w14:val="tx1"/>
                  </w14:solidFill>
                </w14:textFill>
              </w:rPr>
              <w:t>设立专职安全员岗位，负责生产一线安全工作的日常监督巡查；专职安全人员必须经过安全生产管理部门组织的职业培训，并取得注册安全工程师资格。</w:t>
            </w:r>
          </w:p>
          <w:p w14:paraId="7ECFB52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微软雅黑" w:cs="Times New Roman"/>
                <w:color w:val="000000" w:themeColor="text1"/>
                <w:highlight w:val="none"/>
                <w14:textFill>
                  <w14:solidFill>
                    <w14:schemeClr w14:val="tx1"/>
                  </w14:solidFill>
                </w14:textFill>
              </w:rPr>
              <w:t>⑥</w:t>
            </w:r>
            <w:r>
              <w:rPr>
                <w:rFonts w:hint="default" w:ascii="Times New Roman" w:hAnsi="Times New Roman" w:cs="Times New Roman"/>
                <w:color w:val="000000" w:themeColor="text1"/>
                <w:highlight w:val="none"/>
                <w14:textFill>
                  <w14:solidFill>
                    <w14:schemeClr w14:val="tx1"/>
                  </w14:solidFill>
                </w14:textFill>
              </w:rPr>
              <w:t>用于原辅材料贮存工具的容器必须依照《</w:t>
            </w:r>
            <w:r>
              <w:rPr>
                <w:rFonts w:hint="eastAsia" w:cs="Times New Roman"/>
                <w:color w:val="000000" w:themeColor="text1"/>
                <w:highlight w:val="none"/>
                <w:lang w:eastAsia="zh-CN"/>
                <w14:textFill>
                  <w14:solidFill>
                    <w14:schemeClr w14:val="tx1"/>
                  </w14:solidFill>
                </w14:textFill>
              </w:rPr>
              <w:t>危险化学品安全管理条例</w:t>
            </w:r>
            <w:r>
              <w:rPr>
                <w:rFonts w:hint="default" w:ascii="Times New Roman" w:hAnsi="Times New Roman" w:cs="Times New Roman"/>
                <w:color w:val="000000" w:themeColor="text1"/>
                <w:highlight w:val="none"/>
                <w14:textFill>
                  <w14:solidFill>
                    <w14:schemeClr w14:val="tx1"/>
                  </w14:solidFill>
                </w14:textFill>
              </w:rPr>
              <w:t>》要求由专业生产企业定点生产，并经检测、检验合格，方可使用。容器必须定期送相应的质检部门检查，运输过程中封口严密，确保贮运原辅材料的容器在贮运过程中不因温度、湿度、压力的变化发生任何渗漏。</w:t>
            </w:r>
          </w:p>
          <w:p w14:paraId="667D961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微软雅黑" w:cs="Times New Roman"/>
                <w:color w:val="000000" w:themeColor="text1"/>
                <w:highlight w:val="none"/>
                <w14:textFill>
                  <w14:solidFill>
                    <w14:schemeClr w14:val="tx1"/>
                  </w14:solidFill>
                </w14:textFill>
              </w:rPr>
              <w:t>⑦</w:t>
            </w:r>
            <w:r>
              <w:rPr>
                <w:rFonts w:hint="default" w:ascii="Times New Roman" w:hAnsi="Times New Roman" w:cs="Times New Roman"/>
                <w:color w:val="000000" w:themeColor="text1"/>
                <w:highlight w:val="none"/>
                <w14:textFill>
                  <w14:solidFill>
                    <w14:schemeClr w14:val="tx1"/>
                  </w14:solidFill>
                </w14:textFill>
              </w:rPr>
              <w:t>发生爆管事故，应立即采取下列措施：</w:t>
            </w:r>
          </w:p>
          <w:p w14:paraId="40F6A5D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a.</w:t>
            </w:r>
            <w:r>
              <w:rPr>
                <w:rFonts w:hint="eastAsia"/>
                <w:color w:val="000000" w:themeColor="text1"/>
                <w:highlight w:val="none"/>
                <w14:textFill>
                  <w14:solidFill>
                    <w14:schemeClr w14:val="tx1"/>
                  </w14:solidFill>
                </w14:textFill>
              </w:rPr>
              <w:t>采用水下快速止水、基础化学加固技术和深层裂缝灌浆技术，在污水管不能停止运行的前提下，对管道接头渗水部位进行止水、密封和加固处理；</w:t>
            </w:r>
          </w:p>
          <w:p w14:paraId="0A83997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b.</w:t>
            </w:r>
            <w:r>
              <w:rPr>
                <w:rFonts w:hint="eastAsia"/>
                <w:color w:val="000000" w:themeColor="text1"/>
                <w:highlight w:val="none"/>
                <w14:textFill>
                  <w14:solidFill>
                    <w14:schemeClr w14:val="tx1"/>
                  </w14:solidFill>
                </w14:textFill>
              </w:rPr>
              <w:t>采用管道无损修复技术，在管道内接头部位安装柔性盖板系统，以适应结构的再变形，保证结构在再次变形时不再发生渗漏。同时，该柔性盖板系</w:t>
            </w:r>
            <w:r>
              <w:rPr>
                <w:rFonts w:hint="eastAsia"/>
                <w:color w:val="000000" w:themeColor="text1"/>
                <w:highlight w:val="none"/>
                <w:lang w:eastAsia="zh-CN"/>
                <w14:textFill>
                  <w14:solidFill>
                    <w14:schemeClr w14:val="tx1"/>
                  </w14:solidFill>
                </w14:textFill>
              </w:rPr>
              <w:t>统具</w:t>
            </w:r>
            <w:r>
              <w:rPr>
                <w:rFonts w:hint="eastAsia"/>
                <w:color w:val="000000" w:themeColor="text1"/>
                <w:highlight w:val="none"/>
                <w14:textFill>
                  <w14:solidFill>
                    <w14:schemeClr w14:val="tx1"/>
                  </w14:solidFill>
                </w14:textFill>
              </w:rPr>
              <w:t>有很好的耐腐蚀性和抗冲蚀性，完全满足在污水环境中的使用耐久性，且保证不因为流沙移动而造成磨损、破坏。</w:t>
            </w:r>
          </w:p>
          <w:p w14:paraId="23B7ACA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c.</w:t>
            </w:r>
            <w:r>
              <w:rPr>
                <w:rFonts w:hint="eastAsia"/>
                <w:color w:val="000000" w:themeColor="text1"/>
                <w:highlight w:val="none"/>
                <w14:textFill>
                  <w14:solidFill>
                    <w14:schemeClr w14:val="tx1"/>
                  </w14:solidFill>
                </w14:textFill>
              </w:rPr>
              <w:t>立即停止排水，启动应急措施，污水处理厂立即停止运行，待处理污水存放在事故池内及各处理设施内。同时，立即关停各用水单位用水，避免污水产生造成污水处理厂溢水。</w:t>
            </w:r>
          </w:p>
          <w:p w14:paraId="0B3EF36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事故应急预案</w:t>
            </w:r>
          </w:p>
          <w:p w14:paraId="6E9F570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事故应急救援预案应由</w:t>
            </w:r>
            <w:r>
              <w:rPr>
                <w:rFonts w:hint="eastAsia"/>
                <w:color w:val="000000" w:themeColor="text1"/>
                <w:highlight w:val="none"/>
                <w:lang w:eastAsia="zh-CN"/>
                <w14:textFill>
                  <w14:solidFill>
                    <w14:schemeClr w14:val="tx1"/>
                  </w14:solidFill>
                </w14:textFill>
              </w:rPr>
              <w:t>污水处理厂</w:t>
            </w:r>
            <w:r>
              <w:rPr>
                <w:rFonts w:hint="eastAsia"/>
                <w:color w:val="000000" w:themeColor="text1"/>
                <w:highlight w:val="none"/>
                <w14:textFill>
                  <w14:solidFill>
                    <w14:schemeClr w14:val="tx1"/>
                  </w14:solidFill>
                </w14:textFill>
              </w:rPr>
              <w:t>管理和操作人员针对进厂废水特点及厂内化学品储存点位置、社会关注点布局的具体情况进行编写，为了能在事故发生的初期阶段采取紧急措施，控制事态，把事故损失降低到最小。针对可能出现较大事故，应该制定相应的事故应急预案，并根据</w:t>
            </w:r>
            <w:r>
              <w:rPr>
                <w:rFonts w:hint="eastAsia"/>
                <w:color w:val="000000" w:themeColor="text1"/>
                <w:highlight w:val="none"/>
                <w:lang w:eastAsia="zh-CN"/>
                <w14:textFill>
                  <w14:solidFill>
                    <w14:schemeClr w14:val="tx1"/>
                  </w14:solidFill>
                </w14:textFill>
              </w:rPr>
              <w:t>污水处理厂</w:t>
            </w:r>
            <w:r>
              <w:rPr>
                <w:rFonts w:hint="eastAsia"/>
                <w:color w:val="000000" w:themeColor="text1"/>
                <w:highlight w:val="none"/>
                <w14:textFill>
                  <w14:solidFill>
                    <w14:schemeClr w14:val="tx1"/>
                  </w14:solidFill>
                </w14:textFill>
              </w:rPr>
              <w:t>建设情况，不断补充、完善。污水处理厂常见的事故应急处理对策如下：</w:t>
            </w:r>
          </w:p>
          <w:p w14:paraId="76F761E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1）水量超标情况</w:t>
            </w:r>
          </w:p>
          <w:p w14:paraId="7835BA3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①</w:t>
            </w:r>
            <w:r>
              <w:rPr>
                <w:rFonts w:hint="eastAsia"/>
                <w:color w:val="000000" w:themeColor="text1"/>
                <w:highlight w:val="none"/>
                <w14:textFill>
                  <w14:solidFill>
                    <w14:schemeClr w14:val="tx1"/>
                  </w14:solidFill>
                </w14:textFill>
              </w:rPr>
              <w:t>24小时内必须向环保、住建部门予以汇报，并紧急启用备用设备。</w:t>
            </w:r>
          </w:p>
          <w:p w14:paraId="020D47B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②</w:t>
            </w:r>
            <w:r>
              <w:rPr>
                <w:rFonts w:hint="eastAsia"/>
                <w:color w:val="000000" w:themeColor="text1"/>
                <w:highlight w:val="none"/>
                <w14:textFill>
                  <w14:solidFill>
                    <w14:schemeClr w14:val="tx1"/>
                  </w14:solidFill>
                </w14:textFill>
              </w:rPr>
              <w:t>启用备用设备仍不能满足需要时，若有明确答复，立即关闭进水阀门或</w:t>
            </w:r>
            <w:r>
              <w:rPr>
                <w:rFonts w:hint="eastAsia"/>
                <w:color w:val="000000" w:themeColor="text1"/>
                <w:highlight w:val="none"/>
                <w:lang w:eastAsia="zh-CN"/>
                <w14:textFill>
                  <w14:solidFill>
                    <w14:schemeClr w14:val="tx1"/>
                  </w14:solidFill>
                </w14:textFill>
              </w:rPr>
              <w:t>启用</w:t>
            </w:r>
            <w:r>
              <w:rPr>
                <w:rFonts w:hint="eastAsia"/>
                <w:color w:val="000000" w:themeColor="text1"/>
                <w:highlight w:val="none"/>
                <w14:textFill>
                  <w14:solidFill>
                    <w14:schemeClr w14:val="tx1"/>
                  </w14:solidFill>
                </w14:textFill>
              </w:rPr>
              <w:t>紧急溢流系统，若在一定时间内未有答复，根据公司技术要求，实施操作。做好相关备忘录工作和备案工作。</w:t>
            </w:r>
          </w:p>
          <w:p w14:paraId="065E170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14:textFill>
                  <w14:solidFill>
                    <w14:schemeClr w14:val="tx1"/>
                  </w14:solidFill>
                </w14:textFill>
              </w:rPr>
              <w:t>生物异常情况</w:t>
            </w:r>
          </w:p>
          <w:p w14:paraId="785E6CF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由于工艺控制不当，进水水质变化以及环境因素变化等原因会导致污泥膨胀、生物相异常、污泥上浮、生物泡沫等生物异常现象，各运行操作人员要严格按操作规程操作，遇到以上问题及时处理并上报。</w:t>
            </w:r>
          </w:p>
          <w:p w14:paraId="6347CB9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①</w:t>
            </w:r>
            <w:r>
              <w:rPr>
                <w:rFonts w:hint="eastAsia"/>
                <w:color w:val="000000" w:themeColor="text1"/>
                <w:highlight w:val="none"/>
                <w14:textFill>
                  <w14:solidFill>
                    <w14:schemeClr w14:val="tx1"/>
                  </w14:solidFill>
                </w14:textFill>
              </w:rPr>
              <w:t>污泥膨胀问题：</w:t>
            </w:r>
          </w:p>
          <w:p w14:paraId="2CA2A4E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a.</w:t>
            </w:r>
            <w:r>
              <w:rPr>
                <w:rFonts w:hint="eastAsia"/>
                <w:color w:val="000000" w:themeColor="text1"/>
                <w:highlight w:val="none"/>
                <w14:textFill>
                  <w14:solidFill>
                    <w14:schemeClr w14:val="tx1"/>
                  </w14:solidFill>
                </w14:textFill>
              </w:rPr>
              <w:t>发生污泥膨胀后，要进行分析研究确定污泥膨胀的种类及形成原因，分析膨胀的存在条件及成因。着重分析进水氮、磷营养物质是否足够，生化池内pH、溶解氧</w:t>
            </w:r>
            <w:r>
              <w:rPr>
                <w:rFonts w:hint="eastAsia"/>
                <w:color w:val="000000" w:themeColor="text1"/>
                <w:highlight w:val="none"/>
                <w:lang w:val="en-US" w:eastAsia="zh-CN"/>
                <w14:textFill>
                  <w14:solidFill>
                    <w14:schemeClr w14:val="tx1"/>
                  </w14:solidFill>
                </w14:textFill>
              </w:rPr>
              <w:t>等</w:t>
            </w:r>
            <w:r>
              <w:rPr>
                <w:rFonts w:hint="eastAsia"/>
                <w:color w:val="000000" w:themeColor="text1"/>
                <w:highlight w:val="none"/>
                <w14:textFill>
                  <w14:solidFill>
                    <w14:schemeClr w14:val="tx1"/>
                  </w14:solidFill>
                </w14:textFill>
              </w:rPr>
              <w:t>是否正常，进水水质、水量是否波动太大等因素。根据分析出的种类、因素做相应调整。</w:t>
            </w:r>
          </w:p>
          <w:p w14:paraId="01D8606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b.由于临时原因造成的污泥膨胀问题，采取污泥助沉法或灭菌法解决；</w:t>
            </w:r>
          </w:p>
          <w:p w14:paraId="5CEAED7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c.由于工艺运行控制不当原因造成的污泥膨胀问题，根据不同因素采取相应工艺调整措施解决；</w:t>
            </w:r>
          </w:p>
          <w:p w14:paraId="347EE92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②</w:t>
            </w:r>
            <w:r>
              <w:rPr>
                <w:rFonts w:hint="eastAsia"/>
                <w:color w:val="000000" w:themeColor="text1"/>
                <w:highlight w:val="none"/>
                <w14:textFill>
                  <w14:solidFill>
                    <w14:schemeClr w14:val="tx1"/>
                  </w14:solidFill>
                </w14:textFill>
              </w:rPr>
              <w:t>生物泡沫问题</w:t>
            </w:r>
          </w:p>
          <w:p w14:paraId="6CA1743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a.</w:t>
            </w:r>
            <w:r>
              <w:rPr>
                <w:rFonts w:hint="eastAsia"/>
                <w:color w:val="000000" w:themeColor="text1"/>
                <w:highlight w:val="none"/>
                <w14:textFill>
                  <w14:solidFill>
                    <w14:schemeClr w14:val="tx1"/>
                  </w14:solidFill>
                </w14:textFill>
              </w:rPr>
              <w:t>发生泡沫后，要进行分析研究确定泡沫的种类及形成原因，根据分析出的种类、因素做相应调整。</w:t>
            </w:r>
          </w:p>
          <w:p w14:paraId="544435D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b.</w:t>
            </w:r>
            <w:r>
              <w:rPr>
                <w:rFonts w:hint="eastAsia"/>
                <w:color w:val="000000" w:themeColor="text1"/>
                <w:highlight w:val="none"/>
                <w14:textFill>
                  <w14:solidFill>
                    <w14:schemeClr w14:val="tx1"/>
                  </w14:solidFill>
                </w14:textFill>
              </w:rPr>
              <w:t>化学泡沫，采取水冲或加消泡剂解决。</w:t>
            </w:r>
          </w:p>
          <w:p w14:paraId="226D51F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c.</w:t>
            </w:r>
            <w:r>
              <w:rPr>
                <w:rFonts w:hint="eastAsia"/>
                <w:color w:val="000000" w:themeColor="text1"/>
                <w:highlight w:val="none"/>
                <w14:textFill>
                  <w14:solidFill>
                    <w14:schemeClr w14:val="tx1"/>
                  </w14:solidFill>
                </w14:textFill>
              </w:rPr>
              <w:t>生物泡沫，增大排泥，降低污泥龄，预防为主。</w:t>
            </w:r>
          </w:p>
          <w:p w14:paraId="552051E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③</w:t>
            </w:r>
            <w:r>
              <w:rPr>
                <w:rFonts w:hint="eastAsia"/>
                <w:color w:val="000000" w:themeColor="text1"/>
                <w:highlight w:val="none"/>
                <w14:textFill>
                  <w14:solidFill>
                    <w14:schemeClr w14:val="tx1"/>
                  </w14:solidFill>
                </w14:textFill>
              </w:rPr>
              <w:t>污泥上浮问题</w:t>
            </w:r>
          </w:p>
          <w:p w14:paraId="7868334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a.</w:t>
            </w:r>
            <w:r>
              <w:rPr>
                <w:rFonts w:hint="eastAsia"/>
                <w:color w:val="000000" w:themeColor="text1"/>
                <w:highlight w:val="none"/>
                <w14:textFill>
                  <w14:solidFill>
                    <w14:schemeClr w14:val="tx1"/>
                  </w14:solidFill>
                </w14:textFill>
              </w:rPr>
              <w:t>酸化污泥上浮，采取及时排泥的控制措施。</w:t>
            </w:r>
          </w:p>
          <w:p w14:paraId="643D40B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b.</w:t>
            </w:r>
            <w:r>
              <w:rPr>
                <w:rFonts w:hint="eastAsia"/>
                <w:color w:val="000000" w:themeColor="text1"/>
                <w:highlight w:val="none"/>
                <w14:textFill>
                  <w14:solidFill>
                    <w14:schemeClr w14:val="tx1"/>
                  </w14:solidFill>
                </w14:textFill>
              </w:rPr>
              <w:t>污泥上浮，采取</w:t>
            </w:r>
            <w:r>
              <w:rPr>
                <w:rFonts w:hint="eastAsia"/>
                <w:color w:val="000000" w:themeColor="text1"/>
                <w:highlight w:val="none"/>
                <w:lang w:eastAsia="zh-CN"/>
                <w14:textFill>
                  <w14:solidFill>
                    <w14:schemeClr w14:val="tx1"/>
                  </w14:solidFill>
                </w14:textFill>
              </w:rPr>
              <w:t>增加</w:t>
            </w:r>
            <w:r>
              <w:rPr>
                <w:rFonts w:hint="eastAsia"/>
                <w:color w:val="000000" w:themeColor="text1"/>
                <w:highlight w:val="none"/>
                <w14:textFill>
                  <w14:solidFill>
                    <w14:schemeClr w14:val="tx1"/>
                  </w14:solidFill>
                </w14:textFill>
              </w:rPr>
              <w:t>剩余污泥的排放，降低污泥龄，控制硝化的控制措施。</w:t>
            </w:r>
          </w:p>
          <w:p w14:paraId="63480EB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3）突发暴雨情况</w:t>
            </w:r>
          </w:p>
          <w:p w14:paraId="7340281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①</w:t>
            </w:r>
            <w:r>
              <w:rPr>
                <w:rFonts w:hint="eastAsia"/>
                <w:color w:val="000000" w:themeColor="text1"/>
                <w:highlight w:val="none"/>
                <w14:textFill>
                  <w14:solidFill>
                    <w14:schemeClr w14:val="tx1"/>
                  </w14:solidFill>
                </w14:textFill>
              </w:rPr>
              <w:t>根据天气预报，预先对设备进行全面检查，确保设备完好。</w:t>
            </w:r>
          </w:p>
          <w:p w14:paraId="1158905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②</w:t>
            </w:r>
            <w:r>
              <w:rPr>
                <w:rFonts w:hint="eastAsia"/>
                <w:color w:val="000000" w:themeColor="text1"/>
                <w:highlight w:val="none"/>
                <w14:textFill>
                  <w14:solidFill>
                    <w14:schemeClr w14:val="tx1"/>
                  </w14:solidFill>
                </w14:textFill>
              </w:rPr>
              <w:t>对厂区内雨水管道进行疏通，确保管线畅通。</w:t>
            </w:r>
          </w:p>
          <w:p w14:paraId="697F5A4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③</w:t>
            </w:r>
            <w:r>
              <w:rPr>
                <w:rFonts w:hint="eastAsia"/>
                <w:color w:val="000000" w:themeColor="text1"/>
                <w:highlight w:val="none"/>
                <w14:textFill>
                  <w14:solidFill>
                    <w14:schemeClr w14:val="tx1"/>
                  </w14:solidFill>
                </w14:textFill>
              </w:rPr>
              <w:t>增加水泵，降低水池水位，直到水泵满负荷运行。</w:t>
            </w:r>
          </w:p>
          <w:p w14:paraId="0354C94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④</w:t>
            </w:r>
            <w:r>
              <w:rPr>
                <w:rFonts w:hint="eastAsia"/>
                <w:color w:val="000000" w:themeColor="text1"/>
                <w:highlight w:val="none"/>
                <w14:textFill>
                  <w14:solidFill>
                    <w14:schemeClr w14:val="tx1"/>
                  </w14:solidFill>
                </w14:textFill>
              </w:rPr>
              <w:t>预备好沙袋等，随时</w:t>
            </w:r>
            <w:r>
              <w:rPr>
                <w:rFonts w:hint="eastAsia"/>
                <w:color w:val="000000" w:themeColor="text1"/>
                <w:highlight w:val="none"/>
                <w:lang w:eastAsia="zh-CN"/>
                <w14:textFill>
                  <w14:solidFill>
                    <w14:schemeClr w14:val="tx1"/>
                  </w14:solidFill>
                </w14:textFill>
              </w:rPr>
              <w:t>准备</w:t>
            </w:r>
            <w:r>
              <w:rPr>
                <w:rFonts w:hint="eastAsia"/>
                <w:color w:val="000000" w:themeColor="text1"/>
                <w:highlight w:val="none"/>
                <w14:textFill>
                  <w14:solidFill>
                    <w14:schemeClr w14:val="tx1"/>
                  </w14:solidFill>
                </w14:textFill>
              </w:rPr>
              <w:t>堵漏、防水。</w:t>
            </w:r>
          </w:p>
          <w:p w14:paraId="39D6BCE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⑤</w:t>
            </w:r>
            <w:r>
              <w:rPr>
                <w:rFonts w:hint="eastAsia"/>
                <w:color w:val="000000" w:themeColor="text1"/>
                <w:highlight w:val="none"/>
                <w14:textFill>
                  <w14:solidFill>
                    <w14:schemeClr w14:val="tx1"/>
                  </w14:solidFill>
                </w14:textFill>
              </w:rPr>
              <w:t>应急办公室通知各个工作组随时待命，保持讯畅。</w:t>
            </w:r>
          </w:p>
          <w:p w14:paraId="57B964B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3）进水水质超标</w:t>
            </w:r>
          </w:p>
          <w:p w14:paraId="6F12511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若运行中实际进水COD、氨氮、总磷浓度高于设计标准，将采取“源头管控+应急调控+工艺优化”措施保障达标：一是强化工业废水接入管控，暂停接纳超标废水；二是启用调节池均化水质，应急投加PAC、碳源、除磷药剂强化去除；三是优化生化系统运行参数，提高污泥浓度、延长泥龄，必要时改造加药与自控系统，确保出水稳定达到一级A标准要求。</w:t>
            </w:r>
          </w:p>
          <w:p w14:paraId="4467BC9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综上，根据《建设项目环境风险评价技术导则》，应急预案的主要内容见下表所示。</w:t>
            </w:r>
          </w:p>
          <w:p w14:paraId="459F1777">
            <w:pPr>
              <w:pStyle w:val="20"/>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表4-2</w:t>
            </w: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环境风险突发事故应急预案</w:t>
            </w:r>
          </w:p>
          <w:tbl>
            <w:tblPr>
              <w:tblStyle w:val="12"/>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722"/>
              <w:gridCol w:w="1543"/>
              <w:gridCol w:w="6233"/>
            </w:tblGrid>
            <w:tr w14:paraId="2C2577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425" w:type="pct"/>
                  <w:tcBorders>
                    <w:tl2br w:val="nil"/>
                    <w:tr2bl w:val="nil"/>
                  </w:tcBorders>
                  <w:shd w:val="clear" w:color="auto" w:fill="auto"/>
                  <w:vAlign w:val="center"/>
                </w:tcPr>
                <w:p w14:paraId="5A2688D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序号</w:t>
                  </w:r>
                </w:p>
              </w:tc>
              <w:tc>
                <w:tcPr>
                  <w:tcW w:w="907" w:type="pct"/>
                  <w:tcBorders>
                    <w:tl2br w:val="nil"/>
                    <w:tr2bl w:val="nil"/>
                  </w:tcBorders>
                  <w:shd w:val="clear" w:color="auto" w:fill="auto"/>
                  <w:vAlign w:val="center"/>
                </w:tcPr>
                <w:p w14:paraId="73245F7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项目</w:t>
                  </w:r>
                </w:p>
              </w:tc>
              <w:tc>
                <w:tcPr>
                  <w:tcW w:w="3666" w:type="pct"/>
                  <w:tcBorders>
                    <w:tl2br w:val="nil"/>
                    <w:tr2bl w:val="nil"/>
                  </w:tcBorders>
                  <w:shd w:val="clear" w:color="auto" w:fill="auto"/>
                  <w:vAlign w:val="center"/>
                </w:tcPr>
                <w:p w14:paraId="712FEFC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内容及要求</w:t>
                  </w:r>
                </w:p>
              </w:tc>
            </w:tr>
            <w:tr w14:paraId="1E2688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25" w:type="pct"/>
                  <w:tcBorders>
                    <w:tl2br w:val="nil"/>
                    <w:tr2bl w:val="nil"/>
                  </w:tcBorders>
                  <w:shd w:val="clear" w:color="auto" w:fill="auto"/>
                  <w:vAlign w:val="center"/>
                </w:tcPr>
                <w:p w14:paraId="483F24A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1</w:t>
                  </w:r>
                </w:p>
              </w:tc>
              <w:tc>
                <w:tcPr>
                  <w:tcW w:w="907" w:type="pct"/>
                  <w:tcBorders>
                    <w:tl2br w:val="nil"/>
                    <w:tr2bl w:val="nil"/>
                  </w:tcBorders>
                  <w:shd w:val="clear" w:color="auto" w:fill="auto"/>
                  <w:vAlign w:val="center"/>
                </w:tcPr>
                <w:p w14:paraId="3FB4E27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应急计划区</w:t>
                  </w:r>
                </w:p>
              </w:tc>
              <w:tc>
                <w:tcPr>
                  <w:tcW w:w="3666" w:type="pct"/>
                  <w:tcBorders>
                    <w:tl2br w:val="nil"/>
                    <w:tr2bl w:val="nil"/>
                  </w:tcBorders>
                  <w:shd w:val="clear" w:color="auto" w:fill="auto"/>
                  <w:vAlign w:val="center"/>
                </w:tcPr>
                <w:p w14:paraId="52131D11">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危险目标主要包括加药间、污泥间等；环境保护目标主要为厂区内的员工及厂外的办公区、附近水体。</w:t>
                  </w:r>
                </w:p>
              </w:tc>
            </w:tr>
            <w:tr w14:paraId="0F1AEE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25" w:type="pct"/>
                  <w:tcBorders>
                    <w:tl2br w:val="nil"/>
                    <w:tr2bl w:val="nil"/>
                  </w:tcBorders>
                  <w:shd w:val="clear" w:color="auto" w:fill="auto"/>
                  <w:vAlign w:val="center"/>
                </w:tcPr>
                <w:p w14:paraId="0CAB81A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2</w:t>
                  </w:r>
                </w:p>
              </w:tc>
              <w:tc>
                <w:tcPr>
                  <w:tcW w:w="907" w:type="pct"/>
                  <w:tcBorders>
                    <w:tl2br w:val="nil"/>
                    <w:tr2bl w:val="nil"/>
                  </w:tcBorders>
                  <w:shd w:val="clear" w:color="auto" w:fill="auto"/>
                  <w:vAlign w:val="center"/>
                </w:tcPr>
                <w:p w14:paraId="65AD0B1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应急组织机构、人员</w:t>
                  </w:r>
                </w:p>
              </w:tc>
              <w:tc>
                <w:tcPr>
                  <w:tcW w:w="3666" w:type="pct"/>
                  <w:tcBorders>
                    <w:tl2br w:val="nil"/>
                    <w:tr2bl w:val="nil"/>
                  </w:tcBorders>
                  <w:shd w:val="clear" w:color="auto" w:fill="auto"/>
                  <w:vAlign w:val="center"/>
                </w:tcPr>
                <w:p w14:paraId="0FA22242">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项目应成立环境风险事故应急救援“指挥领导小组”</w:t>
                  </w:r>
                  <w:r>
                    <w:rPr>
                      <w:rFonts w:hint="eastAsia"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由总经理、副总经理及厂房工程</w:t>
                  </w:r>
                  <w:r>
                    <w:rPr>
                      <w:rFonts w:hint="eastAsia"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环保</w:t>
                  </w:r>
                  <w:r>
                    <w:rPr>
                      <w:rFonts w:hint="eastAsia"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、人力资源及行政</w:t>
                  </w:r>
                  <w:r>
                    <w:rPr>
                      <w:rFonts w:hint="eastAsia"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安全保卫</w:t>
                  </w:r>
                  <w:r>
                    <w:rPr>
                      <w:rFonts w:hint="eastAsia"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、财务、采购等部门经理组成。下设应急救援办公室，日常工作由人力资源及行政部</w:t>
                  </w:r>
                  <w:r>
                    <w:rPr>
                      <w:rFonts w:hint="eastAsia"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安全保卫</w:t>
                  </w:r>
                  <w:r>
                    <w:rPr>
                      <w:rFonts w:hint="eastAsia"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和厂房工程部</w:t>
                  </w:r>
                  <w:r>
                    <w:rPr>
                      <w:rFonts w:hint="eastAsia"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环保</w:t>
                  </w:r>
                  <w:r>
                    <w:rPr>
                      <w:rFonts w:hint="eastAsia"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共同管理。</w:t>
                  </w:r>
                </w:p>
              </w:tc>
            </w:tr>
            <w:tr w14:paraId="10958F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25" w:type="pct"/>
                  <w:tcBorders>
                    <w:tl2br w:val="nil"/>
                    <w:tr2bl w:val="nil"/>
                  </w:tcBorders>
                  <w:shd w:val="clear" w:color="auto" w:fill="auto"/>
                  <w:vAlign w:val="center"/>
                </w:tcPr>
                <w:p w14:paraId="37181A9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3</w:t>
                  </w:r>
                </w:p>
              </w:tc>
              <w:tc>
                <w:tcPr>
                  <w:tcW w:w="907" w:type="pct"/>
                  <w:tcBorders>
                    <w:tl2br w:val="nil"/>
                    <w:tr2bl w:val="nil"/>
                  </w:tcBorders>
                  <w:shd w:val="clear" w:color="auto" w:fill="auto"/>
                  <w:vAlign w:val="center"/>
                </w:tcPr>
                <w:p w14:paraId="6DE66D0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预案分级响应条件</w:t>
                  </w:r>
                </w:p>
              </w:tc>
              <w:tc>
                <w:tcPr>
                  <w:tcW w:w="3666" w:type="pct"/>
                  <w:tcBorders>
                    <w:tl2br w:val="nil"/>
                    <w:tr2bl w:val="nil"/>
                  </w:tcBorders>
                  <w:shd w:val="clear" w:color="auto" w:fill="auto"/>
                  <w:vAlign w:val="center"/>
                </w:tcPr>
                <w:p w14:paraId="04A0DF9D">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textAlignment w:val="center"/>
                    <w:rPr>
                      <w:rFonts w:hint="default" w:ascii="Times New Roman" w:hAnsi="Times New Roman" w:cs="Times New Roman" w:eastAsiaTheme="minorEastAsia"/>
                      <w:b w:val="0"/>
                      <w:bCs w:val="0"/>
                      <w:i w:val="0"/>
                      <w:iCs w:val="0"/>
                      <w:color w:val="000000" w:themeColor="text1"/>
                      <w:sz w:val="21"/>
                      <w:szCs w:val="21"/>
                      <w:highlight w:val="none"/>
                      <w:u w:val="none"/>
                      <w:lang w:val="en-US"/>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项目应急响应分三级响应：一级响应：项目内部响应；二级响应：与县级共同响应；三级响应：与市级主管部门共同响应</w:t>
                  </w:r>
                  <w:r>
                    <w:rPr>
                      <w:rFonts w:hint="eastAsia"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w:t>
                  </w:r>
                </w:p>
              </w:tc>
            </w:tr>
            <w:tr w14:paraId="72AA87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25" w:type="pct"/>
                  <w:tcBorders>
                    <w:tl2br w:val="nil"/>
                    <w:tr2bl w:val="nil"/>
                  </w:tcBorders>
                  <w:shd w:val="clear" w:color="auto" w:fill="auto"/>
                  <w:vAlign w:val="center"/>
                </w:tcPr>
                <w:p w14:paraId="3318898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4</w:t>
                  </w:r>
                </w:p>
              </w:tc>
              <w:tc>
                <w:tcPr>
                  <w:tcW w:w="907" w:type="pct"/>
                  <w:tcBorders>
                    <w:tl2br w:val="nil"/>
                    <w:tr2bl w:val="nil"/>
                  </w:tcBorders>
                  <w:shd w:val="clear" w:color="auto" w:fill="auto"/>
                  <w:vAlign w:val="center"/>
                </w:tcPr>
                <w:p w14:paraId="2D9D3B8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应急救援保障</w:t>
                  </w:r>
                </w:p>
              </w:tc>
              <w:tc>
                <w:tcPr>
                  <w:tcW w:w="3666" w:type="pct"/>
                  <w:tcBorders>
                    <w:tl2br w:val="nil"/>
                    <w:tr2bl w:val="nil"/>
                  </w:tcBorders>
                  <w:shd w:val="clear" w:color="auto" w:fill="auto"/>
                  <w:vAlign w:val="center"/>
                </w:tcPr>
                <w:p w14:paraId="05A89B41">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针对危险目标，事先将抢险抢修、个体防护、医疗救援、通讯联络等装备器材配备齐全。平时要专人维护、保管、检验，确保器材始终处于完好状态，保证能有效使用。</w:t>
                  </w:r>
                </w:p>
              </w:tc>
            </w:tr>
            <w:tr w14:paraId="599FFB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25" w:type="pct"/>
                  <w:tcBorders>
                    <w:tl2br w:val="nil"/>
                    <w:tr2bl w:val="nil"/>
                  </w:tcBorders>
                  <w:shd w:val="clear" w:color="auto" w:fill="auto"/>
                  <w:vAlign w:val="center"/>
                </w:tcPr>
                <w:p w14:paraId="557EB09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5</w:t>
                  </w:r>
                </w:p>
              </w:tc>
              <w:tc>
                <w:tcPr>
                  <w:tcW w:w="907" w:type="pct"/>
                  <w:tcBorders>
                    <w:tl2br w:val="nil"/>
                    <w:tr2bl w:val="nil"/>
                  </w:tcBorders>
                  <w:shd w:val="clear" w:color="auto" w:fill="auto"/>
                  <w:vAlign w:val="center"/>
                </w:tcPr>
                <w:p w14:paraId="745616E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报警、通讯联络方式</w:t>
                  </w:r>
                </w:p>
              </w:tc>
              <w:tc>
                <w:tcPr>
                  <w:tcW w:w="3666" w:type="pct"/>
                  <w:tcBorders>
                    <w:tl2br w:val="nil"/>
                    <w:tr2bl w:val="nil"/>
                  </w:tcBorders>
                  <w:shd w:val="clear" w:color="auto" w:fill="auto"/>
                  <w:vAlign w:val="center"/>
                </w:tcPr>
                <w:p w14:paraId="1C85F779">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根据公司突发环境污染事故“公司应急指挥中心”组成以及政府、社会各外部救援单位的主要联系电话，印发“突发事故应急通讯名录”并定期更新。</w:t>
                  </w:r>
                </w:p>
              </w:tc>
            </w:tr>
            <w:tr w14:paraId="52D686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25" w:type="pct"/>
                  <w:tcBorders>
                    <w:tl2br w:val="nil"/>
                    <w:tr2bl w:val="nil"/>
                  </w:tcBorders>
                  <w:shd w:val="clear" w:color="auto" w:fill="auto"/>
                  <w:vAlign w:val="center"/>
                </w:tcPr>
                <w:p w14:paraId="5DB4790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6</w:t>
                  </w:r>
                </w:p>
              </w:tc>
              <w:tc>
                <w:tcPr>
                  <w:tcW w:w="907" w:type="pct"/>
                  <w:tcBorders>
                    <w:tl2br w:val="nil"/>
                    <w:tr2bl w:val="nil"/>
                  </w:tcBorders>
                  <w:shd w:val="clear" w:color="auto" w:fill="auto"/>
                  <w:vAlign w:val="center"/>
                </w:tcPr>
                <w:p w14:paraId="039F7A2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突发事故应急措施及应急监</w:t>
                  </w: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测</w:t>
                  </w:r>
                </w:p>
              </w:tc>
              <w:tc>
                <w:tcPr>
                  <w:tcW w:w="3666" w:type="pct"/>
                  <w:tcBorders>
                    <w:tl2br w:val="nil"/>
                    <w:tr2bl w:val="nil"/>
                  </w:tcBorders>
                  <w:shd w:val="clear" w:color="auto" w:fill="auto"/>
                  <w:vAlign w:val="center"/>
                </w:tcPr>
                <w:p w14:paraId="2C454545">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针对本项目可能发生的突发事故，具体应急措施如下：</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br w:type="textWrapping"/>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化学品泄漏的应急措施：发生泄漏时，首先疏散无关人员，隔离泄漏污染区，同时切断火源及做好个人防护。泄漏物质收集并清理。</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br w:type="textWrapping"/>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废水事故排放应急措施：立即启动应急程序，未处理的废水进入各池体再根据其水质进行后处理。</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br w:type="textWrapping"/>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应急监测内容：</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br w:type="textWrapping"/>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地表水应急监测：pH、COD、氨氮、TN、TP等。</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br w:type="textWrapping"/>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监测时间及频次：根据事故废水进入受纳水体决定监测时间。一般每小时取样一次。</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br w:type="textWrapping"/>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监测断面布设：</w:t>
                  </w:r>
                  <w:r>
                    <w:rPr>
                      <w:rFonts w:hint="eastAsia"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二排干</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断面，根据事故情况调整断面设置。</w:t>
                  </w:r>
                </w:p>
              </w:tc>
            </w:tr>
            <w:tr w14:paraId="30E52C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25" w:type="pct"/>
                  <w:tcBorders>
                    <w:tl2br w:val="nil"/>
                    <w:tr2bl w:val="nil"/>
                  </w:tcBorders>
                  <w:shd w:val="clear" w:color="auto" w:fill="auto"/>
                  <w:vAlign w:val="center"/>
                </w:tcPr>
                <w:p w14:paraId="1699819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7</w:t>
                  </w:r>
                </w:p>
              </w:tc>
              <w:tc>
                <w:tcPr>
                  <w:tcW w:w="907" w:type="pct"/>
                  <w:tcBorders>
                    <w:tl2br w:val="nil"/>
                    <w:tr2bl w:val="nil"/>
                  </w:tcBorders>
                  <w:shd w:val="clear" w:color="auto" w:fill="auto"/>
                  <w:vAlign w:val="center"/>
                </w:tcPr>
                <w:p w14:paraId="043C1CE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事故应急救援关闭程序与恢复措施</w:t>
                  </w:r>
                </w:p>
              </w:tc>
              <w:tc>
                <w:tcPr>
                  <w:tcW w:w="3666" w:type="pct"/>
                  <w:tcBorders>
                    <w:tl2br w:val="nil"/>
                    <w:tr2bl w:val="nil"/>
                  </w:tcBorders>
                  <w:shd w:val="clear" w:color="auto" w:fill="auto"/>
                  <w:vAlign w:val="center"/>
                </w:tcPr>
                <w:p w14:paraId="6A062C29">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textAlignment w:val="cente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应急终止的程序：</w:t>
                  </w: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①现场应急救援指挥中心确认终止时机。</w:t>
                  </w: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②应急救援指挥中心向应急救援队伍下达终止命令。</w:t>
                  </w: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③继续进行环境监测和评价工作，直至其他补救措施无需继续进行为止。</w:t>
                  </w:r>
                </w:p>
                <w:p w14:paraId="69365F6F">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textAlignment w:val="cente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恢复生产的条件：</w:t>
                  </w:r>
                </w:p>
                <w:p w14:paraId="5F698478">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①事故现场清理、洗刷、消毒完毕，不存在危险源；</w:t>
                  </w: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②防止事故再次发生的安全防范措施已落实到位，受伤人员得到治疗，情况基本稳定 ；</w:t>
                  </w: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③设备设施检测符合生产要求，可恢复生产。</w:t>
                  </w:r>
                </w:p>
              </w:tc>
            </w:tr>
            <w:tr w14:paraId="78CC4C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25" w:type="pct"/>
                  <w:tcBorders>
                    <w:tl2br w:val="nil"/>
                    <w:tr2bl w:val="nil"/>
                  </w:tcBorders>
                  <w:shd w:val="clear" w:color="auto" w:fill="auto"/>
                  <w:vAlign w:val="center"/>
                </w:tcPr>
                <w:p w14:paraId="1483D13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8</w:t>
                  </w:r>
                </w:p>
              </w:tc>
              <w:tc>
                <w:tcPr>
                  <w:tcW w:w="907" w:type="pct"/>
                  <w:tcBorders>
                    <w:tl2br w:val="nil"/>
                    <w:tr2bl w:val="nil"/>
                  </w:tcBorders>
                  <w:shd w:val="clear" w:color="auto" w:fill="auto"/>
                  <w:vAlign w:val="center"/>
                </w:tcPr>
                <w:p w14:paraId="34229F4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应急培训计划</w:t>
                  </w:r>
                </w:p>
              </w:tc>
              <w:tc>
                <w:tcPr>
                  <w:tcW w:w="3666" w:type="pct"/>
                  <w:tcBorders>
                    <w:tl2br w:val="nil"/>
                    <w:tr2bl w:val="nil"/>
                  </w:tcBorders>
                  <w:shd w:val="clear" w:color="auto" w:fill="auto"/>
                  <w:vAlign w:val="center"/>
                </w:tcPr>
                <w:p w14:paraId="417AD491">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根据公司的风险防范措施及事故应急计划，制定相应的培训计划，对公司应急小组成员及一般员工进行定期培训。对于环保管理人员和有关操作人员应建立“先培训、后上岗</w:t>
                  </w:r>
                  <w:r>
                    <w:rPr>
                      <w:rFonts w:hint="eastAsia"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定期培训安全和环保法规、知识以及突发性事故应急处理技术”的制度。</w:t>
                  </w:r>
                </w:p>
              </w:tc>
            </w:tr>
            <w:tr w14:paraId="2E6133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25" w:type="pct"/>
                  <w:tcBorders>
                    <w:tl2br w:val="nil"/>
                    <w:tr2bl w:val="nil"/>
                  </w:tcBorders>
                  <w:shd w:val="clear" w:color="auto" w:fill="auto"/>
                  <w:vAlign w:val="center"/>
                </w:tcPr>
                <w:p w14:paraId="3D3CBDB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9</w:t>
                  </w:r>
                </w:p>
              </w:tc>
              <w:tc>
                <w:tcPr>
                  <w:tcW w:w="907" w:type="pct"/>
                  <w:tcBorders>
                    <w:tl2br w:val="nil"/>
                    <w:tr2bl w:val="nil"/>
                  </w:tcBorders>
                  <w:shd w:val="clear" w:color="auto" w:fill="auto"/>
                  <w:vAlign w:val="center"/>
                </w:tcPr>
                <w:p w14:paraId="530C68D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公众教育和信息</w:t>
                  </w:r>
                </w:p>
              </w:tc>
              <w:tc>
                <w:tcPr>
                  <w:tcW w:w="3666" w:type="pct"/>
                  <w:tcBorders>
                    <w:tl2br w:val="nil"/>
                    <w:tr2bl w:val="nil"/>
                  </w:tcBorders>
                  <w:shd w:val="clear" w:color="auto" w:fill="auto"/>
                  <w:vAlign w:val="center"/>
                </w:tcPr>
                <w:p w14:paraId="4F87C136">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利用企业对外宣传栏、周边村委会的公众宣传栏，以墙报</w:t>
                  </w:r>
                  <w:r>
                    <w:rPr>
                      <w:rFonts w:hint="eastAsia"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、宣</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传单等形式对公司周边居民、工作人员进行危险化学品辨析、事故防范常识、应急处理措施等内容的宣传。向居民开设环境风险防范座谈会，邀请专业技术人员宣讲风险防范知识。</w:t>
                  </w:r>
                </w:p>
              </w:tc>
            </w:tr>
            <w:tr w14:paraId="34C8AC7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25" w:type="pct"/>
                  <w:tcBorders>
                    <w:tl2br w:val="nil"/>
                    <w:tr2bl w:val="nil"/>
                  </w:tcBorders>
                  <w:shd w:val="clear" w:color="auto" w:fill="auto"/>
                  <w:vAlign w:val="top"/>
                </w:tcPr>
                <w:p w14:paraId="61592E0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10</w:t>
                  </w:r>
                </w:p>
              </w:tc>
              <w:tc>
                <w:tcPr>
                  <w:tcW w:w="907" w:type="pct"/>
                  <w:tcBorders>
                    <w:tl2br w:val="nil"/>
                    <w:tr2bl w:val="nil"/>
                  </w:tcBorders>
                  <w:shd w:val="clear" w:color="auto" w:fill="auto"/>
                  <w:vAlign w:val="center"/>
                </w:tcPr>
                <w:p w14:paraId="4797DC8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记录和报告</w:t>
                  </w:r>
                </w:p>
              </w:tc>
              <w:tc>
                <w:tcPr>
                  <w:tcW w:w="3666" w:type="pct"/>
                  <w:tcBorders>
                    <w:tl2br w:val="nil"/>
                    <w:tr2bl w:val="nil"/>
                  </w:tcBorders>
                  <w:shd w:val="clear" w:color="auto" w:fill="auto"/>
                  <w:vAlign w:val="center"/>
                </w:tcPr>
                <w:p w14:paraId="6FF0608A">
                  <w:pPr>
                    <w:keepNext w:val="0"/>
                    <w:keepLines w:val="0"/>
                    <w:pageBreakBefore w:val="0"/>
                    <w:widowControl/>
                    <w:suppressLineNumbers w:val="0"/>
                    <w:kinsoku/>
                    <w:wordWrap/>
                    <w:overflowPunct/>
                    <w:topLinePunct w:val="0"/>
                    <w:autoSpaceDE/>
                    <w:autoSpaceDN/>
                    <w:bidi w:val="0"/>
                    <w:adjustRightInd w:val="0"/>
                    <w:snapToGrid w:val="0"/>
                    <w:spacing w:line="240" w:lineRule="auto"/>
                    <w:jc w:val="left"/>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设置应急事故专门记录，建立档案和专门报告制度，设专门部门负责管理。</w:t>
                  </w:r>
                </w:p>
              </w:tc>
            </w:tr>
          </w:tbl>
          <w:p w14:paraId="19645923">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14:textFill>
                  <w14:solidFill>
                    <w14:schemeClr w14:val="tx1"/>
                  </w14:solidFill>
                </w14:textFill>
              </w:rPr>
            </w:pPr>
          </w:p>
          <w:p w14:paraId="0517103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5</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其他风险防范措施</w:t>
            </w:r>
          </w:p>
          <w:p w14:paraId="2AC31A5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14:textFill>
                  <w14:solidFill>
                    <w14:schemeClr w14:val="tx1"/>
                  </w14:solidFill>
                </w14:textFill>
              </w:rPr>
              <w:t>加强职工管理，建立原料的日常保管、使用制度，进行必要的安全消防教育，并做好个人防护。</w:t>
            </w:r>
          </w:p>
          <w:p w14:paraId="463B8A6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14:textFill>
                  <w14:solidFill>
                    <w14:schemeClr w14:val="tx1"/>
                  </w14:solidFill>
                </w14:textFill>
              </w:rPr>
              <w:t>定期对电器线路和消防设施进行检查，维护，确保其正常使用。</w:t>
            </w:r>
          </w:p>
          <w:p w14:paraId="25D6907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强化工作人员的责任心和安全意识，认真开展安全检查工作，发现隐患及时整改，将事故消灭在萌芽状态。</w:t>
            </w:r>
          </w:p>
          <w:p w14:paraId="59AA6D6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14:textFill>
                  <w14:solidFill>
                    <w14:schemeClr w14:val="tx1"/>
                  </w14:solidFill>
                </w14:textFill>
              </w:rPr>
              <w:t>制定应急预案，建立健全安全、环境管理体系，一旦发生事故，要做到快速、高效、安全处置。</w:t>
            </w:r>
          </w:p>
          <w:p w14:paraId="59B1768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6</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风险评价结论</w:t>
            </w:r>
          </w:p>
          <w:p w14:paraId="3D9C411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在认真落实工程拟采取的安全措施及本评价所提出的安全设施和安全对策后，工程的风险事故对周围影响是可以接受的。</w:t>
            </w:r>
          </w:p>
          <w:p w14:paraId="4201FF89">
            <w:pPr>
              <w:pStyle w:val="20"/>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表4-2</w:t>
            </w: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项目环境风险简单分析内容表</w:t>
            </w:r>
          </w:p>
          <w:tbl>
            <w:tblPr>
              <w:tblStyle w:val="12"/>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785"/>
              <w:gridCol w:w="1209"/>
              <w:gridCol w:w="2264"/>
              <w:gridCol w:w="754"/>
              <w:gridCol w:w="853"/>
              <w:gridCol w:w="1633"/>
            </w:tblGrid>
            <w:tr w14:paraId="5401CD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050" w:type="pct"/>
                  <w:tcBorders>
                    <w:tl2br w:val="nil"/>
                    <w:tr2bl w:val="nil"/>
                  </w:tcBorders>
                  <w:shd w:val="clear" w:color="auto" w:fill="auto"/>
                  <w:vAlign w:val="center"/>
                </w:tcPr>
                <w:p w14:paraId="2CA52F8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建设项目名称</w:t>
                  </w:r>
                </w:p>
              </w:tc>
              <w:tc>
                <w:tcPr>
                  <w:tcW w:w="3949" w:type="pct"/>
                  <w:gridSpan w:val="5"/>
                  <w:tcBorders>
                    <w:tl2br w:val="nil"/>
                    <w:tr2bl w:val="nil"/>
                  </w:tcBorders>
                  <w:shd w:val="clear" w:color="auto" w:fill="auto"/>
                  <w:vAlign w:val="center"/>
                </w:tcPr>
                <w:p w14:paraId="0D42BF8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磴口一期污水处理厂升级改造项目</w:t>
                  </w:r>
                </w:p>
              </w:tc>
            </w:tr>
            <w:tr w14:paraId="37B2F1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6" w:hRule="atLeast"/>
              </w:trPr>
              <w:tc>
                <w:tcPr>
                  <w:tcW w:w="1050" w:type="pct"/>
                  <w:tcBorders>
                    <w:tl2br w:val="nil"/>
                    <w:tr2bl w:val="nil"/>
                  </w:tcBorders>
                  <w:shd w:val="clear" w:color="auto" w:fill="auto"/>
                  <w:vAlign w:val="center"/>
                </w:tcPr>
                <w:p w14:paraId="0431EA7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建设地点</w:t>
                  </w:r>
                </w:p>
              </w:tc>
              <w:tc>
                <w:tcPr>
                  <w:tcW w:w="711" w:type="pct"/>
                  <w:tcBorders>
                    <w:tl2br w:val="nil"/>
                    <w:tr2bl w:val="nil"/>
                  </w:tcBorders>
                  <w:shd w:val="clear" w:color="auto" w:fill="auto"/>
                  <w:vAlign w:val="center"/>
                </w:tcPr>
                <w:p w14:paraId="229F5FD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内蒙古</w:t>
                  </w:r>
                </w:p>
              </w:tc>
              <w:tc>
                <w:tcPr>
                  <w:tcW w:w="1333" w:type="pct"/>
                  <w:tcBorders>
                    <w:tl2br w:val="nil"/>
                    <w:tr2bl w:val="nil"/>
                  </w:tcBorders>
                  <w:shd w:val="clear" w:color="auto" w:fill="auto"/>
                  <w:vAlign w:val="center"/>
                </w:tcPr>
                <w:p w14:paraId="1A69C6C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巴彦淖尔市</w:t>
                  </w:r>
                </w:p>
              </w:tc>
              <w:tc>
                <w:tcPr>
                  <w:tcW w:w="944" w:type="pct"/>
                  <w:gridSpan w:val="2"/>
                  <w:tcBorders>
                    <w:tl2br w:val="nil"/>
                    <w:tr2bl w:val="nil"/>
                  </w:tcBorders>
                  <w:shd w:val="clear" w:color="auto" w:fill="auto"/>
                  <w:vAlign w:val="center"/>
                </w:tcPr>
                <w:p w14:paraId="7B345ED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磴口县</w:t>
                  </w:r>
                </w:p>
              </w:tc>
              <w:tc>
                <w:tcPr>
                  <w:tcW w:w="960" w:type="pct"/>
                  <w:tcBorders>
                    <w:tl2br w:val="nil"/>
                    <w:tr2bl w:val="nil"/>
                  </w:tcBorders>
                  <w:shd w:val="clear" w:color="auto" w:fill="auto"/>
                  <w:vAlign w:val="center"/>
                </w:tcPr>
                <w:p w14:paraId="14A68BA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巴彦高勒镇</w:t>
                  </w:r>
                </w:p>
              </w:tc>
            </w:tr>
            <w:tr w14:paraId="78BD9A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1050" w:type="pct"/>
                  <w:tcBorders>
                    <w:tl2br w:val="nil"/>
                    <w:tr2bl w:val="nil"/>
                  </w:tcBorders>
                  <w:shd w:val="clear" w:color="auto" w:fill="auto"/>
                  <w:vAlign w:val="center"/>
                </w:tcPr>
                <w:p w14:paraId="3318885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地理坐标</w:t>
                  </w:r>
                </w:p>
              </w:tc>
              <w:tc>
                <w:tcPr>
                  <w:tcW w:w="711" w:type="pct"/>
                  <w:tcBorders>
                    <w:tl2br w:val="nil"/>
                    <w:tr2bl w:val="nil"/>
                  </w:tcBorders>
                  <w:shd w:val="clear" w:color="auto" w:fill="auto"/>
                  <w:vAlign w:val="center"/>
                </w:tcPr>
                <w:p w14:paraId="2E41DAF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经度</w:t>
                  </w:r>
                </w:p>
              </w:tc>
              <w:tc>
                <w:tcPr>
                  <w:tcW w:w="1333" w:type="pct"/>
                  <w:tcBorders>
                    <w:tl2br w:val="nil"/>
                    <w:tr2bl w:val="nil"/>
                  </w:tcBorders>
                  <w:shd w:val="clear" w:color="auto" w:fill="auto"/>
                  <w:vAlign w:val="center"/>
                </w:tcPr>
                <w:p w14:paraId="7A6C881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E107°01′0.523″</w:t>
                  </w:r>
                </w:p>
              </w:tc>
              <w:tc>
                <w:tcPr>
                  <w:tcW w:w="443" w:type="pct"/>
                  <w:tcBorders>
                    <w:tl2br w:val="nil"/>
                    <w:tr2bl w:val="nil"/>
                  </w:tcBorders>
                  <w:shd w:val="clear" w:color="auto" w:fill="auto"/>
                  <w:vAlign w:val="center"/>
                </w:tcPr>
                <w:p w14:paraId="3270BD6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纬度</w:t>
                  </w:r>
                </w:p>
              </w:tc>
              <w:tc>
                <w:tcPr>
                  <w:tcW w:w="1461" w:type="pct"/>
                  <w:gridSpan w:val="2"/>
                  <w:tcBorders>
                    <w:tl2br w:val="nil"/>
                    <w:tr2bl w:val="nil"/>
                  </w:tcBorders>
                  <w:shd w:val="clear" w:color="auto" w:fill="auto"/>
                  <w:vAlign w:val="center"/>
                </w:tcPr>
                <w:p w14:paraId="7C51F15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N40°24 ′25.001″</w:t>
                  </w:r>
                </w:p>
              </w:tc>
            </w:tr>
            <w:tr w14:paraId="37660F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1050" w:type="pct"/>
                  <w:tcBorders>
                    <w:tl2br w:val="nil"/>
                    <w:tr2bl w:val="nil"/>
                  </w:tcBorders>
                  <w:shd w:val="clear" w:color="auto" w:fill="auto"/>
                  <w:vAlign w:val="center"/>
                </w:tcPr>
                <w:p w14:paraId="09998B6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主要危险物质及分布</w:t>
                  </w:r>
                </w:p>
              </w:tc>
              <w:tc>
                <w:tcPr>
                  <w:tcW w:w="3949" w:type="pct"/>
                  <w:gridSpan w:val="5"/>
                  <w:tcBorders>
                    <w:tl2br w:val="nil"/>
                    <w:tr2bl w:val="nil"/>
                  </w:tcBorders>
                  <w:shd w:val="clear" w:color="auto" w:fill="auto"/>
                  <w:vAlign w:val="top"/>
                </w:tcPr>
                <w:p w14:paraId="4BDC71B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left"/>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主要危险物质：PAC、次氯酸钠、乙酸钠、盐酸；</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危险物质分布：加药间</w:t>
                  </w:r>
                </w:p>
              </w:tc>
            </w:tr>
            <w:tr w14:paraId="232CDA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1050" w:type="pct"/>
                  <w:tcBorders>
                    <w:tl2br w:val="nil"/>
                    <w:tr2bl w:val="nil"/>
                  </w:tcBorders>
                  <w:shd w:val="clear" w:color="auto" w:fill="auto"/>
                  <w:vAlign w:val="center"/>
                </w:tcPr>
                <w:p w14:paraId="4B78B8D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环境影响途径及危害后果</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大气、地表水、地下水等</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w:t>
                  </w:r>
                </w:p>
              </w:tc>
              <w:tc>
                <w:tcPr>
                  <w:tcW w:w="3949" w:type="pct"/>
                  <w:gridSpan w:val="5"/>
                  <w:tcBorders>
                    <w:tl2br w:val="nil"/>
                    <w:tr2bl w:val="nil"/>
                  </w:tcBorders>
                  <w:shd w:val="clear" w:color="auto" w:fill="auto"/>
                  <w:vAlign w:val="center"/>
                </w:tcPr>
                <w:p w14:paraId="5B84EE9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left"/>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大气：危险物质泄漏后挥发进入大气，污染大气环境；易燃物质遇明火产生火灾或爆炸引起大气环境污染事故；废气处理设施非正常工况下污染物进入大气。</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地表水：危险物质泄漏对周围地面和建筑造成腐蚀，可能污染地下水、地表水；废水事故排放。</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地下水：</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危险物质</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泄漏污染地下水环境。</w:t>
                  </w:r>
                </w:p>
              </w:tc>
            </w:tr>
            <w:tr w14:paraId="1FF6C1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1050" w:type="pct"/>
                  <w:tcBorders>
                    <w:tl2br w:val="nil"/>
                    <w:tr2bl w:val="nil"/>
                  </w:tcBorders>
                  <w:shd w:val="clear" w:color="auto" w:fill="auto"/>
                  <w:vAlign w:val="center"/>
                </w:tcPr>
                <w:p w14:paraId="2FD8031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bidi="ar"/>
                      <w14:textFill>
                        <w14:solidFill>
                          <w14:schemeClr w14:val="tx1"/>
                        </w14:solidFill>
                      </w14:textFill>
                    </w:rPr>
                    <w:t>风险防范措施要求</w:t>
                  </w:r>
                </w:p>
              </w:tc>
              <w:tc>
                <w:tcPr>
                  <w:tcW w:w="3949" w:type="pct"/>
                  <w:gridSpan w:val="5"/>
                  <w:tcBorders>
                    <w:tl2br w:val="nil"/>
                    <w:tr2bl w:val="nil"/>
                  </w:tcBorders>
                  <w:shd w:val="clear" w:color="auto" w:fill="auto"/>
                  <w:vAlign w:val="center"/>
                </w:tcPr>
                <w:p w14:paraId="6EB764A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left"/>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1、危险物质使用过程中注意防火、防爆、防渗漏，严格按照消防规范要求进行建设；对危废暂存间等重点防渗区地面进行防腐、防渗处理。</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2、严格执行环评及相关法律法规要求，落实本章节提出的各项有关危险品储存使用、危险废物的储存和转运的风险防范措施。</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3、制定污水处理厂内部管理方案和风险应急预案。</w:t>
                  </w:r>
                </w:p>
              </w:tc>
            </w:tr>
          </w:tbl>
          <w:p w14:paraId="43F38E9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p>
          <w:p w14:paraId="7DECCF01">
            <w:pPr>
              <w:keepNext w:val="0"/>
              <w:keepLines w:val="0"/>
              <w:pageBreakBefore w:val="0"/>
              <w:widowControl w:val="0"/>
              <w:kinsoku/>
              <w:wordWrap/>
              <w:overflowPunct/>
              <w:topLinePunct w:val="0"/>
              <w:autoSpaceDE/>
              <w:autoSpaceDN/>
              <w:bidi w:val="0"/>
              <w:adjustRightInd w:val="0"/>
              <w:snapToGrid w:val="0"/>
              <w:textAlignment w:val="auto"/>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8、生态环境</w:t>
            </w:r>
          </w:p>
          <w:p w14:paraId="574DA8F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本项目位于</w:t>
            </w:r>
            <w:r>
              <w:rPr>
                <w:rFonts w:hint="eastAsia"/>
                <w:color w:val="000000" w:themeColor="text1"/>
                <w:highlight w:val="none"/>
                <w:lang w:val="en-US" w:eastAsia="zh-CN"/>
                <w14:textFill>
                  <w14:solidFill>
                    <w14:schemeClr w14:val="tx1"/>
                  </w14:solidFill>
                </w14:textFill>
              </w:rPr>
              <w:t>磴口县巴彦高勒镇</w:t>
            </w:r>
            <w:r>
              <w:rPr>
                <w:rFonts w:hint="eastAsia"/>
                <w:color w:val="000000" w:themeColor="text1"/>
                <w:highlight w:val="none"/>
                <w14:textFill>
                  <w14:solidFill>
                    <w14:schemeClr w14:val="tx1"/>
                  </w14:solidFill>
                </w14:textFill>
              </w:rPr>
              <w:t>现有污水处理厂征地范围内，本项目施工开挖、临时占地等活动不可避免</w:t>
            </w:r>
            <w:r>
              <w:rPr>
                <w:rFonts w:hint="eastAsia"/>
                <w:color w:val="000000" w:themeColor="text1"/>
                <w:highlight w:val="none"/>
                <w:lang w:eastAsia="zh-CN"/>
                <w14:textFill>
                  <w14:solidFill>
                    <w14:schemeClr w14:val="tx1"/>
                  </w14:solidFill>
                </w14:textFill>
              </w:rPr>
              <w:t>地</w:t>
            </w:r>
            <w:r>
              <w:rPr>
                <w:rFonts w:hint="eastAsia"/>
                <w:color w:val="000000" w:themeColor="text1"/>
                <w:highlight w:val="none"/>
                <w14:textFill>
                  <w14:solidFill>
                    <w14:schemeClr w14:val="tx1"/>
                  </w14:solidFill>
                </w14:textFill>
              </w:rPr>
              <w:t>会对建设区域带来植被破坏等问题。生态影响在施工期产生，影响范围小，影响期短暂。建设单位合理安排作业时间，避免雨季施工产生水土流失。</w:t>
            </w:r>
            <w:r>
              <w:rPr>
                <w:rFonts w:hint="eastAsia"/>
                <w:color w:val="000000" w:themeColor="text1"/>
                <w:highlight w:val="none"/>
                <w:lang w:eastAsia="zh-CN"/>
                <w14:textFill>
                  <w14:solidFill>
                    <w14:schemeClr w14:val="tx1"/>
                  </w14:solidFill>
                </w14:textFill>
              </w:rPr>
              <w:t>施工</w:t>
            </w:r>
            <w:r>
              <w:rPr>
                <w:rFonts w:hint="eastAsia"/>
                <w:color w:val="000000" w:themeColor="text1"/>
                <w:highlight w:val="none"/>
                <w14:textFill>
                  <w14:solidFill>
                    <w14:schemeClr w14:val="tx1"/>
                  </w14:solidFill>
                </w14:textFill>
              </w:rPr>
              <w:t>完成后采取及时的迹地恢复及绿化等措施，可将施工活动对建设区域的生态影响程度降至最低。</w:t>
            </w:r>
          </w:p>
          <w:p w14:paraId="7E22097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城市污水处理工程既是城市公用设施，又是环境保护设施，本项目实施后，有助于改善地表水环境，进而改善地表水及其附近的生态环境。项目</w:t>
            </w:r>
            <w:r>
              <w:rPr>
                <w:rFonts w:hint="eastAsia"/>
                <w:color w:val="000000" w:themeColor="text1"/>
                <w:highlight w:val="none"/>
                <w:lang w:eastAsia="zh-CN"/>
                <w14:textFill>
                  <w14:solidFill>
                    <w14:schemeClr w14:val="tx1"/>
                  </w14:solidFill>
                </w14:textFill>
              </w:rPr>
              <w:t>污水处理厂</w:t>
            </w:r>
            <w:r>
              <w:rPr>
                <w:rFonts w:hint="eastAsia"/>
                <w:color w:val="000000" w:themeColor="text1"/>
                <w:highlight w:val="none"/>
                <w14:textFill>
                  <w14:solidFill>
                    <w14:schemeClr w14:val="tx1"/>
                  </w14:solidFill>
                </w14:textFill>
              </w:rPr>
              <w:t>尾水</w:t>
            </w:r>
            <w:r>
              <w:rPr>
                <w:rFonts w:hint="eastAsia"/>
                <w:color w:val="000000" w:themeColor="text1"/>
                <w:highlight w:val="none"/>
                <w:lang w:val="en-US" w:eastAsia="zh-CN"/>
                <w14:textFill>
                  <w14:solidFill>
                    <w14:schemeClr w14:val="tx1"/>
                  </w14:solidFill>
                </w14:textFill>
              </w:rPr>
              <w:t>经人工湿地</w:t>
            </w:r>
            <w:r>
              <w:rPr>
                <w:rFonts w:hint="eastAsia"/>
                <w:color w:val="000000" w:themeColor="text1"/>
                <w:highlight w:val="none"/>
                <w14:textFill>
                  <w14:solidFill>
                    <w14:schemeClr w14:val="tx1"/>
                  </w14:solidFill>
                </w14:textFill>
              </w:rPr>
              <w:t>处理达标后排入</w:t>
            </w:r>
            <w:r>
              <w:rPr>
                <w:rFonts w:hint="eastAsia"/>
                <w:color w:val="000000" w:themeColor="text1"/>
                <w:highlight w:val="none"/>
                <w:lang w:val="en-US" w:eastAsia="zh-CN"/>
                <w14:textFill>
                  <w14:solidFill>
                    <w14:schemeClr w14:val="tx1"/>
                  </w14:solidFill>
                </w14:textFill>
              </w:rPr>
              <w:t>二排干</w:t>
            </w:r>
            <w:r>
              <w:rPr>
                <w:rFonts w:hint="eastAsia"/>
                <w:color w:val="000000" w:themeColor="text1"/>
                <w:highlight w:val="none"/>
                <w14:textFill>
                  <w14:solidFill>
                    <w14:schemeClr w14:val="tx1"/>
                  </w14:solidFill>
                </w14:textFill>
              </w:rPr>
              <w:t>，长期排水会对尾水排口周边环境造成一定的影响，但</w:t>
            </w:r>
            <w:r>
              <w:rPr>
                <w:rFonts w:hint="eastAsia"/>
                <w:color w:val="000000" w:themeColor="text1"/>
                <w:highlight w:val="none"/>
                <w:lang w:val="en-US" w:eastAsia="zh-CN"/>
                <w14:textFill>
                  <w14:solidFill>
                    <w14:schemeClr w14:val="tx1"/>
                  </w14:solidFill>
                </w14:textFill>
              </w:rPr>
              <w:t>二排干</w:t>
            </w:r>
            <w:r>
              <w:rPr>
                <w:rFonts w:hint="eastAsia"/>
                <w:color w:val="000000" w:themeColor="text1"/>
                <w:highlight w:val="none"/>
                <w14:textFill>
                  <w14:solidFill>
                    <w14:schemeClr w14:val="tx1"/>
                  </w14:solidFill>
                </w14:textFill>
              </w:rPr>
              <w:t>为人工</w:t>
            </w:r>
            <w:r>
              <w:rPr>
                <w:rFonts w:hint="eastAsia"/>
                <w:color w:val="000000" w:themeColor="text1"/>
                <w:highlight w:val="none"/>
                <w:lang w:val="en-US" w:eastAsia="zh-CN"/>
                <w14:textFill>
                  <w14:solidFill>
                    <w14:schemeClr w14:val="tx1"/>
                  </w14:solidFill>
                </w14:textFill>
              </w:rPr>
              <w:t>排干</w:t>
            </w:r>
            <w:r>
              <w:rPr>
                <w:rFonts w:hint="eastAsia"/>
                <w:color w:val="000000" w:themeColor="text1"/>
                <w:highlight w:val="none"/>
                <w14:textFill>
                  <w14:solidFill>
                    <w14:schemeClr w14:val="tx1"/>
                  </w14:solidFill>
                </w14:textFill>
              </w:rPr>
              <w:t>，河两边修建护河堤，因此项目尾水排放对周围生态环境影响较小。</w:t>
            </w:r>
          </w:p>
          <w:p w14:paraId="5F87A9C3">
            <w:pPr>
              <w:keepNext w:val="0"/>
              <w:keepLines w:val="0"/>
              <w:pageBreakBefore w:val="0"/>
              <w:widowControl w:val="0"/>
              <w:kinsoku/>
              <w:wordWrap/>
              <w:overflowPunct/>
              <w:topLinePunct w:val="0"/>
              <w:autoSpaceDE/>
              <w:autoSpaceDN/>
              <w:bidi w:val="0"/>
              <w:adjustRightInd w:val="0"/>
              <w:snapToGrid w:val="0"/>
              <w:textAlignment w:val="auto"/>
              <w:rPr>
                <w:rFonts w:hint="eastAsia"/>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9</w:t>
            </w:r>
            <w:r>
              <w:rPr>
                <w:rFonts w:hint="eastAsia"/>
                <w:b/>
                <w:bCs/>
                <w:color w:val="000000" w:themeColor="text1"/>
                <w:highlight w:val="none"/>
                <w14:textFill>
                  <w14:solidFill>
                    <w14:schemeClr w14:val="tx1"/>
                  </w14:solidFill>
                </w14:textFill>
              </w:rPr>
              <w:t>、环境管理和监测计划</w:t>
            </w:r>
          </w:p>
          <w:p w14:paraId="0B62D1A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环境管理的目的</w:t>
            </w:r>
          </w:p>
          <w:p w14:paraId="0BB889B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本项目运行期会对</w:t>
            </w:r>
            <w:r>
              <w:rPr>
                <w:rFonts w:hint="eastAsia"/>
                <w:color w:val="000000" w:themeColor="text1"/>
                <w:highlight w:val="none"/>
                <w:lang w:eastAsia="zh-CN"/>
                <w14:textFill>
                  <w14:solidFill>
                    <w14:schemeClr w14:val="tx1"/>
                  </w14:solidFill>
                </w14:textFill>
              </w:rPr>
              <w:t>邻近</w:t>
            </w:r>
            <w:r>
              <w:rPr>
                <w:rFonts w:hint="eastAsia"/>
                <w:color w:val="000000" w:themeColor="text1"/>
                <w:highlight w:val="none"/>
                <w14:textFill>
                  <w14:solidFill>
                    <w14:schemeClr w14:val="tx1"/>
                  </w14:solidFill>
                </w14:textFill>
              </w:rPr>
              <w:t>环境产生一定的影响，必须通过环境措施来减缓和消除不利的环境影响。为了保证环保措施的切实落实，使项目的社会、经济和环境效益得以协调发展，必须加强环境管理，使项目建设符合国家要求经济建设、社会发展和环境建设的同步规划、同步发展和同步实施的方针。</w:t>
            </w:r>
          </w:p>
          <w:p w14:paraId="62EDA3F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环保机构设置及职责</w:t>
            </w:r>
          </w:p>
          <w:p w14:paraId="616DBF9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为使企业投入的环保设施能正常发挥作用，对其进行科学有效的管理，企业需设专人负责日常环保管理工作，具体职责如下：</w:t>
            </w:r>
          </w:p>
          <w:p w14:paraId="47A56C0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14:textFill>
                  <w14:solidFill>
                    <w14:schemeClr w14:val="tx1"/>
                  </w14:solidFill>
                </w14:textFill>
              </w:rPr>
              <w:t>组织制定环保管理、年度实施计划和远期环保规划，并负责监督贯彻执行；</w:t>
            </w:r>
          </w:p>
          <w:p w14:paraId="1CE5DBD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14:textFill>
                  <w14:solidFill>
                    <w14:schemeClr w14:val="tx1"/>
                  </w14:solidFill>
                </w14:textFill>
              </w:rPr>
              <w:t>组织宣传贯彻国家环保方针政策、进行员工环保知识教育；</w:t>
            </w:r>
          </w:p>
          <w:p w14:paraId="68FFBF4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3）制定</w:t>
            </w:r>
            <w:r>
              <w:rPr>
                <w:rFonts w:hint="eastAsia"/>
                <w:color w:val="000000" w:themeColor="text1"/>
                <w:highlight w:val="none"/>
                <w14:textFill>
                  <w14:solidFill>
                    <w14:schemeClr w14:val="tx1"/>
                  </w14:solidFill>
                </w14:textFill>
              </w:rPr>
              <w:t>环境污染事故的防范、应急措施；</w:t>
            </w:r>
          </w:p>
          <w:p w14:paraId="72626A1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14:textFill>
                  <w14:solidFill>
                    <w14:schemeClr w14:val="tx1"/>
                  </w14:solidFill>
                </w14:textFill>
              </w:rPr>
              <w:t>定期对全厂各环保设施运行情况进行全面检查；</w:t>
            </w:r>
          </w:p>
          <w:p w14:paraId="219109A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5）</w:t>
            </w:r>
            <w:r>
              <w:rPr>
                <w:rFonts w:hint="eastAsia"/>
                <w:color w:val="000000" w:themeColor="text1"/>
                <w:highlight w:val="none"/>
                <w14:textFill>
                  <w14:solidFill>
                    <w14:schemeClr w14:val="tx1"/>
                  </w14:solidFill>
                </w14:textFill>
              </w:rPr>
              <w:t>强化对环保设施运行的监督，加强对环保设施操作人员的技术培训和管理、建立环保设施运行、维护、维修等技术档案，确保环保设施处于正常运行情况，污染物排放连续达标。</w:t>
            </w:r>
          </w:p>
          <w:p w14:paraId="483CB3B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环境管理要求</w:t>
            </w:r>
          </w:p>
          <w:p w14:paraId="776AA0D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14:textFill>
                  <w14:solidFill>
                    <w14:schemeClr w14:val="tx1"/>
                  </w14:solidFill>
                </w14:textFill>
              </w:rPr>
              <w:t>按“三同时”原则，各项环境治理设施须与主体工程同时设计，同时施工、同时投入使用；</w:t>
            </w:r>
          </w:p>
          <w:p w14:paraId="75D36AA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14:textFill>
                  <w14:solidFill>
                    <w14:schemeClr w14:val="tx1"/>
                  </w14:solidFill>
                </w14:textFill>
              </w:rPr>
              <w:t>建立环保机构并配备相应人员；</w:t>
            </w:r>
          </w:p>
          <w:p w14:paraId="2F46AF8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企业环境保护责任人应充分发挥企业赋予的权力，认真履行相应职责，关心并积极听取可能受项目影响的附近单位的反映，定期向当地环保部门汇报项目环境保护工作的情况，同时接受当地环境保护部门的监督和管理，并委托环境监测单位对全厂环境进行定期监测。</w:t>
            </w:r>
          </w:p>
          <w:p w14:paraId="5C9385B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运营管理要求</w:t>
            </w:r>
          </w:p>
          <w:p w14:paraId="3ABC506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14:textFill>
                  <w14:solidFill>
                    <w14:schemeClr w14:val="tx1"/>
                  </w14:solidFill>
                </w14:textFill>
              </w:rPr>
              <w:t>过程自动化控制系统</w:t>
            </w:r>
          </w:p>
          <w:p w14:paraId="7920BE2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本工程为改扩建工程，一期改造后规模3万m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/d。原厂一期已建成PLC控制系统，本次改造充分利旧原有现场系统核心架构，仅对老化破损的控制模块、通讯链路进行更新升级。</w:t>
            </w:r>
          </w:p>
          <w:p w14:paraId="0E3A8DE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A²/O+MBR”工艺流程及构筑物布置，本次新增1#PLC控制站（服务新建厌氧缺氧池）、MBR膜车间专用PLC控制站（由膜设备成套配套提供）。现场控制站与原有中控系统通过工业以太环网构成有机联系的整体，实现全厂工艺过程自动控制，具体涵盖：厌氧池/缺氧池/后缺氧池的液位、溶解氧、ORP等参数联动控制，MBR膜池产水、反洗、化学清洗的自动化运行，加药系统（PAC、乙酸钠、次氯酸钠）的精准投加控制，以及风机、泵类等动力设备的启停联动与故障报警。</w:t>
            </w:r>
          </w:p>
          <w:p w14:paraId="0CB21E1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所有新建控制站与原有系统兼容互通，统一接入中央控制室西门子S7-1500系列PLC主站，实现数据集中采集、远程监控及历史数据存储功能。</w:t>
            </w:r>
          </w:p>
          <w:p w14:paraId="6A5A7AC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2）在线仪表系统</w:t>
            </w:r>
          </w:p>
          <w:p w14:paraId="44B193E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所有在线检测仪表的检测数据就近送入对应控制站PLC系统，作为控制系统的控制参数及水处理过程的历史记录。在线监测系统全面覆盖关键工艺节点，具体包括：进水端COD、氨氮、TN、TP、SS、流量、pH在线监测仪；厌氧池/缺氧池/后缺氧池pH/ORP仪、超声波液位计；好氧池在线DO仪、MLSS仪、氨氮/硝氮监测仪；MBR膜池产水流量、压力变送器；出水端COD、氨氮、TN、TP、SS、余氯在线监测仪，确保准确反映</w:t>
            </w:r>
            <w:r>
              <w:rPr>
                <w:rFonts w:hint="eastAsia"/>
                <w:color w:val="000000" w:themeColor="text1"/>
                <w:highlight w:val="none"/>
                <w:lang w:eastAsia="zh-CN"/>
                <w14:textFill>
                  <w14:solidFill>
                    <w14:schemeClr w14:val="tx1"/>
                  </w14:solidFill>
                </w14:textFill>
              </w:rPr>
              <w:t>污水处理厂</w:t>
            </w:r>
            <w:r>
              <w:rPr>
                <w:rFonts w:hint="eastAsia"/>
                <w:color w:val="000000" w:themeColor="text1"/>
                <w:highlight w:val="none"/>
                <w14:textFill>
                  <w14:solidFill>
                    <w14:schemeClr w14:val="tx1"/>
                  </w14:solidFill>
                </w14:textFill>
              </w:rPr>
              <w:t>水质参数、水量情况和污水处理效果。</w:t>
            </w:r>
          </w:p>
          <w:p w14:paraId="7CD698F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3）视频监控系统</w:t>
            </w:r>
          </w:p>
          <w:p w14:paraId="1D8A0B5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原厂一期已建一套视频监控系统，为确保改造后3万m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d规模正常运行，本次对视频监控系统进行扩容改造。视频监控系统在厂区出入口、预处理区域（细格栅间、沉砂池）、鼓风机房、变配电室、新建厌氧缺氧池、好氧池、后缺氧池、MBR膜车间、污泥脱水机房、加药间、进水/出水仪表间等各生产过程关键位置设置监控点，实现生产全流程无死角覆盖。</w:t>
            </w:r>
          </w:p>
          <w:p w14:paraId="6D1FF42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新增监控设备与原有系统统一接入中央控制室大屏，支持实时监控、视频回放、异常报警联动功能，保障生产过程安全可控。</w:t>
            </w:r>
          </w:p>
          <w:p w14:paraId="1404B8E0">
            <w:pPr>
              <w:keepNext w:val="0"/>
              <w:keepLines w:val="0"/>
              <w:pageBreakBefore w:val="0"/>
              <w:widowControl w:val="0"/>
              <w:kinsoku/>
              <w:wordWrap/>
              <w:overflowPunct/>
              <w:topLinePunct w:val="0"/>
              <w:autoSpaceDE/>
              <w:autoSpaceDN/>
              <w:bidi w:val="0"/>
              <w:adjustRightInd w:val="0"/>
              <w:snapToGrid w:val="0"/>
              <w:textAlignment w:val="auto"/>
              <w:rPr>
                <w:rFonts w:hint="eastAsia"/>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10</w:t>
            </w:r>
            <w:r>
              <w:rPr>
                <w:rFonts w:hint="eastAsia"/>
                <w:b/>
                <w:bCs/>
                <w:color w:val="000000" w:themeColor="text1"/>
                <w:highlight w:val="none"/>
                <w14:textFill>
                  <w14:solidFill>
                    <w14:schemeClr w14:val="tx1"/>
                  </w14:solidFill>
                </w14:textFill>
              </w:rPr>
              <w:t>、环境监测计划</w:t>
            </w:r>
          </w:p>
          <w:p w14:paraId="735652B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环境监测起到两方面的作用，一是企业通过环境监测，分析生产工艺各排污环节是否正常，同时确定污染治理设施的运行状况，为污染治理工艺参数的调整等提供依据；二是通过环境监督性监测，确保企业按国家、地方环境保护</w:t>
            </w:r>
            <w:r>
              <w:rPr>
                <w:rFonts w:hint="eastAsia"/>
                <w:color w:val="000000" w:themeColor="text1"/>
                <w:highlight w:val="none"/>
                <w:lang w:eastAsia="zh-CN"/>
                <w14:textFill>
                  <w14:solidFill>
                    <w14:schemeClr w14:val="tx1"/>
                  </w14:solidFill>
                </w14:textFill>
              </w:rPr>
              <w:t>法律法规</w:t>
            </w:r>
            <w:r>
              <w:rPr>
                <w:rFonts w:hint="eastAsia"/>
                <w:color w:val="000000" w:themeColor="text1"/>
                <w:highlight w:val="none"/>
                <w14:textFill>
                  <w14:solidFill>
                    <w14:schemeClr w14:val="tx1"/>
                  </w14:solidFill>
                </w14:textFill>
              </w:rPr>
              <w:t>办事，保证企业达标排放及满足地方总量控制指标等要求。本项目为改扩建工程，运营期环境监测工作将以原有厂区已制定的监测计划为基础，保持监测体系的连续性与一致性，原有监测计划中关于废水、废气、噪声、固体废物等核心因子的监测点位、监测方法、监测频次及数据记录要求均予以保留，确保监测工作的连贯性与可比性。根据《排污许可证申请与核发技术规范 水处理（试行）》（HJ978-2018），结合本次改扩建后处理规模提升、工艺优化等实际情况，本项目营运期环境监测计划如下。</w:t>
            </w:r>
          </w:p>
          <w:p w14:paraId="7795B508">
            <w:pPr>
              <w:pStyle w:val="20"/>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表4-2</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环境监测计划一览表</w:t>
            </w:r>
          </w:p>
          <w:tbl>
            <w:tblPr>
              <w:tblStyle w:val="12"/>
              <w:tblW w:w="4997" w:type="pct"/>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660"/>
              <w:gridCol w:w="1404"/>
              <w:gridCol w:w="1335"/>
              <w:gridCol w:w="3952"/>
              <w:gridCol w:w="1145"/>
            </w:tblGrid>
            <w:tr w14:paraId="6E97E1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388" w:type="pct"/>
                  <w:tcBorders>
                    <w:tl2br w:val="nil"/>
                    <w:tr2bl w:val="nil"/>
                  </w:tcBorders>
                  <w:shd w:val="clear" w:color="auto" w:fill="auto"/>
                  <w:vAlign w:val="center"/>
                </w:tcPr>
                <w:p w14:paraId="0967DAC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类别</w:t>
                  </w:r>
                </w:p>
              </w:tc>
              <w:tc>
                <w:tcPr>
                  <w:tcW w:w="1611" w:type="pct"/>
                  <w:gridSpan w:val="2"/>
                  <w:tcBorders>
                    <w:tl2br w:val="nil"/>
                    <w:tr2bl w:val="nil"/>
                  </w:tcBorders>
                  <w:shd w:val="clear" w:color="auto" w:fill="auto"/>
                  <w:vAlign w:val="center"/>
                </w:tcPr>
                <w:p w14:paraId="242F85D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监测点位</w:t>
                  </w:r>
                </w:p>
              </w:tc>
              <w:tc>
                <w:tcPr>
                  <w:tcW w:w="2326" w:type="pct"/>
                  <w:tcBorders>
                    <w:tl2br w:val="nil"/>
                    <w:tr2bl w:val="nil"/>
                  </w:tcBorders>
                  <w:shd w:val="clear" w:color="auto" w:fill="auto"/>
                  <w:vAlign w:val="center"/>
                </w:tcPr>
                <w:p w14:paraId="63456B9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监测项目</w:t>
                  </w:r>
                </w:p>
              </w:tc>
              <w:tc>
                <w:tcPr>
                  <w:tcW w:w="673" w:type="pct"/>
                  <w:tcBorders>
                    <w:tl2br w:val="nil"/>
                    <w:tr2bl w:val="nil"/>
                  </w:tcBorders>
                  <w:shd w:val="clear" w:color="auto" w:fill="auto"/>
                  <w:vAlign w:val="center"/>
                </w:tcPr>
                <w:p w14:paraId="6D04F45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频率</w:t>
                  </w:r>
                </w:p>
              </w:tc>
            </w:tr>
            <w:tr w14:paraId="2DCE47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88" w:type="pct"/>
                  <w:vMerge w:val="restart"/>
                  <w:tcBorders>
                    <w:tl2br w:val="nil"/>
                    <w:tr2bl w:val="nil"/>
                  </w:tcBorders>
                  <w:shd w:val="clear" w:color="auto" w:fill="auto"/>
                  <w:vAlign w:val="center"/>
                </w:tcPr>
                <w:p w14:paraId="0FE4943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废气</w:t>
                  </w:r>
                </w:p>
              </w:tc>
              <w:tc>
                <w:tcPr>
                  <w:tcW w:w="826" w:type="pct"/>
                  <w:vMerge w:val="restart"/>
                  <w:tcBorders>
                    <w:tl2br w:val="nil"/>
                    <w:tr2bl w:val="nil"/>
                  </w:tcBorders>
                  <w:shd w:val="clear" w:color="auto" w:fill="auto"/>
                  <w:vAlign w:val="center"/>
                </w:tcPr>
                <w:p w14:paraId="76117FA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厂区无组织排放监控点</w:t>
                  </w:r>
                </w:p>
              </w:tc>
              <w:tc>
                <w:tcPr>
                  <w:tcW w:w="785" w:type="pct"/>
                  <w:tcBorders>
                    <w:tl2br w:val="nil"/>
                    <w:tr2bl w:val="nil"/>
                  </w:tcBorders>
                  <w:shd w:val="clear" w:color="auto" w:fill="auto"/>
                  <w:vAlign w:val="center"/>
                </w:tcPr>
                <w:p w14:paraId="288D5D1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厂界</w:t>
                  </w:r>
                </w:p>
              </w:tc>
              <w:tc>
                <w:tcPr>
                  <w:tcW w:w="2326" w:type="pct"/>
                  <w:tcBorders>
                    <w:tl2br w:val="nil"/>
                    <w:tr2bl w:val="nil"/>
                  </w:tcBorders>
                  <w:shd w:val="clear" w:color="auto" w:fill="auto"/>
                  <w:vAlign w:val="center"/>
                </w:tcPr>
                <w:p w14:paraId="5D856B3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恶臭</w:t>
                  </w:r>
                  <w:r>
                    <w:rPr>
                      <w:rFonts w:hint="eastAsia"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NH</w:t>
                  </w: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₃、H₂S</w:t>
                  </w:r>
                  <w:r>
                    <w:rPr>
                      <w:rFonts w:hint="eastAsia"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w:t>
                  </w: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、臭气浓度</w:t>
                  </w:r>
                </w:p>
              </w:tc>
              <w:tc>
                <w:tcPr>
                  <w:tcW w:w="673" w:type="pct"/>
                  <w:tcBorders>
                    <w:tl2br w:val="nil"/>
                    <w:tr2bl w:val="nil"/>
                  </w:tcBorders>
                  <w:shd w:val="clear" w:color="auto" w:fill="auto"/>
                  <w:vAlign w:val="center"/>
                </w:tcPr>
                <w:p w14:paraId="50D30A4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1次/半年</w:t>
                  </w:r>
                </w:p>
              </w:tc>
            </w:tr>
            <w:tr w14:paraId="6E5FED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88" w:type="pct"/>
                  <w:vMerge w:val="continue"/>
                  <w:tcBorders>
                    <w:tl2br w:val="nil"/>
                    <w:tr2bl w:val="nil"/>
                  </w:tcBorders>
                  <w:shd w:val="clear" w:color="auto" w:fill="auto"/>
                  <w:vAlign w:val="center"/>
                </w:tcPr>
                <w:p w14:paraId="4FCA10D5">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826" w:type="pct"/>
                  <w:vMerge w:val="continue"/>
                  <w:tcBorders>
                    <w:tl2br w:val="nil"/>
                    <w:tr2bl w:val="nil"/>
                  </w:tcBorders>
                  <w:shd w:val="clear" w:color="auto" w:fill="auto"/>
                  <w:vAlign w:val="center"/>
                </w:tcPr>
                <w:p w14:paraId="27B19090">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785" w:type="pct"/>
                  <w:tcBorders>
                    <w:tl2br w:val="nil"/>
                    <w:tr2bl w:val="nil"/>
                  </w:tcBorders>
                  <w:shd w:val="clear" w:color="auto" w:fill="auto"/>
                  <w:vAlign w:val="center"/>
                </w:tcPr>
                <w:p w14:paraId="25629F2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厂界体积浓度最高处</w:t>
                  </w:r>
                </w:p>
              </w:tc>
              <w:tc>
                <w:tcPr>
                  <w:tcW w:w="2326" w:type="pct"/>
                  <w:tcBorders>
                    <w:tl2br w:val="nil"/>
                    <w:tr2bl w:val="nil"/>
                  </w:tcBorders>
                  <w:shd w:val="clear" w:color="auto" w:fill="auto"/>
                  <w:vAlign w:val="center"/>
                </w:tcPr>
                <w:p w14:paraId="4B9EA56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甲烷</w:t>
                  </w:r>
                </w:p>
              </w:tc>
              <w:tc>
                <w:tcPr>
                  <w:tcW w:w="673" w:type="pct"/>
                  <w:tcBorders>
                    <w:tl2br w:val="nil"/>
                    <w:tr2bl w:val="nil"/>
                  </w:tcBorders>
                  <w:shd w:val="clear" w:color="auto" w:fill="auto"/>
                  <w:vAlign w:val="center"/>
                </w:tcPr>
                <w:p w14:paraId="6BB005B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1次/年</w:t>
                  </w:r>
                </w:p>
              </w:tc>
            </w:tr>
            <w:tr w14:paraId="18810D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88" w:type="pct"/>
                  <w:vMerge w:val="restart"/>
                  <w:tcBorders>
                    <w:tl2br w:val="nil"/>
                    <w:tr2bl w:val="nil"/>
                  </w:tcBorders>
                  <w:shd w:val="clear" w:color="auto" w:fill="auto"/>
                  <w:vAlign w:val="center"/>
                </w:tcPr>
                <w:p w14:paraId="4173B9D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废水</w:t>
                  </w:r>
                </w:p>
              </w:tc>
              <w:tc>
                <w:tcPr>
                  <w:tcW w:w="1611" w:type="pct"/>
                  <w:gridSpan w:val="2"/>
                  <w:vMerge w:val="restart"/>
                  <w:tcBorders>
                    <w:tl2br w:val="nil"/>
                    <w:tr2bl w:val="nil"/>
                  </w:tcBorders>
                  <w:shd w:val="clear" w:color="auto" w:fill="auto"/>
                  <w:vAlign w:val="center"/>
                </w:tcPr>
                <w:p w14:paraId="561D281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进口</w:t>
                  </w:r>
                </w:p>
              </w:tc>
              <w:tc>
                <w:tcPr>
                  <w:tcW w:w="2326" w:type="pct"/>
                  <w:tcBorders>
                    <w:tl2br w:val="nil"/>
                    <w:tr2bl w:val="nil"/>
                  </w:tcBorders>
                  <w:shd w:val="clear" w:color="auto" w:fill="auto"/>
                  <w:vAlign w:val="center"/>
                </w:tcPr>
                <w:p w14:paraId="2DC17E5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流量、COD、NH</w:t>
                  </w: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₃-N</w:t>
                  </w:r>
                </w:p>
              </w:tc>
              <w:tc>
                <w:tcPr>
                  <w:tcW w:w="673" w:type="pct"/>
                  <w:tcBorders>
                    <w:tl2br w:val="nil"/>
                    <w:tr2bl w:val="nil"/>
                  </w:tcBorders>
                  <w:shd w:val="clear" w:color="auto" w:fill="auto"/>
                  <w:vAlign w:val="center"/>
                </w:tcPr>
                <w:p w14:paraId="3A1A286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自动监测</w:t>
                  </w:r>
                </w:p>
              </w:tc>
            </w:tr>
            <w:tr w14:paraId="1350C6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88" w:type="pct"/>
                  <w:vMerge w:val="continue"/>
                  <w:tcBorders>
                    <w:tl2br w:val="nil"/>
                    <w:tr2bl w:val="nil"/>
                  </w:tcBorders>
                  <w:shd w:val="clear" w:color="auto" w:fill="auto"/>
                  <w:vAlign w:val="center"/>
                </w:tcPr>
                <w:p w14:paraId="1272137F">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1611" w:type="pct"/>
                  <w:gridSpan w:val="2"/>
                  <w:vMerge w:val="continue"/>
                  <w:tcBorders>
                    <w:tl2br w:val="nil"/>
                    <w:tr2bl w:val="nil"/>
                  </w:tcBorders>
                  <w:shd w:val="clear" w:color="auto" w:fill="auto"/>
                  <w:vAlign w:val="center"/>
                </w:tcPr>
                <w:p w14:paraId="3B04E6B8">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2326" w:type="pct"/>
                  <w:tcBorders>
                    <w:tl2br w:val="nil"/>
                    <w:tr2bl w:val="nil"/>
                  </w:tcBorders>
                  <w:shd w:val="clear" w:color="auto" w:fill="auto"/>
                  <w:vAlign w:val="center"/>
                </w:tcPr>
                <w:p w14:paraId="2830F5A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TP、TN等</w:t>
                  </w:r>
                </w:p>
              </w:tc>
              <w:tc>
                <w:tcPr>
                  <w:tcW w:w="673" w:type="pct"/>
                  <w:tcBorders>
                    <w:tl2br w:val="nil"/>
                    <w:tr2bl w:val="nil"/>
                  </w:tcBorders>
                  <w:shd w:val="clear" w:color="auto" w:fill="auto"/>
                  <w:vAlign w:val="center"/>
                </w:tcPr>
                <w:p w14:paraId="43C04D4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日/次</w:t>
                  </w:r>
                </w:p>
              </w:tc>
            </w:tr>
            <w:tr w14:paraId="2DBD92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88" w:type="pct"/>
                  <w:vMerge w:val="continue"/>
                  <w:tcBorders>
                    <w:tl2br w:val="nil"/>
                    <w:tr2bl w:val="nil"/>
                  </w:tcBorders>
                  <w:shd w:val="clear" w:color="auto" w:fill="auto"/>
                  <w:vAlign w:val="center"/>
                </w:tcPr>
                <w:p w14:paraId="0FFD1D16">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1611" w:type="pct"/>
                  <w:gridSpan w:val="2"/>
                  <w:vMerge w:val="restart"/>
                  <w:tcBorders>
                    <w:tl2br w:val="nil"/>
                    <w:tr2bl w:val="nil"/>
                  </w:tcBorders>
                  <w:shd w:val="clear" w:color="auto" w:fill="auto"/>
                  <w:vAlign w:val="center"/>
                </w:tcPr>
                <w:p w14:paraId="14C5E64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出</w:t>
                  </w: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口</w:t>
                  </w:r>
                </w:p>
              </w:tc>
              <w:tc>
                <w:tcPr>
                  <w:tcW w:w="2326" w:type="pct"/>
                  <w:tcBorders>
                    <w:tl2br w:val="nil"/>
                    <w:tr2bl w:val="nil"/>
                  </w:tcBorders>
                  <w:shd w:val="clear" w:color="auto" w:fill="auto"/>
                  <w:vAlign w:val="center"/>
                </w:tcPr>
                <w:p w14:paraId="24FA49D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流量、pH、水温、COD、NH</w:t>
                  </w:r>
                  <w:r>
                    <w:rPr>
                      <w:rFonts w:hint="eastAsia" w:cs="Times New Roman" w:eastAsiaTheme="minorEastAsia"/>
                      <w:color w:val="000000" w:themeColor="text1"/>
                      <w:sz w:val="21"/>
                      <w:szCs w:val="21"/>
                      <w:highlight w:val="none"/>
                      <w:vertAlign w:val="subscript"/>
                      <w:lang w:val="en-US" w:eastAsia="zh-CN" w:bidi="ar"/>
                      <w14:textFill>
                        <w14:solidFill>
                          <w14:schemeClr w14:val="tx1"/>
                        </w14:solidFill>
                      </w14:textFill>
                    </w:rPr>
                    <w:t>3</w:t>
                  </w: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-N、TP、TN</w:t>
                  </w:r>
                </w:p>
              </w:tc>
              <w:tc>
                <w:tcPr>
                  <w:tcW w:w="673" w:type="pct"/>
                  <w:tcBorders>
                    <w:tl2br w:val="nil"/>
                    <w:tr2bl w:val="nil"/>
                  </w:tcBorders>
                  <w:shd w:val="clear" w:color="auto" w:fill="auto"/>
                  <w:vAlign w:val="center"/>
                </w:tcPr>
                <w:p w14:paraId="50EA0EE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自动监测</w:t>
                  </w:r>
                </w:p>
              </w:tc>
            </w:tr>
            <w:tr w14:paraId="2F682B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88" w:type="pct"/>
                  <w:vMerge w:val="continue"/>
                  <w:tcBorders>
                    <w:tl2br w:val="nil"/>
                    <w:tr2bl w:val="nil"/>
                  </w:tcBorders>
                  <w:shd w:val="clear" w:color="auto" w:fill="auto"/>
                  <w:vAlign w:val="center"/>
                </w:tcPr>
                <w:p w14:paraId="10125DD1">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1611" w:type="pct"/>
                  <w:gridSpan w:val="2"/>
                  <w:vMerge w:val="continue"/>
                  <w:tcBorders>
                    <w:tl2br w:val="nil"/>
                    <w:tr2bl w:val="nil"/>
                  </w:tcBorders>
                  <w:shd w:val="clear" w:color="auto" w:fill="auto"/>
                  <w:vAlign w:val="center"/>
                </w:tcPr>
                <w:p w14:paraId="10FB08F1">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2326" w:type="pct"/>
                  <w:tcBorders>
                    <w:tl2br w:val="nil"/>
                    <w:tr2bl w:val="nil"/>
                  </w:tcBorders>
                  <w:shd w:val="clear" w:color="auto" w:fill="auto"/>
                  <w:vAlign w:val="center"/>
                </w:tcPr>
                <w:p w14:paraId="065F9B6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SS、色度、BOD</w:t>
                  </w: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₅、动植物油、石油类、阴离子表面活性剂、粪大肠菌群</w:t>
                  </w:r>
                </w:p>
              </w:tc>
              <w:tc>
                <w:tcPr>
                  <w:tcW w:w="673" w:type="pct"/>
                  <w:tcBorders>
                    <w:tl2br w:val="nil"/>
                    <w:tr2bl w:val="nil"/>
                  </w:tcBorders>
                  <w:shd w:val="clear" w:color="auto" w:fill="auto"/>
                  <w:vAlign w:val="center"/>
                </w:tcPr>
                <w:p w14:paraId="11D7BF5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1次/月</w:t>
                  </w:r>
                </w:p>
              </w:tc>
            </w:tr>
            <w:tr w14:paraId="26E850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88" w:type="pct"/>
                  <w:vMerge w:val="continue"/>
                  <w:tcBorders>
                    <w:tl2br w:val="nil"/>
                    <w:tr2bl w:val="nil"/>
                  </w:tcBorders>
                  <w:shd w:val="clear" w:color="auto" w:fill="auto"/>
                  <w:vAlign w:val="center"/>
                </w:tcPr>
                <w:p w14:paraId="65D0C97D">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1611" w:type="pct"/>
                  <w:gridSpan w:val="2"/>
                  <w:vMerge w:val="continue"/>
                  <w:tcBorders>
                    <w:tl2br w:val="nil"/>
                    <w:tr2bl w:val="nil"/>
                  </w:tcBorders>
                  <w:shd w:val="clear" w:color="auto" w:fill="auto"/>
                  <w:vAlign w:val="center"/>
                </w:tcPr>
                <w:p w14:paraId="420A6EC2">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2326" w:type="pct"/>
                  <w:tcBorders>
                    <w:tl2br w:val="nil"/>
                    <w:tr2bl w:val="nil"/>
                  </w:tcBorders>
                  <w:shd w:val="clear" w:color="auto" w:fill="auto"/>
                  <w:vAlign w:val="center"/>
                </w:tcPr>
                <w:p w14:paraId="262FF19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总镉、总铬、总汞、总铅、总砷、六价铬</w:t>
                  </w:r>
                </w:p>
              </w:tc>
              <w:tc>
                <w:tcPr>
                  <w:tcW w:w="673" w:type="pct"/>
                  <w:tcBorders>
                    <w:tl2br w:val="nil"/>
                    <w:tr2bl w:val="nil"/>
                  </w:tcBorders>
                  <w:shd w:val="clear" w:color="auto" w:fill="auto"/>
                  <w:vAlign w:val="center"/>
                </w:tcPr>
                <w:p w14:paraId="0D1E802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1次/季度</w:t>
                  </w:r>
                </w:p>
              </w:tc>
            </w:tr>
            <w:tr w14:paraId="1C4916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88" w:type="pct"/>
                  <w:vMerge w:val="continue"/>
                  <w:tcBorders>
                    <w:tl2br w:val="nil"/>
                    <w:tr2bl w:val="nil"/>
                  </w:tcBorders>
                  <w:shd w:val="clear" w:color="auto" w:fill="auto"/>
                  <w:vAlign w:val="center"/>
                </w:tcPr>
                <w:p w14:paraId="63152897">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1611" w:type="pct"/>
                  <w:gridSpan w:val="2"/>
                  <w:vMerge w:val="continue"/>
                  <w:tcBorders>
                    <w:tl2br w:val="nil"/>
                    <w:tr2bl w:val="nil"/>
                  </w:tcBorders>
                  <w:shd w:val="clear" w:color="auto" w:fill="auto"/>
                  <w:vAlign w:val="center"/>
                </w:tcPr>
                <w:p w14:paraId="0BAB3A20">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2326" w:type="pct"/>
                  <w:tcBorders>
                    <w:tl2br w:val="nil"/>
                    <w:tr2bl w:val="nil"/>
                  </w:tcBorders>
                  <w:shd w:val="clear" w:color="auto" w:fill="auto"/>
                  <w:vAlign w:val="center"/>
                </w:tcPr>
                <w:p w14:paraId="700705E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烷基汞</w:t>
                  </w:r>
                </w:p>
              </w:tc>
              <w:tc>
                <w:tcPr>
                  <w:tcW w:w="673" w:type="pct"/>
                  <w:tcBorders>
                    <w:tl2br w:val="nil"/>
                    <w:tr2bl w:val="nil"/>
                  </w:tcBorders>
                  <w:shd w:val="clear" w:color="auto" w:fill="auto"/>
                  <w:vAlign w:val="center"/>
                </w:tcPr>
                <w:p w14:paraId="5EC0435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1次/半年</w:t>
                  </w:r>
                </w:p>
              </w:tc>
            </w:tr>
            <w:tr w14:paraId="16ED2F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388" w:type="pct"/>
                  <w:tcBorders>
                    <w:tl2br w:val="nil"/>
                    <w:tr2bl w:val="nil"/>
                  </w:tcBorders>
                  <w:shd w:val="clear" w:color="auto" w:fill="auto"/>
                  <w:vAlign w:val="center"/>
                </w:tcPr>
                <w:p w14:paraId="4E7CF0E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噪声</w:t>
                  </w:r>
                </w:p>
              </w:tc>
              <w:tc>
                <w:tcPr>
                  <w:tcW w:w="1611" w:type="pct"/>
                  <w:gridSpan w:val="2"/>
                  <w:tcBorders>
                    <w:tl2br w:val="nil"/>
                    <w:tr2bl w:val="nil"/>
                  </w:tcBorders>
                  <w:shd w:val="clear" w:color="auto" w:fill="auto"/>
                  <w:vAlign w:val="center"/>
                </w:tcPr>
                <w:p w14:paraId="48CB8DE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厂界外1米处及环境敏感点</w:t>
                  </w:r>
                </w:p>
              </w:tc>
              <w:tc>
                <w:tcPr>
                  <w:tcW w:w="2326" w:type="pct"/>
                  <w:tcBorders>
                    <w:tl2br w:val="nil"/>
                    <w:tr2bl w:val="nil"/>
                  </w:tcBorders>
                  <w:shd w:val="clear" w:color="auto" w:fill="auto"/>
                  <w:vAlign w:val="center"/>
                </w:tcPr>
                <w:p w14:paraId="50A37B2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等效连续A声级</w:t>
                  </w:r>
                </w:p>
              </w:tc>
              <w:tc>
                <w:tcPr>
                  <w:tcW w:w="673" w:type="pct"/>
                  <w:tcBorders>
                    <w:tl2br w:val="nil"/>
                    <w:tr2bl w:val="nil"/>
                  </w:tcBorders>
                  <w:shd w:val="clear" w:color="auto" w:fill="auto"/>
                  <w:vAlign w:val="center"/>
                </w:tcPr>
                <w:p w14:paraId="5A7DBA4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1次/季度</w:t>
                  </w:r>
                </w:p>
              </w:tc>
            </w:tr>
          </w:tbl>
          <w:p w14:paraId="5D176B36">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14:textFill>
                  <w14:solidFill>
                    <w14:schemeClr w14:val="tx1"/>
                  </w14:solidFill>
                </w14:textFill>
              </w:rPr>
            </w:pPr>
          </w:p>
          <w:p w14:paraId="63955185">
            <w:pPr>
              <w:keepNext w:val="0"/>
              <w:keepLines w:val="0"/>
              <w:pageBreakBefore w:val="0"/>
              <w:widowControl w:val="0"/>
              <w:kinsoku/>
              <w:wordWrap/>
              <w:overflowPunct/>
              <w:topLinePunct w:val="0"/>
              <w:autoSpaceDE/>
              <w:autoSpaceDN/>
              <w:bidi w:val="0"/>
              <w:adjustRightInd w:val="0"/>
              <w:snapToGrid w:val="0"/>
              <w:textAlignment w:val="auto"/>
              <w:rPr>
                <w:rFonts w:hint="eastAsia"/>
                <w:b/>
                <w:bCs/>
                <w:color w:val="000000" w:themeColor="text1"/>
                <w:highlight w:val="none"/>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11、</w:t>
            </w:r>
            <w:r>
              <w:rPr>
                <w:rFonts w:hint="eastAsia"/>
                <w:b/>
                <w:bCs/>
                <w:color w:val="000000" w:themeColor="text1"/>
                <w:highlight w:val="none"/>
                <w14:textFill>
                  <w14:solidFill>
                    <w14:schemeClr w14:val="tx1"/>
                  </w14:solidFill>
                </w14:textFill>
              </w:rPr>
              <w:t>环保投资估算</w:t>
            </w:r>
          </w:p>
          <w:p w14:paraId="36ED8A0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本项目总投资5480.97万元，环保投资</w:t>
            </w:r>
            <w:r>
              <w:rPr>
                <w:rFonts w:hint="eastAsia"/>
                <w:color w:val="000000" w:themeColor="text1"/>
                <w:highlight w:val="none"/>
                <w:lang w:val="en-US" w:eastAsia="zh-CN"/>
                <w14:textFill>
                  <w14:solidFill>
                    <w14:schemeClr w14:val="tx1"/>
                  </w14:solidFill>
                </w14:textFill>
              </w:rPr>
              <w:t>5480.97</w:t>
            </w:r>
            <w:r>
              <w:rPr>
                <w:rFonts w:hint="eastAsia"/>
                <w:color w:val="000000" w:themeColor="text1"/>
                <w:highlight w:val="none"/>
                <w14:textFill>
                  <w14:solidFill>
                    <w14:schemeClr w14:val="tx1"/>
                  </w14:solidFill>
                </w14:textFill>
              </w:rPr>
              <w:t>元，占项目总投资的</w:t>
            </w:r>
            <w:r>
              <w:rPr>
                <w:rFonts w:hint="eastAsia"/>
                <w:color w:val="000000" w:themeColor="text1"/>
                <w:highlight w:val="none"/>
                <w:lang w:val="en-US" w:eastAsia="zh-CN"/>
                <w14:textFill>
                  <w14:solidFill>
                    <w14:schemeClr w14:val="tx1"/>
                  </w14:solidFill>
                </w14:textFill>
              </w:rPr>
              <w:t>100</w:t>
            </w:r>
            <w:r>
              <w:rPr>
                <w:rFonts w:hint="eastAsia"/>
                <w:color w:val="000000" w:themeColor="text1"/>
                <w:highlight w:val="none"/>
                <w14:textFill>
                  <w14:solidFill>
                    <w14:schemeClr w14:val="tx1"/>
                  </w14:solidFill>
                </w14:textFill>
              </w:rPr>
              <w:t>%。详见下表。</w:t>
            </w:r>
          </w:p>
          <w:p w14:paraId="08F69126">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表4-25  项目环保设施及其估算一览表</w:t>
            </w:r>
          </w:p>
          <w:tbl>
            <w:tblPr>
              <w:tblStyle w:val="12"/>
              <w:tblW w:w="4998" w:type="pct"/>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430"/>
              <w:gridCol w:w="645"/>
              <w:gridCol w:w="490"/>
              <w:gridCol w:w="784"/>
              <w:gridCol w:w="5146"/>
              <w:gridCol w:w="1003"/>
            </w:tblGrid>
            <w:tr w14:paraId="00B5B7B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3" w:type="pct"/>
                  <w:tcBorders>
                    <w:tl2br w:val="nil"/>
                    <w:tr2bl w:val="nil"/>
                  </w:tcBorders>
                  <w:shd w:val="clear" w:color="auto" w:fill="auto"/>
                  <w:vAlign w:val="center"/>
                </w:tcPr>
                <w:p w14:paraId="0929958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类别</w:t>
                  </w:r>
                </w:p>
              </w:tc>
              <w:tc>
                <w:tcPr>
                  <w:tcW w:w="1129" w:type="pct"/>
                  <w:gridSpan w:val="3"/>
                  <w:tcBorders>
                    <w:tl2br w:val="nil"/>
                    <w:tr2bl w:val="nil"/>
                  </w:tcBorders>
                  <w:shd w:val="clear" w:color="auto" w:fill="auto"/>
                  <w:vAlign w:val="center"/>
                </w:tcPr>
                <w:p w14:paraId="2F1B9CC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污染物</w:t>
                  </w:r>
                </w:p>
              </w:tc>
              <w:tc>
                <w:tcPr>
                  <w:tcW w:w="3027" w:type="pct"/>
                  <w:tcBorders>
                    <w:tl2br w:val="nil"/>
                    <w:tr2bl w:val="nil"/>
                  </w:tcBorders>
                  <w:shd w:val="clear" w:color="auto" w:fill="auto"/>
                  <w:vAlign w:val="center"/>
                </w:tcPr>
                <w:p w14:paraId="35FDAE4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治理措施</w:t>
                  </w:r>
                </w:p>
              </w:tc>
              <w:tc>
                <w:tcPr>
                  <w:tcW w:w="590" w:type="pct"/>
                  <w:tcBorders>
                    <w:tl2br w:val="nil"/>
                    <w:tr2bl w:val="nil"/>
                  </w:tcBorders>
                  <w:shd w:val="clear" w:color="auto" w:fill="auto"/>
                  <w:vAlign w:val="center"/>
                </w:tcPr>
                <w:p w14:paraId="1C46C3A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环保投资（万元）</w:t>
                  </w:r>
                </w:p>
              </w:tc>
            </w:tr>
            <w:tr w14:paraId="24989B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3" w:type="pct"/>
                  <w:vMerge w:val="restart"/>
                  <w:tcBorders>
                    <w:tl2br w:val="nil"/>
                    <w:tr2bl w:val="nil"/>
                  </w:tcBorders>
                  <w:shd w:val="clear" w:color="auto" w:fill="auto"/>
                  <w:vAlign w:val="center"/>
                </w:tcPr>
                <w:p w14:paraId="1BF4CC3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施工期</w:t>
                  </w:r>
                </w:p>
              </w:tc>
              <w:tc>
                <w:tcPr>
                  <w:tcW w:w="379" w:type="pct"/>
                  <w:vMerge w:val="restart"/>
                  <w:tcBorders>
                    <w:tl2br w:val="nil"/>
                    <w:tr2bl w:val="nil"/>
                  </w:tcBorders>
                  <w:shd w:val="clear" w:color="auto" w:fill="auto"/>
                  <w:vAlign w:val="center"/>
                </w:tcPr>
                <w:p w14:paraId="77952F1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大气</w:t>
                  </w:r>
                </w:p>
              </w:tc>
              <w:tc>
                <w:tcPr>
                  <w:tcW w:w="749" w:type="pct"/>
                  <w:gridSpan w:val="2"/>
                  <w:tcBorders>
                    <w:tl2br w:val="nil"/>
                    <w:tr2bl w:val="nil"/>
                  </w:tcBorders>
                  <w:shd w:val="clear" w:color="auto" w:fill="auto"/>
                  <w:vAlign w:val="center"/>
                </w:tcPr>
                <w:p w14:paraId="464A6B0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扬尘</w:t>
                  </w:r>
                </w:p>
              </w:tc>
              <w:tc>
                <w:tcPr>
                  <w:tcW w:w="3027" w:type="pct"/>
                  <w:tcBorders>
                    <w:tl2br w:val="nil"/>
                    <w:tr2bl w:val="nil"/>
                  </w:tcBorders>
                  <w:shd w:val="clear" w:color="auto" w:fill="auto"/>
                  <w:vAlign w:val="center"/>
                </w:tcPr>
                <w:p w14:paraId="7B6FD4E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设置围挡，洒水降尘、及时清扫路面尘土，限制车速、运输车辆密闭、加强管理。</w:t>
                  </w:r>
                </w:p>
              </w:tc>
              <w:tc>
                <w:tcPr>
                  <w:tcW w:w="590" w:type="pct"/>
                  <w:tcBorders>
                    <w:tl2br w:val="nil"/>
                    <w:tr2bl w:val="nil"/>
                  </w:tcBorders>
                  <w:shd w:val="clear" w:color="auto" w:fill="auto"/>
                  <w:vAlign w:val="center"/>
                </w:tcPr>
                <w:p w14:paraId="17D6A73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w:t>
                  </w:r>
                </w:p>
              </w:tc>
            </w:tr>
            <w:tr w14:paraId="4F28A1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3" w:type="pct"/>
                  <w:vMerge w:val="continue"/>
                  <w:tcBorders>
                    <w:tl2br w:val="nil"/>
                    <w:tr2bl w:val="nil"/>
                  </w:tcBorders>
                  <w:shd w:val="clear" w:color="auto" w:fill="auto"/>
                  <w:vAlign w:val="center"/>
                </w:tcPr>
                <w:p w14:paraId="47594B56">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79" w:type="pct"/>
                  <w:vMerge w:val="continue"/>
                  <w:tcBorders>
                    <w:tl2br w:val="nil"/>
                    <w:tr2bl w:val="nil"/>
                  </w:tcBorders>
                  <w:shd w:val="clear" w:color="auto" w:fill="auto"/>
                  <w:vAlign w:val="center"/>
                </w:tcPr>
                <w:p w14:paraId="33FAB483">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749" w:type="pct"/>
                  <w:gridSpan w:val="2"/>
                  <w:tcBorders>
                    <w:tl2br w:val="nil"/>
                    <w:tr2bl w:val="nil"/>
                  </w:tcBorders>
                  <w:shd w:val="clear" w:color="auto" w:fill="auto"/>
                  <w:vAlign w:val="center"/>
                </w:tcPr>
                <w:p w14:paraId="14BD611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设备、机械废气</w:t>
                  </w:r>
                </w:p>
              </w:tc>
              <w:tc>
                <w:tcPr>
                  <w:tcW w:w="3027" w:type="pct"/>
                  <w:tcBorders>
                    <w:tl2br w:val="nil"/>
                    <w:tr2bl w:val="nil"/>
                  </w:tcBorders>
                  <w:shd w:val="clear" w:color="auto" w:fill="auto"/>
                  <w:vAlign w:val="center"/>
                </w:tcPr>
                <w:p w14:paraId="7566BFB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加强设备保养维护，优选电动设备。</w:t>
                  </w:r>
                </w:p>
              </w:tc>
              <w:tc>
                <w:tcPr>
                  <w:tcW w:w="590" w:type="pct"/>
                  <w:tcBorders>
                    <w:tl2br w:val="nil"/>
                    <w:tr2bl w:val="nil"/>
                  </w:tcBorders>
                  <w:shd w:val="clear" w:color="auto" w:fill="auto"/>
                  <w:vAlign w:val="center"/>
                </w:tcPr>
                <w:p w14:paraId="5B6F475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r>
            <w:tr w14:paraId="4D2470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3" w:type="pct"/>
                  <w:vMerge w:val="continue"/>
                  <w:tcBorders>
                    <w:tl2br w:val="nil"/>
                    <w:tr2bl w:val="nil"/>
                  </w:tcBorders>
                  <w:shd w:val="clear" w:color="auto" w:fill="auto"/>
                  <w:vAlign w:val="center"/>
                </w:tcPr>
                <w:p w14:paraId="249C5471">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79" w:type="pct"/>
                  <w:vMerge w:val="restart"/>
                  <w:tcBorders>
                    <w:tl2br w:val="nil"/>
                    <w:tr2bl w:val="nil"/>
                  </w:tcBorders>
                  <w:shd w:val="clear" w:color="auto" w:fill="auto"/>
                  <w:vAlign w:val="center"/>
                </w:tcPr>
                <w:p w14:paraId="3E8CB53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废水</w:t>
                  </w:r>
                </w:p>
              </w:tc>
              <w:tc>
                <w:tcPr>
                  <w:tcW w:w="749" w:type="pct"/>
                  <w:gridSpan w:val="2"/>
                  <w:tcBorders>
                    <w:tl2br w:val="nil"/>
                    <w:tr2bl w:val="nil"/>
                  </w:tcBorders>
                  <w:shd w:val="clear" w:color="auto" w:fill="auto"/>
                  <w:vAlign w:val="center"/>
                </w:tcPr>
                <w:p w14:paraId="486F5C4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施工废水</w:t>
                  </w:r>
                </w:p>
              </w:tc>
              <w:tc>
                <w:tcPr>
                  <w:tcW w:w="3027" w:type="pct"/>
                  <w:tcBorders>
                    <w:tl2br w:val="nil"/>
                    <w:tr2bl w:val="nil"/>
                  </w:tcBorders>
                  <w:shd w:val="clear" w:color="auto" w:fill="auto"/>
                  <w:vAlign w:val="center"/>
                </w:tcPr>
                <w:p w14:paraId="3296E09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施工废水经隔油、沉淀后回用，沉砂池采取防渗措施。</w:t>
                  </w:r>
                </w:p>
              </w:tc>
              <w:tc>
                <w:tcPr>
                  <w:tcW w:w="590" w:type="pct"/>
                  <w:tcBorders>
                    <w:tl2br w:val="nil"/>
                    <w:tr2bl w:val="nil"/>
                  </w:tcBorders>
                  <w:shd w:val="clear" w:color="auto" w:fill="auto"/>
                  <w:vAlign w:val="center"/>
                </w:tcPr>
                <w:p w14:paraId="543E7D1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r>
            <w:tr w14:paraId="438775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3" w:type="pct"/>
                  <w:vMerge w:val="continue"/>
                  <w:tcBorders>
                    <w:tl2br w:val="nil"/>
                    <w:tr2bl w:val="nil"/>
                  </w:tcBorders>
                  <w:shd w:val="clear" w:color="auto" w:fill="auto"/>
                  <w:vAlign w:val="center"/>
                </w:tcPr>
                <w:p w14:paraId="5AA6A9E1">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79" w:type="pct"/>
                  <w:vMerge w:val="continue"/>
                  <w:tcBorders>
                    <w:tl2br w:val="nil"/>
                    <w:tr2bl w:val="nil"/>
                  </w:tcBorders>
                  <w:shd w:val="clear" w:color="auto" w:fill="auto"/>
                  <w:vAlign w:val="center"/>
                </w:tcPr>
                <w:p w14:paraId="7AA2019D">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749" w:type="pct"/>
                  <w:gridSpan w:val="2"/>
                  <w:tcBorders>
                    <w:tl2br w:val="nil"/>
                    <w:tr2bl w:val="nil"/>
                  </w:tcBorders>
                  <w:shd w:val="clear" w:color="auto" w:fill="auto"/>
                  <w:vAlign w:val="center"/>
                </w:tcPr>
                <w:p w14:paraId="75848DE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生活废水</w:t>
                  </w:r>
                </w:p>
              </w:tc>
              <w:tc>
                <w:tcPr>
                  <w:tcW w:w="3027" w:type="pct"/>
                  <w:tcBorders>
                    <w:tl2br w:val="nil"/>
                    <w:tr2bl w:val="nil"/>
                  </w:tcBorders>
                  <w:shd w:val="clear" w:color="auto" w:fill="auto"/>
                  <w:vAlign w:val="center"/>
                </w:tcPr>
                <w:p w14:paraId="37225F0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依托厂区内既有污水处理设施。</w:t>
                  </w:r>
                </w:p>
              </w:tc>
              <w:tc>
                <w:tcPr>
                  <w:tcW w:w="590" w:type="pct"/>
                  <w:tcBorders>
                    <w:tl2br w:val="nil"/>
                    <w:tr2bl w:val="nil"/>
                  </w:tcBorders>
                  <w:shd w:val="clear" w:color="auto" w:fill="auto"/>
                  <w:vAlign w:val="center"/>
                </w:tcPr>
                <w:p w14:paraId="4756D95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212744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3" w:type="pct"/>
                  <w:vMerge w:val="continue"/>
                  <w:tcBorders>
                    <w:tl2br w:val="nil"/>
                    <w:tr2bl w:val="nil"/>
                  </w:tcBorders>
                  <w:shd w:val="clear" w:color="auto" w:fill="auto"/>
                  <w:vAlign w:val="center"/>
                </w:tcPr>
                <w:p w14:paraId="17776E33">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79" w:type="pct"/>
                  <w:tcBorders>
                    <w:tl2br w:val="nil"/>
                    <w:tr2bl w:val="nil"/>
                  </w:tcBorders>
                  <w:shd w:val="clear" w:color="auto" w:fill="auto"/>
                  <w:vAlign w:val="center"/>
                </w:tcPr>
                <w:p w14:paraId="03B94F2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噪声</w:t>
                  </w:r>
                </w:p>
              </w:tc>
              <w:tc>
                <w:tcPr>
                  <w:tcW w:w="749" w:type="pct"/>
                  <w:gridSpan w:val="2"/>
                  <w:tcBorders>
                    <w:tl2br w:val="nil"/>
                    <w:tr2bl w:val="nil"/>
                  </w:tcBorders>
                  <w:shd w:val="clear" w:color="auto" w:fill="auto"/>
                  <w:vAlign w:val="center"/>
                </w:tcPr>
                <w:p w14:paraId="2A3D315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机械设备</w:t>
                  </w:r>
                </w:p>
              </w:tc>
              <w:tc>
                <w:tcPr>
                  <w:tcW w:w="3027" w:type="pct"/>
                  <w:tcBorders>
                    <w:tl2br w:val="nil"/>
                    <w:tr2bl w:val="nil"/>
                  </w:tcBorders>
                  <w:shd w:val="clear" w:color="auto" w:fill="auto"/>
                  <w:vAlign w:val="center"/>
                </w:tcPr>
                <w:p w14:paraId="79B8F83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选用低噪声设备，同时加强设备的维护、保养，合理安排施工时间。</w:t>
                  </w:r>
                </w:p>
              </w:tc>
              <w:tc>
                <w:tcPr>
                  <w:tcW w:w="590" w:type="pct"/>
                  <w:tcBorders>
                    <w:tl2br w:val="nil"/>
                    <w:tr2bl w:val="nil"/>
                  </w:tcBorders>
                  <w:shd w:val="clear" w:color="auto" w:fill="auto"/>
                  <w:vAlign w:val="center"/>
                </w:tcPr>
                <w:p w14:paraId="53B54FB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w:t>
                  </w:r>
                </w:p>
              </w:tc>
            </w:tr>
            <w:tr w14:paraId="3C3BDEC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3" w:type="pct"/>
                  <w:vMerge w:val="continue"/>
                  <w:tcBorders>
                    <w:tl2br w:val="nil"/>
                    <w:tr2bl w:val="nil"/>
                  </w:tcBorders>
                  <w:shd w:val="clear" w:color="auto" w:fill="auto"/>
                  <w:vAlign w:val="center"/>
                </w:tcPr>
                <w:p w14:paraId="1248484A">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79" w:type="pct"/>
                  <w:vMerge w:val="restart"/>
                  <w:tcBorders>
                    <w:tl2br w:val="nil"/>
                    <w:tr2bl w:val="nil"/>
                  </w:tcBorders>
                  <w:shd w:val="clear" w:color="auto" w:fill="auto"/>
                  <w:vAlign w:val="center"/>
                </w:tcPr>
                <w:p w14:paraId="3BB5B13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固废</w:t>
                  </w:r>
                </w:p>
              </w:tc>
              <w:tc>
                <w:tcPr>
                  <w:tcW w:w="749" w:type="pct"/>
                  <w:gridSpan w:val="2"/>
                  <w:tcBorders>
                    <w:tl2br w:val="nil"/>
                    <w:tr2bl w:val="nil"/>
                  </w:tcBorders>
                  <w:shd w:val="clear" w:color="auto" w:fill="auto"/>
                  <w:vAlign w:val="center"/>
                </w:tcPr>
                <w:p w14:paraId="5176932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土石弃方</w:t>
                  </w:r>
                </w:p>
              </w:tc>
              <w:tc>
                <w:tcPr>
                  <w:tcW w:w="3027" w:type="pct"/>
                  <w:tcBorders>
                    <w:tl2br w:val="nil"/>
                    <w:tr2bl w:val="nil"/>
                  </w:tcBorders>
                  <w:shd w:val="clear" w:color="auto" w:fill="auto"/>
                  <w:vAlign w:val="center"/>
                </w:tcPr>
                <w:p w14:paraId="1951431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废弃土石方按照相关规定妥善处置。</w:t>
                  </w:r>
                </w:p>
              </w:tc>
              <w:tc>
                <w:tcPr>
                  <w:tcW w:w="590" w:type="pct"/>
                  <w:tcBorders>
                    <w:tl2br w:val="nil"/>
                    <w:tr2bl w:val="nil"/>
                  </w:tcBorders>
                  <w:shd w:val="clear" w:color="auto" w:fill="auto"/>
                  <w:vAlign w:val="center"/>
                </w:tcPr>
                <w:p w14:paraId="7FC711D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w:t>
                  </w:r>
                </w:p>
              </w:tc>
            </w:tr>
            <w:tr w14:paraId="0C1172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3" w:type="pct"/>
                  <w:vMerge w:val="continue"/>
                  <w:tcBorders>
                    <w:tl2br w:val="nil"/>
                    <w:tr2bl w:val="nil"/>
                  </w:tcBorders>
                  <w:shd w:val="clear" w:color="auto" w:fill="auto"/>
                  <w:vAlign w:val="center"/>
                </w:tcPr>
                <w:p w14:paraId="3AF0A5CD">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79" w:type="pct"/>
                  <w:vMerge w:val="continue"/>
                  <w:tcBorders>
                    <w:tl2br w:val="nil"/>
                    <w:tr2bl w:val="nil"/>
                  </w:tcBorders>
                  <w:shd w:val="clear" w:color="auto" w:fill="auto"/>
                  <w:vAlign w:val="center"/>
                </w:tcPr>
                <w:p w14:paraId="76C8104A">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749" w:type="pct"/>
                  <w:gridSpan w:val="2"/>
                  <w:tcBorders>
                    <w:tl2br w:val="nil"/>
                    <w:tr2bl w:val="nil"/>
                  </w:tcBorders>
                  <w:shd w:val="clear" w:color="auto" w:fill="auto"/>
                  <w:vAlign w:val="center"/>
                </w:tcPr>
                <w:p w14:paraId="2424077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生活垃圾</w:t>
                  </w:r>
                </w:p>
              </w:tc>
              <w:tc>
                <w:tcPr>
                  <w:tcW w:w="3027" w:type="pct"/>
                  <w:tcBorders>
                    <w:tl2br w:val="nil"/>
                    <w:tr2bl w:val="nil"/>
                  </w:tcBorders>
                  <w:shd w:val="clear" w:color="auto" w:fill="auto"/>
                  <w:vAlign w:val="center"/>
                </w:tcPr>
                <w:p w14:paraId="7AEF618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集中收集后交由市政环卫部门处置。</w:t>
                  </w:r>
                </w:p>
              </w:tc>
              <w:tc>
                <w:tcPr>
                  <w:tcW w:w="590" w:type="pct"/>
                  <w:tcBorders>
                    <w:tl2br w:val="nil"/>
                    <w:tr2bl w:val="nil"/>
                  </w:tcBorders>
                  <w:shd w:val="clear" w:color="auto" w:fill="auto"/>
                  <w:vAlign w:val="center"/>
                </w:tcPr>
                <w:p w14:paraId="318A7BA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r>
            <w:tr w14:paraId="6605D5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3" w:type="pct"/>
                  <w:vMerge w:val="restart"/>
                  <w:tcBorders>
                    <w:tl2br w:val="nil"/>
                    <w:tr2bl w:val="nil"/>
                  </w:tcBorders>
                  <w:shd w:val="clear" w:color="auto" w:fill="auto"/>
                  <w:vAlign w:val="center"/>
                </w:tcPr>
                <w:p w14:paraId="19E71B7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运营期</w:t>
                  </w:r>
                </w:p>
              </w:tc>
              <w:tc>
                <w:tcPr>
                  <w:tcW w:w="379" w:type="pct"/>
                  <w:tcBorders>
                    <w:tl2br w:val="nil"/>
                    <w:tr2bl w:val="nil"/>
                  </w:tcBorders>
                  <w:shd w:val="clear" w:color="auto" w:fill="auto"/>
                  <w:vAlign w:val="center"/>
                </w:tcPr>
                <w:p w14:paraId="1202B4C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废气</w:t>
                  </w:r>
                </w:p>
              </w:tc>
              <w:tc>
                <w:tcPr>
                  <w:tcW w:w="749" w:type="pct"/>
                  <w:gridSpan w:val="2"/>
                  <w:tcBorders>
                    <w:tl2br w:val="nil"/>
                    <w:tr2bl w:val="nil"/>
                  </w:tcBorders>
                  <w:shd w:val="clear" w:color="auto" w:fill="auto"/>
                  <w:vAlign w:val="center"/>
                </w:tcPr>
                <w:p w14:paraId="02DBEC1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恶臭</w:t>
                  </w:r>
                </w:p>
              </w:tc>
              <w:tc>
                <w:tcPr>
                  <w:tcW w:w="3027" w:type="pct"/>
                  <w:tcBorders>
                    <w:tl2br w:val="nil"/>
                    <w:tr2bl w:val="nil"/>
                  </w:tcBorders>
                  <w:shd w:val="clear" w:color="auto" w:fill="auto"/>
                  <w:vAlign w:val="center"/>
                </w:tcPr>
                <w:p w14:paraId="43E08DD8">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对预处理单元、生化处理系统以及污泥处理单元进行加盖、密封，用于恶臭气体的收集（收集率≥95%）、净化处理（去除率75%），处理后的尾气无组织达标排放。同时，加强厂区室内通风，剩余污泥及时清运。通过加强环境管理，加强车间通风换气及设备维护、检修，加强厂区绿化等。</w:t>
                  </w:r>
                </w:p>
              </w:tc>
              <w:tc>
                <w:tcPr>
                  <w:tcW w:w="590" w:type="pct"/>
                  <w:tcBorders>
                    <w:tl2br w:val="nil"/>
                    <w:tr2bl w:val="nil"/>
                  </w:tcBorders>
                  <w:shd w:val="clear" w:color="auto" w:fill="auto"/>
                  <w:vAlign w:val="center"/>
                </w:tcPr>
                <w:p w14:paraId="0D07B1C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w:t>
                  </w:r>
                </w:p>
              </w:tc>
            </w:tr>
            <w:tr w14:paraId="0B7F22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3" w:type="pct"/>
                  <w:vMerge w:val="continue"/>
                  <w:tcBorders>
                    <w:tl2br w:val="nil"/>
                    <w:tr2bl w:val="nil"/>
                  </w:tcBorders>
                  <w:shd w:val="clear" w:color="auto" w:fill="auto"/>
                  <w:vAlign w:val="center"/>
                </w:tcPr>
                <w:p w14:paraId="70CFF0EF">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79" w:type="pct"/>
                  <w:tcBorders>
                    <w:tl2br w:val="nil"/>
                    <w:tr2bl w:val="nil"/>
                  </w:tcBorders>
                  <w:shd w:val="clear" w:color="auto" w:fill="auto"/>
                  <w:vAlign w:val="center"/>
                </w:tcPr>
                <w:p w14:paraId="1C55B8B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废水</w:t>
                  </w:r>
                </w:p>
              </w:tc>
              <w:tc>
                <w:tcPr>
                  <w:tcW w:w="749" w:type="pct"/>
                  <w:gridSpan w:val="2"/>
                  <w:tcBorders>
                    <w:tl2br w:val="nil"/>
                    <w:tr2bl w:val="nil"/>
                  </w:tcBorders>
                  <w:shd w:val="clear" w:color="auto" w:fill="auto"/>
                  <w:vAlign w:val="center"/>
                </w:tcPr>
                <w:p w14:paraId="3F2FF55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生产废水</w:t>
                  </w:r>
                </w:p>
              </w:tc>
              <w:tc>
                <w:tcPr>
                  <w:tcW w:w="3027" w:type="pct"/>
                  <w:tcBorders>
                    <w:tl2br w:val="nil"/>
                    <w:tr2bl w:val="nil"/>
                  </w:tcBorders>
                  <w:shd w:val="clear" w:color="auto" w:fill="auto"/>
                  <w:vAlign w:val="center"/>
                </w:tcPr>
                <w:p w14:paraId="378BAAAF">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污泥脱水滤液等生产废水返回到粗格栅间，与进厂污水一并处理达标后排放。</w:t>
                  </w:r>
                </w:p>
              </w:tc>
              <w:tc>
                <w:tcPr>
                  <w:tcW w:w="590" w:type="pct"/>
                  <w:vMerge w:val="restart"/>
                  <w:tcBorders>
                    <w:tl2br w:val="nil"/>
                    <w:tr2bl w:val="nil"/>
                  </w:tcBorders>
                  <w:shd w:val="clear" w:color="auto" w:fill="auto"/>
                  <w:vAlign w:val="center"/>
                </w:tcPr>
                <w:p w14:paraId="153E3FB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3368.69</w:t>
                  </w:r>
                </w:p>
              </w:tc>
            </w:tr>
            <w:tr w14:paraId="22F8DA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3" w:type="pct"/>
                  <w:vMerge w:val="continue"/>
                  <w:tcBorders>
                    <w:tl2br w:val="nil"/>
                    <w:tr2bl w:val="nil"/>
                  </w:tcBorders>
                  <w:shd w:val="clear" w:color="auto" w:fill="auto"/>
                  <w:vAlign w:val="center"/>
                </w:tcPr>
                <w:p w14:paraId="270F08F2">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79" w:type="pct"/>
                  <w:vMerge w:val="restart"/>
                  <w:tcBorders>
                    <w:tl2br w:val="nil"/>
                    <w:tr2bl w:val="nil"/>
                  </w:tcBorders>
                  <w:shd w:val="clear" w:color="auto" w:fill="auto"/>
                  <w:vAlign w:val="center"/>
                </w:tcPr>
                <w:p w14:paraId="7908BEE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噪声</w:t>
                  </w:r>
                </w:p>
              </w:tc>
              <w:tc>
                <w:tcPr>
                  <w:tcW w:w="749" w:type="pct"/>
                  <w:gridSpan w:val="2"/>
                  <w:vMerge w:val="restart"/>
                  <w:tcBorders>
                    <w:tl2br w:val="nil"/>
                    <w:tr2bl w:val="nil"/>
                  </w:tcBorders>
                  <w:shd w:val="clear" w:color="auto" w:fill="auto"/>
                  <w:vAlign w:val="center"/>
                </w:tcPr>
                <w:p w14:paraId="7828674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泵房、风机房</w:t>
                  </w:r>
                </w:p>
              </w:tc>
              <w:tc>
                <w:tcPr>
                  <w:tcW w:w="3027" w:type="pct"/>
                  <w:tcBorders>
                    <w:tl2br w:val="nil"/>
                    <w:tr2bl w:val="nil"/>
                  </w:tcBorders>
                  <w:shd w:val="clear" w:color="auto" w:fill="auto"/>
                  <w:vAlign w:val="center"/>
                </w:tcPr>
                <w:p w14:paraId="1AAF641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选用环保型低噪声设备，加强设备的维护和保养。</w:t>
                  </w:r>
                </w:p>
              </w:tc>
              <w:tc>
                <w:tcPr>
                  <w:tcW w:w="590" w:type="pct"/>
                  <w:vMerge w:val="continue"/>
                  <w:tcBorders>
                    <w:tl2br w:val="nil"/>
                    <w:tr2bl w:val="nil"/>
                  </w:tcBorders>
                  <w:shd w:val="clear" w:color="auto" w:fill="auto"/>
                  <w:vAlign w:val="center"/>
                </w:tcPr>
                <w:p w14:paraId="24D8C88A">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336D78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3" w:type="pct"/>
                  <w:vMerge w:val="continue"/>
                  <w:tcBorders>
                    <w:tl2br w:val="nil"/>
                    <w:tr2bl w:val="nil"/>
                  </w:tcBorders>
                  <w:shd w:val="clear" w:color="auto" w:fill="auto"/>
                  <w:vAlign w:val="center"/>
                </w:tcPr>
                <w:p w14:paraId="25017B50">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79" w:type="pct"/>
                  <w:vMerge w:val="continue"/>
                  <w:tcBorders>
                    <w:tl2br w:val="nil"/>
                    <w:tr2bl w:val="nil"/>
                  </w:tcBorders>
                  <w:shd w:val="clear" w:color="auto" w:fill="auto"/>
                  <w:vAlign w:val="center"/>
                </w:tcPr>
                <w:p w14:paraId="53674F05">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749" w:type="pct"/>
                  <w:gridSpan w:val="2"/>
                  <w:vMerge w:val="continue"/>
                  <w:tcBorders>
                    <w:tl2br w:val="nil"/>
                    <w:tr2bl w:val="nil"/>
                  </w:tcBorders>
                  <w:shd w:val="clear" w:color="auto" w:fill="auto"/>
                  <w:vAlign w:val="center"/>
                </w:tcPr>
                <w:p w14:paraId="283C7F6E">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027" w:type="pct"/>
                  <w:tcBorders>
                    <w:tl2br w:val="nil"/>
                    <w:tr2bl w:val="nil"/>
                  </w:tcBorders>
                  <w:shd w:val="clear" w:color="auto" w:fill="auto"/>
                  <w:vAlign w:val="center"/>
                </w:tcPr>
                <w:p w14:paraId="6CFEBFA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设备基础</w:t>
                  </w:r>
                  <w:r>
                    <w:rPr>
                      <w:rFonts w:hint="eastAsia" w:cs="Times New Roman"/>
                      <w:color w:val="000000" w:themeColor="text1"/>
                      <w:sz w:val="21"/>
                      <w:szCs w:val="21"/>
                      <w:highlight w:val="none"/>
                      <w:lang w:val="en-US" w:eastAsia="zh-CN" w:bidi="ar"/>
                      <w14:textFill>
                        <w14:solidFill>
                          <w14:schemeClr w14:val="tx1"/>
                        </w14:solidFill>
                      </w14:textFill>
                    </w:rPr>
                    <w:t>减震</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、设备房间降噪、隔声。</w:t>
                  </w:r>
                </w:p>
              </w:tc>
              <w:tc>
                <w:tcPr>
                  <w:tcW w:w="590" w:type="pct"/>
                  <w:tcBorders>
                    <w:tl2br w:val="nil"/>
                    <w:tr2bl w:val="nil"/>
                  </w:tcBorders>
                  <w:shd w:val="clear" w:color="auto" w:fill="auto"/>
                  <w:vAlign w:val="center"/>
                </w:tcPr>
                <w:p w14:paraId="6CE7E50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r>
            <w:tr w14:paraId="16CBCC0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3" w:type="pct"/>
                  <w:vMerge w:val="continue"/>
                  <w:tcBorders>
                    <w:tl2br w:val="nil"/>
                    <w:tr2bl w:val="nil"/>
                  </w:tcBorders>
                  <w:shd w:val="clear" w:color="auto" w:fill="auto"/>
                  <w:vAlign w:val="center"/>
                </w:tcPr>
                <w:p w14:paraId="1011F416">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79" w:type="pct"/>
                  <w:vMerge w:val="restart"/>
                  <w:tcBorders>
                    <w:tl2br w:val="nil"/>
                    <w:tr2bl w:val="nil"/>
                  </w:tcBorders>
                  <w:shd w:val="clear" w:color="auto" w:fill="auto"/>
                  <w:vAlign w:val="center"/>
                </w:tcPr>
                <w:p w14:paraId="6296C73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固废</w:t>
                  </w:r>
                </w:p>
              </w:tc>
              <w:tc>
                <w:tcPr>
                  <w:tcW w:w="288" w:type="pct"/>
                  <w:vMerge w:val="restart"/>
                  <w:tcBorders>
                    <w:tl2br w:val="nil"/>
                    <w:tr2bl w:val="nil"/>
                  </w:tcBorders>
                  <w:shd w:val="clear" w:color="auto" w:fill="auto"/>
                  <w:vAlign w:val="center"/>
                </w:tcPr>
                <w:p w14:paraId="009F54F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一般固废</w:t>
                  </w:r>
                </w:p>
              </w:tc>
              <w:tc>
                <w:tcPr>
                  <w:tcW w:w="461" w:type="pct"/>
                  <w:tcBorders>
                    <w:tl2br w:val="nil"/>
                    <w:tr2bl w:val="nil"/>
                  </w:tcBorders>
                  <w:shd w:val="clear" w:color="auto" w:fill="auto"/>
                  <w:vAlign w:val="center"/>
                </w:tcPr>
                <w:p w14:paraId="235E723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栅渣、沉砂</w:t>
                  </w:r>
                </w:p>
              </w:tc>
              <w:tc>
                <w:tcPr>
                  <w:tcW w:w="3027" w:type="pct"/>
                  <w:tcBorders>
                    <w:tl2br w:val="nil"/>
                    <w:tr2bl w:val="nil"/>
                  </w:tcBorders>
                  <w:shd w:val="clear" w:color="auto" w:fill="auto"/>
                  <w:vAlign w:val="center"/>
                </w:tcPr>
                <w:p w14:paraId="0E73623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由环卫部门收运与处理处置。</w:t>
                  </w:r>
                </w:p>
              </w:tc>
              <w:tc>
                <w:tcPr>
                  <w:tcW w:w="590" w:type="pct"/>
                  <w:tcBorders>
                    <w:tl2br w:val="nil"/>
                    <w:tr2bl w:val="nil"/>
                  </w:tcBorders>
                  <w:shd w:val="clear" w:color="auto" w:fill="auto"/>
                  <w:vAlign w:val="center"/>
                </w:tcPr>
                <w:p w14:paraId="73DA8DA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r>
            <w:tr w14:paraId="0E565C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3" w:type="pct"/>
                  <w:vMerge w:val="continue"/>
                  <w:tcBorders>
                    <w:tl2br w:val="nil"/>
                    <w:tr2bl w:val="nil"/>
                  </w:tcBorders>
                  <w:shd w:val="clear" w:color="auto" w:fill="auto"/>
                  <w:vAlign w:val="center"/>
                </w:tcPr>
                <w:p w14:paraId="1B8B6315">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79" w:type="pct"/>
                  <w:vMerge w:val="continue"/>
                  <w:tcBorders>
                    <w:tl2br w:val="nil"/>
                    <w:tr2bl w:val="nil"/>
                  </w:tcBorders>
                  <w:shd w:val="clear" w:color="auto" w:fill="auto"/>
                  <w:vAlign w:val="center"/>
                </w:tcPr>
                <w:p w14:paraId="551A0174">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288" w:type="pct"/>
                  <w:vMerge w:val="continue"/>
                  <w:tcBorders>
                    <w:tl2br w:val="nil"/>
                    <w:tr2bl w:val="nil"/>
                  </w:tcBorders>
                  <w:shd w:val="clear" w:color="auto" w:fill="auto"/>
                  <w:vAlign w:val="center"/>
                </w:tcPr>
                <w:p w14:paraId="4EE473D5">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461" w:type="pct"/>
                  <w:tcBorders>
                    <w:tl2br w:val="nil"/>
                    <w:tr2bl w:val="nil"/>
                  </w:tcBorders>
                  <w:shd w:val="clear" w:color="auto" w:fill="auto"/>
                  <w:vAlign w:val="center"/>
                </w:tcPr>
                <w:p w14:paraId="2BA0181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污泥</w:t>
                  </w:r>
                </w:p>
              </w:tc>
              <w:tc>
                <w:tcPr>
                  <w:tcW w:w="3027" w:type="pct"/>
                  <w:tcBorders>
                    <w:tl2br w:val="nil"/>
                    <w:tr2bl w:val="nil"/>
                  </w:tcBorders>
                  <w:shd w:val="clear" w:color="auto" w:fill="auto"/>
                  <w:vAlign w:val="center"/>
                </w:tcPr>
                <w:p w14:paraId="4576586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经脱水后，外运第三方单位处置。</w:t>
                  </w:r>
                </w:p>
              </w:tc>
              <w:tc>
                <w:tcPr>
                  <w:tcW w:w="590" w:type="pct"/>
                  <w:tcBorders>
                    <w:tl2br w:val="nil"/>
                    <w:tr2bl w:val="nil"/>
                  </w:tcBorders>
                  <w:shd w:val="clear" w:color="auto" w:fill="auto"/>
                  <w:vAlign w:val="center"/>
                </w:tcPr>
                <w:p w14:paraId="683FE61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w:t>
                  </w:r>
                </w:p>
              </w:tc>
            </w:tr>
            <w:tr w14:paraId="655E56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3" w:type="pct"/>
                  <w:vMerge w:val="continue"/>
                  <w:tcBorders>
                    <w:tl2br w:val="nil"/>
                    <w:tr2bl w:val="nil"/>
                  </w:tcBorders>
                  <w:shd w:val="clear" w:color="auto" w:fill="auto"/>
                  <w:vAlign w:val="center"/>
                </w:tcPr>
                <w:p w14:paraId="14BE05C4">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79" w:type="pct"/>
                  <w:vMerge w:val="continue"/>
                  <w:tcBorders>
                    <w:tl2br w:val="nil"/>
                    <w:tr2bl w:val="nil"/>
                  </w:tcBorders>
                  <w:shd w:val="clear" w:color="auto" w:fill="auto"/>
                  <w:vAlign w:val="center"/>
                </w:tcPr>
                <w:p w14:paraId="04E12B5C">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288" w:type="pct"/>
                  <w:vMerge w:val="restart"/>
                  <w:tcBorders>
                    <w:tl2br w:val="nil"/>
                    <w:tr2bl w:val="nil"/>
                  </w:tcBorders>
                  <w:shd w:val="clear" w:color="auto" w:fill="auto"/>
                  <w:vAlign w:val="center"/>
                </w:tcPr>
                <w:p w14:paraId="48840DF0">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t>危险废物</w:t>
                  </w:r>
                </w:p>
              </w:tc>
              <w:tc>
                <w:tcPr>
                  <w:tcW w:w="461" w:type="pct"/>
                  <w:tcBorders>
                    <w:tl2br w:val="nil"/>
                    <w:tr2bl w:val="nil"/>
                  </w:tcBorders>
                  <w:shd w:val="clear" w:color="auto" w:fill="auto"/>
                  <w:vAlign w:val="center"/>
                </w:tcPr>
                <w:p w14:paraId="567B810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在线监测废液</w:t>
                  </w:r>
                </w:p>
              </w:tc>
              <w:tc>
                <w:tcPr>
                  <w:tcW w:w="3027" w:type="pct"/>
                  <w:vMerge w:val="restart"/>
                  <w:tcBorders>
                    <w:tl2br w:val="nil"/>
                    <w:tr2bl w:val="nil"/>
                  </w:tcBorders>
                  <w:shd w:val="clear" w:color="auto" w:fill="auto"/>
                  <w:vAlign w:val="center"/>
                </w:tcPr>
                <w:p w14:paraId="17DBBDB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暂存于二期危险废物暂存间，定期委托有资质单位处置。</w:t>
                  </w:r>
                </w:p>
              </w:tc>
              <w:tc>
                <w:tcPr>
                  <w:tcW w:w="590" w:type="pct"/>
                  <w:vMerge w:val="restart"/>
                  <w:tcBorders>
                    <w:tl2br w:val="nil"/>
                    <w:tr2bl w:val="nil"/>
                  </w:tcBorders>
                  <w:shd w:val="clear" w:color="auto" w:fill="auto"/>
                  <w:vAlign w:val="center"/>
                </w:tcPr>
                <w:p w14:paraId="24C2C85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20</w:t>
                  </w:r>
                </w:p>
              </w:tc>
            </w:tr>
            <w:tr w14:paraId="0C9089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3" w:type="pct"/>
                  <w:vMerge w:val="continue"/>
                  <w:tcBorders>
                    <w:tl2br w:val="nil"/>
                    <w:tr2bl w:val="nil"/>
                  </w:tcBorders>
                  <w:shd w:val="clear" w:color="auto" w:fill="auto"/>
                  <w:vAlign w:val="center"/>
                </w:tcPr>
                <w:p w14:paraId="4E403D3D">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79" w:type="pct"/>
                  <w:vMerge w:val="continue"/>
                  <w:tcBorders>
                    <w:tl2br w:val="nil"/>
                    <w:tr2bl w:val="nil"/>
                  </w:tcBorders>
                  <w:shd w:val="clear" w:color="auto" w:fill="auto"/>
                  <w:vAlign w:val="center"/>
                </w:tcPr>
                <w:p w14:paraId="2CEA7394">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288" w:type="pct"/>
                  <w:vMerge w:val="continue"/>
                  <w:tcBorders>
                    <w:tl2br w:val="nil"/>
                    <w:tr2bl w:val="nil"/>
                  </w:tcBorders>
                  <w:shd w:val="clear" w:color="auto" w:fill="auto"/>
                  <w:vAlign w:val="center"/>
                </w:tcPr>
                <w:p w14:paraId="138C2C32">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p>
              </w:tc>
              <w:tc>
                <w:tcPr>
                  <w:tcW w:w="461" w:type="pct"/>
                  <w:tcBorders>
                    <w:tl2br w:val="nil"/>
                    <w:tr2bl w:val="nil"/>
                  </w:tcBorders>
                  <w:shd w:val="clear" w:color="auto" w:fill="auto"/>
                  <w:vAlign w:val="center"/>
                </w:tcPr>
                <w:p w14:paraId="0B629AD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eastAsia" w:cs="Times New Roman"/>
                      <w:color w:val="000000" w:themeColor="text1"/>
                      <w:sz w:val="21"/>
                      <w:szCs w:val="21"/>
                      <w:highlight w:val="none"/>
                      <w:lang w:val="en-US" w:eastAsia="zh-CN" w:bidi="ar"/>
                      <w14:textFill>
                        <w14:solidFill>
                          <w14:schemeClr w14:val="tx1"/>
                        </w14:solidFill>
                      </w14:textFill>
                    </w:rPr>
                    <w:t>废活性炭</w:t>
                  </w:r>
                </w:p>
              </w:tc>
              <w:tc>
                <w:tcPr>
                  <w:tcW w:w="3027" w:type="pct"/>
                  <w:vMerge w:val="continue"/>
                  <w:tcBorders>
                    <w:tl2br w:val="nil"/>
                    <w:tr2bl w:val="nil"/>
                  </w:tcBorders>
                  <w:shd w:val="clear" w:color="auto" w:fill="auto"/>
                  <w:vAlign w:val="center"/>
                </w:tcPr>
                <w:p w14:paraId="736BF8A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p>
              </w:tc>
              <w:tc>
                <w:tcPr>
                  <w:tcW w:w="590" w:type="pct"/>
                  <w:vMerge w:val="continue"/>
                  <w:tcBorders>
                    <w:tl2br w:val="nil"/>
                    <w:tr2bl w:val="nil"/>
                  </w:tcBorders>
                  <w:shd w:val="clear" w:color="auto" w:fill="auto"/>
                  <w:vAlign w:val="center"/>
                </w:tcPr>
                <w:p w14:paraId="5149F5E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top"/>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pPr>
                </w:p>
              </w:tc>
            </w:tr>
            <w:tr w14:paraId="09ED56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3" w:type="pct"/>
                  <w:vMerge w:val="continue"/>
                  <w:tcBorders>
                    <w:tl2br w:val="nil"/>
                    <w:tr2bl w:val="nil"/>
                  </w:tcBorders>
                  <w:shd w:val="clear" w:color="auto" w:fill="auto"/>
                  <w:vAlign w:val="center"/>
                </w:tcPr>
                <w:p w14:paraId="2BD470D2">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129" w:type="pct"/>
                  <w:gridSpan w:val="3"/>
                  <w:vMerge w:val="restart"/>
                  <w:tcBorders>
                    <w:tl2br w:val="nil"/>
                    <w:tr2bl w:val="nil"/>
                  </w:tcBorders>
                  <w:shd w:val="clear" w:color="auto" w:fill="auto"/>
                  <w:vAlign w:val="center"/>
                </w:tcPr>
                <w:p w14:paraId="3FE1C41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地下水、土壤及风险防治</w:t>
                  </w:r>
                </w:p>
              </w:tc>
              <w:tc>
                <w:tcPr>
                  <w:tcW w:w="3027" w:type="pct"/>
                  <w:tcBorders>
                    <w:tl2br w:val="nil"/>
                    <w:tr2bl w:val="nil"/>
                  </w:tcBorders>
                  <w:shd w:val="clear" w:color="auto" w:fill="auto"/>
                  <w:vAlign w:val="center"/>
                </w:tcPr>
                <w:p w14:paraId="661345FC">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重点防渗区域：新建厌氧缺氧池、MBR膜池及膜车间等；防渗技术要求为等效粘土防渗层Mb≥6.0m，防渗系数K≤1.0×10</w:t>
                  </w:r>
                  <w:r>
                    <w:rPr>
                      <w:rFonts w:hint="default" w:ascii="Times New Roman" w:hAnsi="Times New Roman" w:eastAsia="宋体" w:cs="Times New Roman"/>
                      <w:i w:val="0"/>
                      <w:iCs w:val="0"/>
                      <w:color w:val="000000" w:themeColor="text1"/>
                      <w:kern w:val="0"/>
                      <w:sz w:val="21"/>
                      <w:szCs w:val="21"/>
                      <w:highlight w:val="none"/>
                      <w:u w:val="none"/>
                      <w:vertAlign w:val="superscript"/>
                      <w:lang w:val="en-US" w:eastAsia="zh-CN" w:bidi="ar"/>
                      <w14:textFill>
                        <w14:solidFill>
                          <w14:schemeClr w14:val="tx1"/>
                        </w14:solidFill>
                      </w14:textFill>
                    </w:rPr>
                    <w:t>-7</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cm/s。</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一般防渗区：MBR膜车间的设备间等。防渗技术要求为等效粘土防渗层Mb≥1.5m，防渗系数K≤1.0×10</w:t>
                  </w:r>
                  <w:r>
                    <w:rPr>
                      <w:rFonts w:hint="default" w:ascii="Times New Roman" w:hAnsi="Times New Roman" w:eastAsia="宋体" w:cs="Times New Roman"/>
                      <w:i w:val="0"/>
                      <w:iCs w:val="0"/>
                      <w:color w:val="000000" w:themeColor="text1"/>
                      <w:kern w:val="0"/>
                      <w:sz w:val="21"/>
                      <w:szCs w:val="21"/>
                      <w:highlight w:val="none"/>
                      <w:u w:val="none"/>
                      <w:vertAlign w:val="superscript"/>
                      <w:lang w:val="en-US" w:eastAsia="zh-CN" w:bidi="ar"/>
                      <w14:textFill>
                        <w14:solidFill>
                          <w14:schemeClr w14:val="tx1"/>
                        </w14:solidFill>
                      </w14:textFill>
                    </w:rPr>
                    <w:t>-7</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cm/s。</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br w:type="textWrapping"/>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简单防渗区：道路等。防渗技术要求为一般地面硬化。</w:t>
                  </w:r>
                </w:p>
              </w:tc>
              <w:tc>
                <w:tcPr>
                  <w:tcW w:w="590" w:type="pct"/>
                  <w:vMerge w:val="restart"/>
                  <w:tcBorders>
                    <w:tl2br w:val="nil"/>
                    <w:tr2bl w:val="nil"/>
                  </w:tcBorders>
                  <w:shd w:val="clear" w:color="auto" w:fill="auto"/>
                  <w:vAlign w:val="center"/>
                </w:tcPr>
                <w:p w14:paraId="7DDE6478">
                  <w:pPr>
                    <w:keepNext w:val="0"/>
                    <w:keepLines w:val="0"/>
                    <w:pageBreakBefore w:val="0"/>
                    <w:widowControl/>
                    <w:suppressLineNumbers w:val="0"/>
                    <w:kinsoku/>
                    <w:wordWrap/>
                    <w:overflowPunct/>
                    <w:topLinePunct w:val="0"/>
                    <w:autoSpaceDE/>
                    <w:autoSpaceDN/>
                    <w:bidi w:val="0"/>
                    <w:adjustRightInd w:val="0"/>
                    <w:snapToGrid w:val="0"/>
                    <w:spacing w:afterAutospacing="0" w:line="240" w:lineRule="auto"/>
                    <w:jc w:val="center"/>
                    <w:textAlignment w:val="top"/>
                    <w:rPr>
                      <w:rFonts w:hint="default" w:ascii="Times New Roman" w:hAnsi="Times New Roman" w:eastAsia="宋体" w:cs="Times New Roman"/>
                      <w:i w:val="0"/>
                      <w:iCs w:val="0"/>
                      <w:color w:val="000000" w:themeColor="text1"/>
                      <w:sz w:val="21"/>
                      <w:szCs w:val="21"/>
                      <w:highlight w:val="none"/>
                      <w:u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1968.28</w:t>
                  </w:r>
                </w:p>
              </w:tc>
            </w:tr>
            <w:tr w14:paraId="1E7117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253" w:type="pct"/>
                  <w:vMerge w:val="continue"/>
                  <w:tcBorders>
                    <w:tl2br w:val="nil"/>
                    <w:tr2bl w:val="nil"/>
                  </w:tcBorders>
                  <w:shd w:val="clear" w:color="auto" w:fill="auto"/>
                  <w:vAlign w:val="center"/>
                </w:tcPr>
                <w:p w14:paraId="37E06177">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129" w:type="pct"/>
                  <w:gridSpan w:val="3"/>
                  <w:vMerge w:val="continue"/>
                  <w:tcBorders>
                    <w:tl2br w:val="nil"/>
                    <w:tr2bl w:val="nil"/>
                  </w:tcBorders>
                  <w:shd w:val="clear" w:color="auto" w:fill="auto"/>
                  <w:vAlign w:val="center"/>
                </w:tcPr>
                <w:p w14:paraId="26183094">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027" w:type="pct"/>
                  <w:tcBorders>
                    <w:tl2br w:val="nil"/>
                    <w:tr2bl w:val="nil"/>
                  </w:tcBorders>
                  <w:shd w:val="clear" w:color="auto" w:fill="auto"/>
                  <w:vAlign w:val="center"/>
                </w:tcPr>
                <w:p w14:paraId="47C26F51">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污水输送管道采用焊接钢管，管道刷涂防腐材料；对排水点分散的生产、生活污水和事故时的排水管道在地面下敷设于管沟中，管沟采用钢筋混凝土结构，并做重点防渗漏处理，渗透系数≤1×10</w:t>
                  </w:r>
                  <w:r>
                    <w:rPr>
                      <w:rFonts w:hint="default" w:ascii="Times New Roman" w:hAnsi="Times New Roman" w:eastAsia="宋体" w:cs="Times New Roman"/>
                      <w:color w:val="000000" w:themeColor="text1"/>
                      <w:sz w:val="21"/>
                      <w:szCs w:val="21"/>
                      <w:highlight w:val="none"/>
                      <w:vertAlign w:val="superscript"/>
                      <w:lang w:val="en-US" w:eastAsia="zh-CN" w:bidi="ar"/>
                      <w14:textFill>
                        <w14:solidFill>
                          <w14:schemeClr w14:val="tx1"/>
                        </w14:solidFill>
                      </w14:textFill>
                    </w:rPr>
                    <w:t>-7</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590" w:type="pct"/>
                  <w:vMerge w:val="continue"/>
                  <w:tcBorders>
                    <w:tl2br w:val="nil"/>
                    <w:tr2bl w:val="nil"/>
                  </w:tcBorders>
                  <w:shd w:val="clear" w:color="auto" w:fill="auto"/>
                  <w:vAlign w:val="center"/>
                </w:tcPr>
                <w:p w14:paraId="0118CB60">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620FA0C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409" w:type="pct"/>
                  <w:gridSpan w:val="5"/>
                  <w:tcBorders>
                    <w:tl2br w:val="nil"/>
                    <w:tr2bl w:val="nil"/>
                  </w:tcBorders>
                  <w:shd w:val="clear" w:color="auto" w:fill="auto"/>
                  <w:vAlign w:val="center"/>
                </w:tcPr>
                <w:p w14:paraId="3C43B40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合计</w:t>
                  </w:r>
                </w:p>
              </w:tc>
              <w:tc>
                <w:tcPr>
                  <w:tcW w:w="590" w:type="pct"/>
                  <w:tcBorders>
                    <w:tl2br w:val="nil"/>
                    <w:tr2bl w:val="nil"/>
                  </w:tcBorders>
                  <w:shd w:val="clear" w:color="auto" w:fill="auto"/>
                  <w:vAlign w:val="center"/>
                </w:tcPr>
                <w:p w14:paraId="4E9F257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5480.97</w:t>
                  </w:r>
                </w:p>
              </w:tc>
            </w:tr>
          </w:tbl>
          <w:p w14:paraId="1941B890">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14:textFill>
                  <w14:solidFill>
                    <w14:schemeClr w14:val="tx1"/>
                  </w14:solidFill>
                </w14:textFill>
              </w:rPr>
            </w:pPr>
          </w:p>
        </w:tc>
      </w:tr>
    </w:tbl>
    <w:p w14:paraId="15774110">
      <w:pPr>
        <w:adjustRightInd w:val="0"/>
        <w:snapToGrid w:val="0"/>
        <w:spacing w:line="360" w:lineRule="auto"/>
        <w:rPr>
          <w:rFonts w:hint="eastAsia" w:ascii="宋体" w:cs="宋体"/>
          <w:b/>
          <w:color w:val="000000" w:themeColor="text1"/>
          <w:kern w:val="0"/>
          <w:sz w:val="28"/>
          <w:szCs w:val="28"/>
          <w:highlight w:val="none"/>
          <w14:textFill>
            <w14:solidFill>
              <w14:schemeClr w14:val="tx1"/>
            </w14:solidFill>
          </w14:textFill>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2F090912">
      <w:pPr>
        <w:jc w:val="center"/>
        <w:outlineLvl w:val="0"/>
        <w:rPr>
          <w:rFonts w:ascii="黑体" w:hAnsi="黑体" w:eastAsia="黑体"/>
          <w:snapToGrid w:val="0"/>
          <w:color w:val="000000" w:themeColor="text1"/>
          <w:sz w:val="30"/>
          <w:szCs w:val="30"/>
          <w:highlight w:val="none"/>
          <w14:textFill>
            <w14:solidFill>
              <w14:schemeClr w14:val="tx1"/>
            </w14:solidFill>
          </w14:textFill>
        </w:rPr>
      </w:pPr>
      <w:bookmarkStart w:id="13" w:name="_Toc27787"/>
      <w:bookmarkStart w:id="14" w:name="_Toc14345"/>
      <w:bookmarkStart w:id="15" w:name="_Toc10879"/>
      <w:r>
        <w:rPr>
          <w:rFonts w:hint="eastAsia" w:ascii="黑体" w:hAnsi="黑体" w:eastAsia="黑体"/>
          <w:snapToGrid w:val="0"/>
          <w:color w:val="000000" w:themeColor="text1"/>
          <w:sz w:val="30"/>
          <w:szCs w:val="30"/>
          <w:highlight w:val="none"/>
          <w14:textFill>
            <w14:solidFill>
              <w14:schemeClr w14:val="tx1"/>
            </w14:solidFill>
          </w14:textFill>
        </w:rPr>
        <w:t>五、</w:t>
      </w:r>
      <w:bookmarkStart w:id="16" w:name="_Hlk54167917"/>
      <w:r>
        <w:rPr>
          <w:rFonts w:hint="eastAsia" w:ascii="黑体" w:hAnsi="黑体" w:eastAsia="黑体"/>
          <w:snapToGrid w:val="0"/>
          <w:color w:val="000000" w:themeColor="text1"/>
          <w:sz w:val="30"/>
          <w:szCs w:val="30"/>
          <w:highlight w:val="none"/>
          <w14:textFill>
            <w14:solidFill>
              <w14:schemeClr w14:val="tx1"/>
            </w14:solidFill>
          </w14:textFill>
        </w:rPr>
        <w:t>环境保护措施监督检查清单</w:t>
      </w:r>
      <w:bookmarkEnd w:id="13"/>
      <w:bookmarkEnd w:id="14"/>
      <w:bookmarkEnd w:id="15"/>
      <w:bookmarkEnd w:id="16"/>
    </w:p>
    <w:tbl>
      <w:tblPr>
        <w:tblStyle w:val="1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30"/>
        <w:gridCol w:w="1803"/>
        <w:gridCol w:w="1755"/>
        <w:gridCol w:w="1755"/>
        <w:gridCol w:w="1757"/>
      </w:tblGrid>
      <w:tr w14:paraId="0EFE4F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30" w:type="dxa"/>
            <w:tcBorders>
              <w:tl2br w:val="single" w:color="auto" w:sz="4" w:space="0"/>
            </w:tcBorders>
            <w:noWrap w:val="0"/>
            <w:vAlign w:val="top"/>
          </w:tcPr>
          <w:p w14:paraId="0B103255">
            <w:pPr>
              <w:keepNext w:val="0"/>
              <w:keepLines w:val="0"/>
              <w:pageBreakBefore w:val="0"/>
              <w:widowControl w:val="0"/>
              <w:kinsoku/>
              <w:wordWrap/>
              <w:overflowPunct/>
              <w:topLinePunct w:val="0"/>
              <w:autoSpaceDE/>
              <w:autoSpaceDN/>
              <w:bidi w:val="0"/>
              <w:adjustRightInd w:val="0"/>
              <w:snapToGrid w:val="0"/>
              <w:spacing w:line="240" w:lineRule="auto"/>
              <w:ind w:firstLine="960" w:firstLineChars="400"/>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内容</w:t>
            </w:r>
          </w:p>
          <w:p w14:paraId="7552B06C">
            <w:pPr>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要素</w:t>
            </w:r>
          </w:p>
        </w:tc>
        <w:tc>
          <w:tcPr>
            <w:tcW w:w="1803" w:type="dxa"/>
            <w:noWrap w:val="0"/>
            <w:vAlign w:val="center"/>
          </w:tcPr>
          <w:p w14:paraId="23ECFE4A">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排放口</w:t>
            </w: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Cs w:val="21"/>
                <w:highlight w:val="none"/>
                <w14:textFill>
                  <w14:solidFill>
                    <w14:schemeClr w14:val="tx1"/>
                  </w14:solidFill>
                </w14:textFill>
              </w:rPr>
              <w:t>编号、名称</w:t>
            </w: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Cs w:val="21"/>
                <w:highlight w:val="none"/>
                <w14:textFill>
                  <w14:solidFill>
                    <w14:schemeClr w14:val="tx1"/>
                  </w14:solidFill>
                </w14:textFill>
              </w:rPr>
              <w:t>/污染源</w:t>
            </w:r>
          </w:p>
        </w:tc>
        <w:tc>
          <w:tcPr>
            <w:tcW w:w="1755" w:type="dxa"/>
            <w:noWrap w:val="0"/>
            <w:vAlign w:val="center"/>
          </w:tcPr>
          <w:p w14:paraId="12732177">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污染物项目</w:t>
            </w:r>
          </w:p>
        </w:tc>
        <w:tc>
          <w:tcPr>
            <w:tcW w:w="1755" w:type="dxa"/>
            <w:noWrap w:val="0"/>
            <w:vAlign w:val="center"/>
          </w:tcPr>
          <w:p w14:paraId="59369819">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环境保护措施</w:t>
            </w:r>
          </w:p>
        </w:tc>
        <w:tc>
          <w:tcPr>
            <w:tcW w:w="1757" w:type="dxa"/>
            <w:noWrap w:val="0"/>
            <w:vAlign w:val="center"/>
          </w:tcPr>
          <w:p w14:paraId="119E3FA8">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执行标准</w:t>
            </w:r>
          </w:p>
        </w:tc>
      </w:tr>
      <w:tr w14:paraId="08669E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30" w:type="dxa"/>
            <w:noWrap w:val="0"/>
            <w:vAlign w:val="center"/>
          </w:tcPr>
          <w:p w14:paraId="0CEACEF6">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大气环境</w:t>
            </w:r>
          </w:p>
        </w:tc>
        <w:tc>
          <w:tcPr>
            <w:tcW w:w="1803" w:type="dxa"/>
            <w:noWrap w:val="0"/>
            <w:vAlign w:val="center"/>
          </w:tcPr>
          <w:p w14:paraId="463404BB">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格栅池、提升泵房、沉砂池、生化池、二沉池、贮泥池、污泥脱水间等构筑物</w:t>
            </w:r>
          </w:p>
        </w:tc>
        <w:tc>
          <w:tcPr>
            <w:tcW w:w="1755" w:type="dxa"/>
            <w:noWrap w:val="0"/>
            <w:vAlign w:val="center"/>
          </w:tcPr>
          <w:p w14:paraId="2AD2CB87">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恶臭气体（NH</w:t>
            </w:r>
            <w:r>
              <w:rPr>
                <w:rFonts w:hint="default" w:ascii="Times New Roman" w:hAnsi="Times New Roman" w:cs="Times New Roman" w:eastAsiaTheme="minorEastAsia"/>
                <w:color w:val="000000" w:themeColor="text1"/>
                <w:szCs w:val="21"/>
                <w:highlight w:val="none"/>
                <w:vertAlign w:val="subscript"/>
                <w14:textFill>
                  <w14:solidFill>
                    <w14:schemeClr w14:val="tx1"/>
                  </w14:solidFill>
                </w14:textFill>
              </w:rPr>
              <w:t>3</w:t>
            </w:r>
            <w:r>
              <w:rPr>
                <w:rFonts w:hint="default" w:ascii="Times New Roman" w:hAnsi="Times New Roman" w:cs="Times New Roman" w:eastAsiaTheme="minorEastAsia"/>
                <w:color w:val="000000" w:themeColor="text1"/>
                <w:szCs w:val="21"/>
                <w:highlight w:val="none"/>
                <w14:textFill>
                  <w14:solidFill>
                    <w14:schemeClr w14:val="tx1"/>
                  </w14:solidFill>
                </w14:textFill>
              </w:rPr>
              <w:t>、H</w:t>
            </w:r>
            <w:r>
              <w:rPr>
                <w:rFonts w:hint="default" w:ascii="Times New Roman" w:hAnsi="Times New Roman" w:cs="Times New Roman" w:eastAsiaTheme="minorEastAsia"/>
                <w:color w:val="000000" w:themeColor="text1"/>
                <w:szCs w:val="21"/>
                <w:highlight w:val="none"/>
                <w:vertAlign w:val="subscript"/>
                <w14:textFill>
                  <w14:solidFill>
                    <w14:schemeClr w14:val="tx1"/>
                  </w14:solidFill>
                </w14:textFill>
              </w:rPr>
              <w:t>2</w:t>
            </w:r>
            <w:r>
              <w:rPr>
                <w:rFonts w:hint="default" w:ascii="Times New Roman" w:hAnsi="Times New Roman" w:cs="Times New Roman" w:eastAsiaTheme="minorEastAsia"/>
                <w:color w:val="000000" w:themeColor="text1"/>
                <w:szCs w:val="21"/>
                <w:highlight w:val="none"/>
                <w14:textFill>
                  <w14:solidFill>
                    <w14:schemeClr w14:val="tx1"/>
                  </w14:solidFill>
                </w14:textFill>
              </w:rPr>
              <w:t>S</w:t>
            </w: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臭气浓度</w:t>
            </w: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c>
          <w:tcPr>
            <w:tcW w:w="1755" w:type="dxa"/>
            <w:noWrap w:val="0"/>
            <w:vAlign w:val="center"/>
          </w:tcPr>
          <w:p w14:paraId="0B399ABD">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各单元采取设计连通且加盖措施防止臭气逸散，</w:t>
            </w: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经</w:t>
            </w:r>
            <w:r>
              <w:rPr>
                <w:rFonts w:hint="eastAsia" w:cs="Times New Roman" w:eastAsiaTheme="minorEastAsia"/>
                <w:color w:val="000000" w:themeColor="text1"/>
                <w:szCs w:val="21"/>
                <w:highlight w:val="none"/>
                <w:lang w:val="en-US" w:eastAsia="zh-CN"/>
                <w14:textFill>
                  <w14:solidFill>
                    <w14:schemeClr w14:val="tx1"/>
                  </w14:solidFill>
                </w14:textFill>
              </w:rPr>
              <w:t>活性炭吸附</w:t>
            </w: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处理后无组织排放，</w:t>
            </w:r>
            <w:r>
              <w:rPr>
                <w:rFonts w:hint="default" w:ascii="Times New Roman" w:hAnsi="Times New Roman" w:cs="Times New Roman" w:eastAsiaTheme="minorEastAsia"/>
                <w:color w:val="000000" w:themeColor="text1"/>
                <w:szCs w:val="21"/>
                <w:highlight w:val="none"/>
                <w14:textFill>
                  <w14:solidFill>
                    <w14:schemeClr w14:val="tx1"/>
                  </w14:solidFill>
                </w14:textFill>
              </w:rPr>
              <w:t>加强通风，设置厂区绿化隔离带</w:t>
            </w: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w:t>
            </w:r>
          </w:p>
        </w:tc>
        <w:tc>
          <w:tcPr>
            <w:tcW w:w="1757" w:type="dxa"/>
            <w:noWrap w:val="0"/>
            <w:vAlign w:val="center"/>
          </w:tcPr>
          <w:p w14:paraId="5698C4F9">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《城镇污水处理厂污染物排放标准》（GB18918-2002）（含2006年、2025年修改单）中表4厂界（防护带边</w:t>
            </w:r>
          </w:p>
          <w:p w14:paraId="194663B6">
            <w:pPr>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缘）废气排放最高允许浓度二级标准</w:t>
            </w:r>
          </w:p>
        </w:tc>
      </w:tr>
      <w:tr w14:paraId="080158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30" w:type="dxa"/>
            <w:noWrap w:val="0"/>
            <w:vAlign w:val="center"/>
          </w:tcPr>
          <w:p w14:paraId="6A1C8854">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地表水环境</w:t>
            </w:r>
          </w:p>
        </w:tc>
        <w:tc>
          <w:tcPr>
            <w:tcW w:w="1803" w:type="dxa"/>
            <w:noWrap w:val="0"/>
            <w:vAlign w:val="center"/>
          </w:tcPr>
          <w:p w14:paraId="06DA74FB">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进厂污水</w:t>
            </w: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及污水处理厂总排口DW001</w:t>
            </w:r>
          </w:p>
        </w:tc>
        <w:tc>
          <w:tcPr>
            <w:tcW w:w="1755" w:type="dxa"/>
            <w:noWrap w:val="0"/>
            <w:vAlign w:val="center"/>
          </w:tcPr>
          <w:p w14:paraId="62C3C405">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pH</w:t>
            </w: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Cs w:val="21"/>
                <w:highlight w:val="none"/>
                <w14:textFill>
                  <w14:solidFill>
                    <w14:schemeClr w14:val="tx1"/>
                  </w14:solidFill>
                </w14:textFill>
              </w:rPr>
              <w:t>CODcr</w:t>
            </w: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Cs w:val="21"/>
                <w:highlight w:val="none"/>
                <w14:textFill>
                  <w14:solidFill>
                    <w14:schemeClr w14:val="tx1"/>
                  </w14:solidFill>
                </w14:textFill>
              </w:rPr>
              <w:t>BOD</w:t>
            </w:r>
            <w:r>
              <w:rPr>
                <w:rFonts w:hint="default" w:ascii="Times New Roman" w:hAnsi="Times New Roman" w:cs="Times New Roman" w:eastAsiaTheme="minorEastAsia"/>
                <w:color w:val="000000" w:themeColor="text1"/>
                <w:szCs w:val="21"/>
                <w:highlight w:val="none"/>
                <w:vertAlign w:val="subscript"/>
                <w14:textFill>
                  <w14:solidFill>
                    <w14:schemeClr w14:val="tx1"/>
                  </w14:solidFill>
                </w14:textFill>
              </w:rPr>
              <w:t>5</w:t>
            </w: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Cs w:val="21"/>
                <w:highlight w:val="none"/>
                <w14:textFill>
                  <w14:solidFill>
                    <w14:schemeClr w14:val="tx1"/>
                  </w14:solidFill>
                </w14:textFill>
              </w:rPr>
              <w:t>NH</w:t>
            </w:r>
            <w:r>
              <w:rPr>
                <w:rFonts w:hint="default" w:ascii="Times New Roman" w:hAnsi="Times New Roman" w:cs="Times New Roman" w:eastAsiaTheme="minorEastAsia"/>
                <w:color w:val="000000" w:themeColor="text1"/>
                <w:szCs w:val="21"/>
                <w:highlight w:val="none"/>
                <w:vertAlign w:val="subscript"/>
                <w14:textFill>
                  <w14:solidFill>
                    <w14:schemeClr w14:val="tx1"/>
                  </w14:solidFill>
                </w14:textFill>
              </w:rPr>
              <w:t>3</w:t>
            </w:r>
            <w:r>
              <w:rPr>
                <w:rFonts w:hint="default" w:ascii="Times New Roman" w:hAnsi="Times New Roman" w:cs="Times New Roman" w:eastAsiaTheme="minorEastAsia"/>
                <w:color w:val="000000" w:themeColor="text1"/>
                <w:szCs w:val="21"/>
                <w:highlight w:val="none"/>
                <w14:textFill>
                  <w14:solidFill>
                    <w14:schemeClr w14:val="tx1"/>
                  </w14:solidFill>
                </w14:textFill>
              </w:rPr>
              <w:t>-N</w:t>
            </w: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Cs w:val="21"/>
                <w:highlight w:val="none"/>
                <w14:textFill>
                  <w14:solidFill>
                    <w14:schemeClr w14:val="tx1"/>
                  </w14:solidFill>
                </w14:textFill>
              </w:rPr>
              <w:t>SS</w:t>
            </w: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Cs w:val="21"/>
                <w:highlight w:val="none"/>
                <w14:textFill>
                  <w14:solidFill>
                    <w14:schemeClr w14:val="tx1"/>
                  </w14:solidFill>
                </w14:textFill>
              </w:rPr>
              <w:t>总磷</w:t>
            </w: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Cs w:val="21"/>
                <w:highlight w:val="none"/>
                <w14:textFill>
                  <w14:solidFill>
                    <w14:schemeClr w14:val="tx1"/>
                  </w14:solidFill>
                </w14:textFill>
              </w:rPr>
              <w:t>总氮</w:t>
            </w:r>
          </w:p>
        </w:tc>
        <w:tc>
          <w:tcPr>
            <w:tcW w:w="1755" w:type="dxa"/>
            <w:noWrap w:val="0"/>
            <w:vAlign w:val="center"/>
          </w:tcPr>
          <w:p w14:paraId="6E5F042E">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收集+</w:t>
            </w:r>
            <w:r>
              <w:rPr>
                <w:rFonts w:hint="default" w:ascii="Times New Roman" w:hAnsi="Times New Roman" w:cs="Times New Roman" w:eastAsiaTheme="minorEastAsia"/>
                <w:color w:val="000000" w:themeColor="text1"/>
                <w:szCs w:val="21"/>
                <w:highlight w:val="none"/>
                <w14:textFill>
                  <w14:solidFill>
                    <w14:schemeClr w14:val="tx1"/>
                  </w14:solidFill>
                </w14:textFill>
              </w:rPr>
              <w:t>调节池及提升泵房+细格栅及沉砂池+A</w:t>
            </w:r>
            <w:r>
              <w:rPr>
                <w:rFonts w:hint="default" w:ascii="Times New Roman" w:hAnsi="Times New Roman" w:cs="Times New Roman" w:eastAsiaTheme="minorEastAsia"/>
                <w:color w:val="000000" w:themeColor="text1"/>
                <w:szCs w:val="21"/>
                <w:highlight w:val="none"/>
                <w:vertAlign w:val="superscript"/>
                <w14:textFill>
                  <w14:solidFill>
                    <w14:schemeClr w14:val="tx1"/>
                  </w14:solidFill>
                </w14:textFill>
              </w:rPr>
              <w:t>2</w:t>
            </w:r>
            <w:r>
              <w:rPr>
                <w:rFonts w:hint="eastAsia" w:cs="Times New Roman" w:eastAsiaTheme="minorEastAsia"/>
                <w:color w:val="000000" w:themeColor="text1"/>
                <w:szCs w:val="21"/>
                <w:highlight w:val="none"/>
                <w:vertAlign w:val="baseline"/>
                <w:lang w:val="en-US" w:eastAsia="zh-CN"/>
                <w14:textFill>
                  <w14:solidFill>
                    <w14:schemeClr w14:val="tx1"/>
                  </w14:solidFill>
                </w14:textFill>
              </w:rPr>
              <w:t>/O</w:t>
            </w:r>
            <w:r>
              <w:rPr>
                <w:rFonts w:hint="default" w:ascii="Times New Roman" w:hAnsi="Times New Roman" w:cs="Times New Roman" w:eastAsiaTheme="minorEastAsia"/>
                <w:color w:val="000000" w:themeColor="text1"/>
                <w:szCs w:val="21"/>
                <w:highlight w:val="none"/>
                <w14:textFill>
                  <w14:solidFill>
                    <w14:schemeClr w14:val="tx1"/>
                  </w14:solidFill>
                </w14:textFill>
              </w:rPr>
              <w:t>生化池+MBR膜+消毒</w:t>
            </w: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+尾水排放</w:t>
            </w:r>
          </w:p>
        </w:tc>
        <w:tc>
          <w:tcPr>
            <w:tcW w:w="1757" w:type="dxa"/>
            <w:noWrap w:val="0"/>
            <w:vAlign w:val="center"/>
          </w:tcPr>
          <w:p w14:paraId="3BA2248E">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《城镇污水处理厂污染物排放标准》（GB18918-2002）（含2006年、2025年修改单）一级A标准</w:t>
            </w:r>
          </w:p>
        </w:tc>
      </w:tr>
      <w:tr w14:paraId="4D8C17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30" w:type="dxa"/>
            <w:noWrap w:val="0"/>
            <w:vAlign w:val="center"/>
          </w:tcPr>
          <w:p w14:paraId="39CA8A4C">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声环境</w:t>
            </w:r>
          </w:p>
        </w:tc>
        <w:tc>
          <w:tcPr>
            <w:tcW w:w="1803" w:type="dxa"/>
            <w:noWrap w:val="0"/>
            <w:vAlign w:val="center"/>
          </w:tcPr>
          <w:p w14:paraId="0F924732">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污水处理设备、污水泵、污泥泵、鼓风机等</w:t>
            </w:r>
          </w:p>
        </w:tc>
        <w:tc>
          <w:tcPr>
            <w:tcW w:w="1755" w:type="dxa"/>
            <w:noWrap w:val="0"/>
            <w:vAlign w:val="center"/>
          </w:tcPr>
          <w:p w14:paraId="627A0078">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噪声</w:t>
            </w:r>
          </w:p>
        </w:tc>
        <w:tc>
          <w:tcPr>
            <w:tcW w:w="1755" w:type="dxa"/>
            <w:noWrap w:val="0"/>
            <w:vAlign w:val="center"/>
          </w:tcPr>
          <w:p w14:paraId="4462836E">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合理布局；选用低噪声设备；厂房隔声、基础减震；定期保养等措施</w:t>
            </w:r>
          </w:p>
        </w:tc>
        <w:tc>
          <w:tcPr>
            <w:tcW w:w="1757" w:type="dxa"/>
            <w:noWrap w:val="0"/>
            <w:vAlign w:val="center"/>
          </w:tcPr>
          <w:p w14:paraId="40DBEF5C">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《工业企业厂界环境噪声排放标准》（GB12348-2008）中2类标准限值</w:t>
            </w:r>
          </w:p>
        </w:tc>
      </w:tr>
      <w:tr w14:paraId="1A269E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30" w:type="dxa"/>
            <w:noWrap w:val="0"/>
            <w:vAlign w:val="center"/>
          </w:tcPr>
          <w:p w14:paraId="2F3C2164">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电磁辐射</w:t>
            </w:r>
          </w:p>
        </w:tc>
        <w:tc>
          <w:tcPr>
            <w:tcW w:w="1803" w:type="dxa"/>
            <w:noWrap w:val="0"/>
            <w:vAlign w:val="center"/>
          </w:tcPr>
          <w:p w14:paraId="105327A9">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w:t>
            </w:r>
          </w:p>
        </w:tc>
        <w:tc>
          <w:tcPr>
            <w:tcW w:w="1755" w:type="dxa"/>
            <w:noWrap w:val="0"/>
            <w:vAlign w:val="center"/>
          </w:tcPr>
          <w:p w14:paraId="5BB4B389">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w:t>
            </w:r>
          </w:p>
        </w:tc>
        <w:tc>
          <w:tcPr>
            <w:tcW w:w="1755" w:type="dxa"/>
            <w:noWrap w:val="0"/>
            <w:vAlign w:val="center"/>
          </w:tcPr>
          <w:p w14:paraId="2E822EB9">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w:t>
            </w:r>
          </w:p>
        </w:tc>
        <w:tc>
          <w:tcPr>
            <w:tcW w:w="1757" w:type="dxa"/>
            <w:noWrap w:val="0"/>
            <w:vAlign w:val="center"/>
          </w:tcPr>
          <w:p w14:paraId="3EDF964D">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w:t>
            </w:r>
          </w:p>
        </w:tc>
      </w:tr>
      <w:tr w14:paraId="1DBE03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30" w:type="dxa"/>
            <w:noWrap w:val="0"/>
            <w:vAlign w:val="center"/>
          </w:tcPr>
          <w:p w14:paraId="373A4D4D">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固体废物</w:t>
            </w:r>
          </w:p>
        </w:tc>
        <w:tc>
          <w:tcPr>
            <w:tcW w:w="7070" w:type="dxa"/>
            <w:gridSpan w:val="4"/>
            <w:noWrap w:val="0"/>
            <w:vAlign w:val="center"/>
          </w:tcPr>
          <w:p w14:paraId="276F4997">
            <w:pPr>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项目运营期产生的固废主要为污水处理厂内格栅产生的栅渣、沉砂池产生的沉砂、污泥等。</w:t>
            </w: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污泥</w:t>
            </w:r>
            <w:r>
              <w:rPr>
                <w:rFonts w:hint="default" w:ascii="Times New Roman" w:hAnsi="Times New Roman" w:cs="Times New Roman" w:eastAsiaTheme="minorEastAsia"/>
                <w:color w:val="000000" w:themeColor="text1"/>
                <w:szCs w:val="21"/>
                <w:highlight w:val="none"/>
                <w14:textFill>
                  <w14:solidFill>
                    <w14:schemeClr w14:val="tx1"/>
                  </w14:solidFill>
                </w14:textFill>
              </w:rPr>
              <w:t>经</w:t>
            </w: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压滤</w:t>
            </w:r>
            <w:r>
              <w:rPr>
                <w:rFonts w:hint="default" w:ascii="Times New Roman" w:hAnsi="Times New Roman" w:cs="Times New Roman" w:eastAsiaTheme="minorEastAsia"/>
                <w:color w:val="000000" w:themeColor="text1"/>
                <w:szCs w:val="21"/>
                <w:highlight w:val="none"/>
                <w14:textFill>
                  <w14:solidFill>
                    <w14:schemeClr w14:val="tx1"/>
                  </w14:solidFill>
                </w14:textFill>
              </w:rPr>
              <w:t>后定期运至蚯蚓厂，实现污泥资源化利用。栅渣、沉砂</w:t>
            </w: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及</w:t>
            </w:r>
            <w:r>
              <w:rPr>
                <w:rFonts w:hint="eastAsia" w:cs="Times New Roman" w:eastAsiaTheme="minorEastAsia"/>
                <w:color w:val="000000" w:themeColor="text1"/>
                <w:szCs w:val="21"/>
                <w:highlight w:val="none"/>
                <w:lang w:val="en-US" w:eastAsia="zh-CN"/>
                <w14:textFill>
                  <w14:solidFill>
                    <w14:schemeClr w14:val="tx1"/>
                  </w14:solidFill>
                </w14:textFill>
              </w:rPr>
              <w:t>废包装物统一收集，定期拉运至磴口县垃圾填埋场。废活性炭、在线监测废液属于危险废物，暂存于二期工程危险废物暂存间，定期委托有资质单位进行处置。</w:t>
            </w:r>
          </w:p>
        </w:tc>
      </w:tr>
      <w:tr w14:paraId="7DF4C9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30" w:type="dxa"/>
            <w:noWrap w:val="0"/>
            <w:vAlign w:val="center"/>
          </w:tcPr>
          <w:p w14:paraId="12091369">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土壤及地下水</w:t>
            </w:r>
          </w:p>
          <w:p w14:paraId="66BB1DD1">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污染防治措施</w:t>
            </w:r>
          </w:p>
        </w:tc>
        <w:tc>
          <w:tcPr>
            <w:tcW w:w="7070" w:type="dxa"/>
            <w:gridSpan w:val="4"/>
            <w:noWrap w:val="0"/>
            <w:vAlign w:val="center"/>
          </w:tcPr>
          <w:p w14:paraId="220B85A4">
            <w:pPr>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重点防渗区域：新建厌氧缺氧池、MBR膜池及膜车间等；防渗技术要求为等效粘土防渗层Mb≥6.0m，防渗系数K≤1.0×10</w:t>
            </w:r>
            <w:r>
              <w:rPr>
                <w:rFonts w:hint="default" w:ascii="Times New Roman" w:hAnsi="Times New Roman" w:cs="Times New Roman" w:eastAsiaTheme="minorEastAsia"/>
                <w:color w:val="000000" w:themeColor="text1"/>
                <w:szCs w:val="21"/>
                <w:highlight w:val="none"/>
                <w:vertAlign w:val="superscript"/>
                <w14:textFill>
                  <w14:solidFill>
                    <w14:schemeClr w14:val="tx1"/>
                  </w14:solidFill>
                </w14:textFill>
              </w:rPr>
              <w:t>-7</w:t>
            </w:r>
            <w:r>
              <w:rPr>
                <w:rFonts w:hint="default" w:ascii="Times New Roman" w:hAnsi="Times New Roman" w:cs="Times New Roman" w:eastAsiaTheme="minorEastAsia"/>
                <w:color w:val="000000" w:themeColor="text1"/>
                <w:szCs w:val="21"/>
                <w:highlight w:val="none"/>
                <w14:textFill>
                  <w14:solidFill>
                    <w14:schemeClr w14:val="tx1"/>
                  </w14:solidFill>
                </w14:textFill>
              </w:rPr>
              <w:t>cm/s。</w:t>
            </w:r>
          </w:p>
          <w:p w14:paraId="6DA3AF2A">
            <w:pPr>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一般防渗区：MBR膜车间的设备间等。防渗技术要求为等效粘土防渗层Mb≥1.5m，防渗系数K≤1.0×10</w:t>
            </w:r>
            <w:r>
              <w:rPr>
                <w:rFonts w:hint="default" w:ascii="Times New Roman" w:hAnsi="Times New Roman" w:cs="Times New Roman" w:eastAsiaTheme="minorEastAsia"/>
                <w:color w:val="000000" w:themeColor="text1"/>
                <w:szCs w:val="21"/>
                <w:highlight w:val="none"/>
                <w:vertAlign w:val="superscript"/>
                <w14:textFill>
                  <w14:solidFill>
                    <w14:schemeClr w14:val="tx1"/>
                  </w14:solidFill>
                </w14:textFill>
              </w:rPr>
              <w:t>-7</w:t>
            </w:r>
            <w:r>
              <w:rPr>
                <w:rFonts w:hint="default" w:ascii="Times New Roman" w:hAnsi="Times New Roman" w:cs="Times New Roman" w:eastAsiaTheme="minorEastAsia"/>
                <w:color w:val="000000" w:themeColor="text1"/>
                <w:szCs w:val="21"/>
                <w:highlight w:val="none"/>
                <w14:textFill>
                  <w14:solidFill>
                    <w14:schemeClr w14:val="tx1"/>
                  </w14:solidFill>
                </w14:textFill>
              </w:rPr>
              <w:t>cm/s。</w:t>
            </w:r>
          </w:p>
          <w:p w14:paraId="5A54CC8D">
            <w:pPr>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简单防渗区：道路等。防渗技术要求为一般地面硬化。</w:t>
            </w:r>
          </w:p>
        </w:tc>
      </w:tr>
      <w:tr w14:paraId="77B97F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30" w:type="dxa"/>
            <w:noWrap w:val="0"/>
            <w:vAlign w:val="center"/>
          </w:tcPr>
          <w:p w14:paraId="23B4B3C4">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生态保护措施</w:t>
            </w:r>
          </w:p>
        </w:tc>
        <w:tc>
          <w:tcPr>
            <w:tcW w:w="7070" w:type="dxa"/>
            <w:gridSpan w:val="4"/>
            <w:noWrap w:val="0"/>
            <w:vAlign w:val="center"/>
          </w:tcPr>
          <w:p w14:paraId="07510F59">
            <w:pPr>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本项目位于</w:t>
            </w: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磴口县污水处理厂</w:t>
            </w:r>
            <w:r>
              <w:rPr>
                <w:rFonts w:hint="default" w:ascii="Times New Roman" w:hAnsi="Times New Roman" w:cs="Times New Roman" w:eastAsiaTheme="minorEastAsia"/>
                <w:color w:val="000000" w:themeColor="text1"/>
                <w:szCs w:val="21"/>
                <w:highlight w:val="none"/>
                <w14:textFill>
                  <w14:solidFill>
                    <w14:schemeClr w14:val="tx1"/>
                  </w14:solidFill>
                </w14:textFill>
              </w:rPr>
              <w:t>征地范围内，本项目施工开挖、临时占地等活动不可避免</w:t>
            </w:r>
            <w:r>
              <w:rPr>
                <w:rFonts w:hint="eastAsia" w:cs="Times New Roman" w:eastAsiaTheme="minorEastAsia"/>
                <w:color w:val="000000" w:themeColor="text1"/>
                <w:szCs w:val="21"/>
                <w:highlight w:val="none"/>
                <w:lang w:eastAsia="zh-CN"/>
                <w14:textFill>
                  <w14:solidFill>
                    <w14:schemeClr w14:val="tx1"/>
                  </w14:solidFill>
                </w14:textFill>
              </w:rPr>
              <w:t>地</w:t>
            </w:r>
            <w:r>
              <w:rPr>
                <w:rFonts w:hint="default" w:ascii="Times New Roman" w:hAnsi="Times New Roman" w:cs="Times New Roman" w:eastAsiaTheme="minorEastAsia"/>
                <w:color w:val="000000" w:themeColor="text1"/>
                <w:szCs w:val="21"/>
                <w:highlight w:val="none"/>
                <w14:textFill>
                  <w14:solidFill>
                    <w14:schemeClr w14:val="tx1"/>
                  </w14:solidFill>
                </w14:textFill>
              </w:rPr>
              <w:t>会对建设区域带来植被破坏等问题。生态影响在施工期产生，影响范围小，影响期短暂。建设单位合理安排作业时间，避免雨季施工产生水土流失。</w:t>
            </w:r>
            <w:r>
              <w:rPr>
                <w:rFonts w:hint="eastAsia" w:cs="Times New Roman" w:eastAsiaTheme="minorEastAsia"/>
                <w:color w:val="000000" w:themeColor="text1"/>
                <w:szCs w:val="21"/>
                <w:highlight w:val="none"/>
                <w:lang w:eastAsia="zh-CN"/>
                <w14:textFill>
                  <w14:solidFill>
                    <w14:schemeClr w14:val="tx1"/>
                  </w14:solidFill>
                </w14:textFill>
              </w:rPr>
              <w:t>施工</w:t>
            </w:r>
            <w:r>
              <w:rPr>
                <w:rFonts w:hint="default" w:ascii="Times New Roman" w:hAnsi="Times New Roman" w:cs="Times New Roman" w:eastAsiaTheme="minorEastAsia"/>
                <w:color w:val="000000" w:themeColor="text1"/>
                <w:szCs w:val="21"/>
                <w:highlight w:val="none"/>
                <w14:textFill>
                  <w14:solidFill>
                    <w14:schemeClr w14:val="tx1"/>
                  </w14:solidFill>
                </w14:textFill>
              </w:rPr>
              <w:t>完成后采取及时的迹地恢复及绿化等措施，可将施工活动对建设区域的生态影响程度降至最低。</w:t>
            </w:r>
          </w:p>
        </w:tc>
      </w:tr>
      <w:tr w14:paraId="08E43E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30" w:type="dxa"/>
            <w:noWrap w:val="0"/>
            <w:vAlign w:val="center"/>
          </w:tcPr>
          <w:p w14:paraId="1B0F97C1">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pacing w:val="-8"/>
                <w:szCs w:val="21"/>
                <w:highlight w:val="none"/>
                <w14:textFill>
                  <w14:solidFill>
                    <w14:schemeClr w14:val="tx1"/>
                  </w14:solidFill>
                </w14:textFill>
              </w:rPr>
            </w:pPr>
            <w:r>
              <w:rPr>
                <w:rFonts w:hint="default" w:ascii="Times New Roman" w:hAnsi="Times New Roman" w:cs="Times New Roman" w:eastAsiaTheme="minorEastAsia"/>
                <w:color w:val="000000" w:themeColor="text1"/>
                <w:spacing w:val="-8"/>
                <w:szCs w:val="21"/>
                <w:highlight w:val="none"/>
                <w14:textFill>
                  <w14:solidFill>
                    <w14:schemeClr w14:val="tx1"/>
                  </w14:solidFill>
                </w14:textFill>
              </w:rPr>
              <w:t>环境风险</w:t>
            </w:r>
          </w:p>
          <w:p w14:paraId="29876F0B">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pacing w:val="-8"/>
                <w:szCs w:val="21"/>
                <w:highlight w:val="none"/>
                <w14:textFill>
                  <w14:solidFill>
                    <w14:schemeClr w14:val="tx1"/>
                  </w14:solidFill>
                </w14:textFill>
              </w:rPr>
            </w:pPr>
            <w:r>
              <w:rPr>
                <w:rFonts w:hint="default" w:ascii="Times New Roman" w:hAnsi="Times New Roman" w:cs="Times New Roman" w:eastAsiaTheme="minorEastAsia"/>
                <w:color w:val="000000" w:themeColor="text1"/>
                <w:spacing w:val="-8"/>
                <w:szCs w:val="21"/>
                <w:highlight w:val="none"/>
                <w14:textFill>
                  <w14:solidFill>
                    <w14:schemeClr w14:val="tx1"/>
                  </w14:solidFill>
                </w14:textFill>
              </w:rPr>
              <w:t>防范措施</w:t>
            </w:r>
          </w:p>
        </w:tc>
        <w:tc>
          <w:tcPr>
            <w:tcW w:w="7070" w:type="dxa"/>
            <w:gridSpan w:val="4"/>
            <w:noWrap w:val="0"/>
            <w:vAlign w:val="center"/>
          </w:tcPr>
          <w:p w14:paraId="4DAACE92">
            <w:pPr>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项目为污水处理设施的建设，在</w:t>
            </w:r>
            <w:r>
              <w:rPr>
                <w:rFonts w:hint="eastAsia" w:cs="Times New Roman" w:eastAsiaTheme="minorEastAsia"/>
                <w:color w:val="000000" w:themeColor="text1"/>
                <w:szCs w:val="21"/>
                <w:highlight w:val="none"/>
                <w:lang w:val="en-US" w:eastAsia="zh-CN"/>
                <w14:textFill>
                  <w14:solidFill>
                    <w14:schemeClr w14:val="tx1"/>
                  </w14:solidFill>
                </w14:textFill>
              </w:rPr>
              <w:t>进出</w:t>
            </w:r>
            <w:r>
              <w:rPr>
                <w:rFonts w:hint="default" w:ascii="Times New Roman" w:hAnsi="Times New Roman" w:cs="Times New Roman" w:eastAsiaTheme="minorEastAsia"/>
                <w:color w:val="000000" w:themeColor="text1"/>
                <w:szCs w:val="21"/>
                <w:highlight w:val="none"/>
                <w14:textFill>
                  <w14:solidFill>
                    <w14:schemeClr w14:val="tx1"/>
                  </w14:solidFill>
                </w14:textFill>
              </w:rPr>
              <w:t>水口安装在线监测装置，设置进站、出站污水截断装置，当事故发生后，立即截断污水来源和杜绝事故排放，及时发现不良水质进入污水处理厂；加强对污泥及固体废物的安全处置，保证处理处置后的污泥符合国家或地方有关标准；加强厂区管理和环保设施设备维护，加强员工的培训；厂区应设置溢流口，应对暴雨季节等。</w:t>
            </w:r>
          </w:p>
        </w:tc>
      </w:tr>
      <w:tr w14:paraId="45F4EF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30" w:type="dxa"/>
            <w:noWrap w:val="0"/>
            <w:vAlign w:val="center"/>
          </w:tcPr>
          <w:p w14:paraId="318B2A47">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pacing w:val="-8"/>
                <w:szCs w:val="21"/>
                <w:highlight w:val="none"/>
                <w14:textFill>
                  <w14:solidFill>
                    <w14:schemeClr w14:val="tx1"/>
                  </w14:solidFill>
                </w14:textFill>
              </w:rPr>
            </w:pPr>
            <w:r>
              <w:rPr>
                <w:rFonts w:hint="default" w:ascii="Times New Roman" w:hAnsi="Times New Roman" w:cs="Times New Roman" w:eastAsiaTheme="minorEastAsia"/>
                <w:color w:val="000000" w:themeColor="text1"/>
                <w:spacing w:val="-8"/>
                <w:szCs w:val="21"/>
                <w:highlight w:val="none"/>
                <w14:textFill>
                  <w14:solidFill>
                    <w14:schemeClr w14:val="tx1"/>
                  </w14:solidFill>
                </w14:textFill>
              </w:rPr>
              <w:t>其他环境</w:t>
            </w:r>
          </w:p>
          <w:p w14:paraId="7CA153E6">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eastAsiaTheme="minorEastAsia"/>
                <w:color w:val="000000" w:themeColor="text1"/>
                <w:spacing w:val="-8"/>
                <w:szCs w:val="21"/>
                <w:highlight w:val="none"/>
                <w14:textFill>
                  <w14:solidFill>
                    <w14:schemeClr w14:val="tx1"/>
                  </w14:solidFill>
                </w14:textFill>
              </w:rPr>
            </w:pPr>
            <w:r>
              <w:rPr>
                <w:rFonts w:hint="default" w:ascii="Times New Roman" w:hAnsi="Times New Roman" w:cs="Times New Roman" w:eastAsiaTheme="minorEastAsia"/>
                <w:color w:val="000000" w:themeColor="text1"/>
                <w:spacing w:val="-8"/>
                <w:szCs w:val="21"/>
                <w:highlight w:val="none"/>
                <w14:textFill>
                  <w14:solidFill>
                    <w14:schemeClr w14:val="tx1"/>
                  </w14:solidFill>
                </w14:textFill>
              </w:rPr>
              <w:t>管理要求</w:t>
            </w:r>
          </w:p>
        </w:tc>
        <w:tc>
          <w:tcPr>
            <w:tcW w:w="7070" w:type="dxa"/>
            <w:gridSpan w:val="4"/>
            <w:noWrap w:val="0"/>
            <w:vAlign w:val="center"/>
          </w:tcPr>
          <w:p w14:paraId="52E89653">
            <w:pPr>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（1）企业应在运行中加强管理，定期对设备进行维修保养。</w:t>
            </w:r>
          </w:p>
          <w:p w14:paraId="7F896F3C">
            <w:pPr>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（2）建立健全环保规章制度，加强环境管理，定</w:t>
            </w:r>
            <w:r>
              <w:rPr>
                <w:rFonts w:hint="eastAsia" w:cs="Times New Roman" w:eastAsiaTheme="minorEastAsia"/>
                <w:color w:val="000000" w:themeColor="text1"/>
                <w:szCs w:val="21"/>
                <w:highlight w:val="none"/>
                <w:lang w:eastAsia="zh-CN"/>
                <w14:textFill>
                  <w14:solidFill>
                    <w14:schemeClr w14:val="tx1"/>
                  </w14:solidFill>
                </w14:textFill>
              </w:rPr>
              <w:t>期对</w:t>
            </w:r>
            <w:r>
              <w:rPr>
                <w:rFonts w:hint="default" w:ascii="Times New Roman" w:hAnsi="Times New Roman" w:cs="Times New Roman" w:eastAsiaTheme="minorEastAsia"/>
                <w:color w:val="000000" w:themeColor="text1"/>
                <w:szCs w:val="21"/>
                <w:highlight w:val="none"/>
                <w14:textFill>
                  <w14:solidFill>
                    <w14:schemeClr w14:val="tx1"/>
                  </w14:solidFill>
                </w14:textFill>
              </w:rPr>
              <w:t>污染防治措施进行检查、维护和保养，确保治理效果，杜绝发生污染事故，并严格接受环保行政主管部门的日常监督管理。</w:t>
            </w:r>
          </w:p>
          <w:p w14:paraId="46500FD4">
            <w:pPr>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（3）加强员工安全防范事宜，做好车间防火、防爆工作。</w:t>
            </w:r>
          </w:p>
          <w:p w14:paraId="2DCF21A3">
            <w:pPr>
              <w:keepNext w:val="0"/>
              <w:keepLines w:val="0"/>
              <w:pageBreakBefore w:val="0"/>
              <w:widowControl w:val="0"/>
              <w:kinsoku/>
              <w:wordWrap/>
              <w:overflowPunct/>
              <w:topLinePunct w:val="0"/>
              <w:autoSpaceDE/>
              <w:autoSpaceDN/>
              <w:bidi w:val="0"/>
              <w:adjustRightInd w:val="0"/>
              <w:snapToGrid w:val="0"/>
              <w:spacing w:line="240" w:lineRule="auto"/>
              <w:ind w:firstLine="0"/>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（4）做好员工的个人防护，保证员工的操作安全；而且应对员工进行必要的培训并切实做好各项污染防治设施设备的维护，防止</w:t>
            </w:r>
            <w:r>
              <w:rPr>
                <w:rFonts w:hint="eastAsia" w:cs="Times New Roman" w:eastAsiaTheme="minorEastAsia"/>
                <w:color w:val="000000" w:themeColor="text1"/>
                <w:szCs w:val="21"/>
                <w:highlight w:val="none"/>
                <w:lang w:eastAsia="zh-CN"/>
                <w14:textFill>
                  <w14:solidFill>
                    <w14:schemeClr w14:val="tx1"/>
                  </w14:solidFill>
                </w14:textFill>
              </w:rPr>
              <w:t>污染</w:t>
            </w:r>
            <w:r>
              <w:rPr>
                <w:rFonts w:hint="default" w:ascii="Times New Roman" w:hAnsi="Times New Roman" w:cs="Times New Roman" w:eastAsiaTheme="minorEastAsia"/>
                <w:color w:val="000000" w:themeColor="text1"/>
                <w:szCs w:val="21"/>
                <w:highlight w:val="none"/>
                <w14:textFill>
                  <w14:solidFill>
                    <w14:schemeClr w14:val="tx1"/>
                  </w14:solidFill>
                </w14:textFill>
              </w:rPr>
              <w:t>事故的发生。</w:t>
            </w:r>
          </w:p>
        </w:tc>
      </w:tr>
    </w:tbl>
    <w:p w14:paraId="0E7E40B6">
      <w:pPr>
        <w:jc w:val="center"/>
        <w:outlineLvl w:val="0"/>
        <w:rPr>
          <w:rFonts w:ascii="黑体" w:hAnsi="黑体" w:eastAsia="黑体"/>
          <w:snapToGrid w:val="0"/>
          <w:color w:val="000000" w:themeColor="text1"/>
          <w:sz w:val="30"/>
          <w:szCs w:val="30"/>
          <w:highlight w:val="none"/>
          <w14:textFill>
            <w14:solidFill>
              <w14:schemeClr w14:val="tx1"/>
            </w14:solidFill>
          </w14:textFill>
        </w:rPr>
      </w:pPr>
      <w:r>
        <w:rPr>
          <w:snapToGrid w:val="0"/>
          <w:color w:val="000000" w:themeColor="text1"/>
          <w:highlight w:val="none"/>
          <w14:textFill>
            <w14:solidFill>
              <w14:schemeClr w14:val="tx1"/>
            </w14:solidFill>
          </w14:textFill>
        </w:rPr>
        <w:br w:type="page"/>
      </w:r>
      <w:bookmarkStart w:id="17" w:name="_Toc4899"/>
      <w:bookmarkStart w:id="18" w:name="_Toc16862"/>
      <w:bookmarkStart w:id="19" w:name="_Toc7313"/>
      <w:r>
        <w:rPr>
          <w:rFonts w:hint="eastAsia" w:ascii="黑体" w:hAnsi="黑体" w:eastAsia="黑体"/>
          <w:snapToGrid w:val="0"/>
          <w:color w:val="000000" w:themeColor="text1"/>
          <w:sz w:val="30"/>
          <w:szCs w:val="30"/>
          <w:highlight w:val="none"/>
          <w14:textFill>
            <w14:solidFill>
              <w14:schemeClr w14:val="tx1"/>
            </w14:solidFill>
          </w14:textFill>
        </w:rPr>
        <w:t>六、结论</w:t>
      </w:r>
      <w:bookmarkEnd w:id="17"/>
      <w:bookmarkEnd w:id="18"/>
      <w:bookmarkEnd w:id="19"/>
    </w:p>
    <w:tbl>
      <w:tblPr>
        <w:tblStyle w:val="1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6AB5C0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14:paraId="1BE9D59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宋体" w:cs="宋体"/>
                <w:color w:val="000000" w:themeColor="text1"/>
                <w:sz w:val="24"/>
                <w:highlight w:val="none"/>
                <w14:textFill>
                  <w14:solidFill>
                    <w14:schemeClr w14:val="tx1"/>
                  </w14:solidFill>
                </w14:textFill>
              </w:rPr>
            </w:pPr>
            <w:r>
              <w:rPr>
                <w:rFonts w:hint="eastAsia" w:ascii="宋体" w:cs="宋体"/>
                <w:color w:val="000000" w:themeColor="text1"/>
                <w:sz w:val="24"/>
                <w:highlight w:val="none"/>
                <w14:textFill>
                  <w14:solidFill>
                    <w14:schemeClr w14:val="tx1"/>
                  </w14:solidFill>
                </w14:textFill>
              </w:rPr>
              <w:t>磴口一期污水处理厂升级改造项目系区域市政基础设施，建设符合国家产业政策。工程建设将大幅削减水污染物排放，有利于</w:t>
            </w:r>
            <w:r>
              <w:rPr>
                <w:rFonts w:hint="eastAsia" w:ascii="宋体" w:cs="宋体"/>
                <w:color w:val="000000" w:themeColor="text1"/>
                <w:sz w:val="24"/>
                <w:highlight w:val="none"/>
                <w:lang w:val="en-US" w:eastAsia="zh-CN"/>
                <w14:textFill>
                  <w14:solidFill>
                    <w14:schemeClr w14:val="tx1"/>
                  </w14:solidFill>
                </w14:textFill>
              </w:rPr>
              <w:t>二排干</w:t>
            </w:r>
            <w:r>
              <w:rPr>
                <w:rFonts w:hint="eastAsia" w:ascii="宋体" w:cs="宋体"/>
                <w:color w:val="000000" w:themeColor="text1"/>
                <w:sz w:val="24"/>
                <w:highlight w:val="none"/>
                <w14:textFill>
                  <w14:solidFill>
                    <w14:schemeClr w14:val="tx1"/>
                  </w14:solidFill>
                </w14:textFill>
              </w:rPr>
              <w:t>地表水水质的改善。工程在施工期会对局部环境产生一定影响，采取污染防治措施后不会对环境产生明显影响，运行期拟采用的污染防治措施技术经济可行，排放污染物能够达到国家和行业规定的标准，对评价区域环境质量的影响不明显。项目对外环境的环境风险影响处于可接受水平，风险防范措施及应急预案切实可行。只要严格落实环境影响报告表提出的环保对策及措施，严格执行“三同时”制度，确保项目污染物达标排放，认真落实环境风险的防范措施及应急预案，则磴口一期污水处理厂升级改造项目从环境保护角度建设是可行的。</w:t>
            </w:r>
          </w:p>
        </w:tc>
      </w:tr>
    </w:tbl>
    <w:p w14:paraId="704C15B8">
      <w:pPr>
        <w:rPr>
          <w:rFonts w:ascii="宋体"/>
          <w:color w:val="000000" w:themeColor="text1"/>
          <w:highlight w:val="none"/>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75C93AF2">
      <w:pPr>
        <w:adjustRightInd w:val="0"/>
        <w:snapToGrid w:val="0"/>
        <w:spacing w:before="0" w:beforeAutospacing="0" w:after="0" w:afterAutospacing="0" w:line="648" w:lineRule="auto"/>
        <w:outlineLvl w:val="0"/>
        <w:rPr>
          <w:rFonts w:ascii="黑体" w:hAnsi="黑体" w:eastAsia="黑体"/>
          <w:snapToGrid w:val="0"/>
          <w:color w:val="000000" w:themeColor="text1"/>
          <w:sz w:val="32"/>
          <w:szCs w:val="32"/>
          <w:highlight w:val="none"/>
          <w14:textFill>
            <w14:solidFill>
              <w14:schemeClr w14:val="tx1"/>
            </w14:solidFill>
          </w14:textFill>
        </w:rPr>
      </w:pPr>
      <w:bookmarkStart w:id="20" w:name="_Toc8483"/>
      <w:bookmarkStart w:id="21" w:name="_Toc5932"/>
      <w:bookmarkStart w:id="22" w:name="_Toc23858"/>
      <w:r>
        <w:rPr>
          <w:rFonts w:hint="eastAsia" w:ascii="黑体" w:hAnsi="黑体" w:eastAsia="黑体"/>
          <w:snapToGrid w:val="0"/>
          <w:color w:val="000000" w:themeColor="text1"/>
          <w:sz w:val="32"/>
          <w:szCs w:val="32"/>
          <w:highlight w:val="none"/>
          <w14:textFill>
            <w14:solidFill>
              <w14:schemeClr w14:val="tx1"/>
            </w14:solidFill>
          </w14:textFill>
        </w:rPr>
        <w:t>附表</w:t>
      </w:r>
      <w:bookmarkEnd w:id="20"/>
      <w:bookmarkEnd w:id="21"/>
      <w:bookmarkEnd w:id="22"/>
    </w:p>
    <w:p w14:paraId="7FEADCD0">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Fonts w:hint="eastAsia" w:ascii="方正小标宋_GBK" w:hAnsi="黑体" w:eastAsia="方正小标宋_GBK"/>
          <w:snapToGrid w:val="0"/>
          <w:color w:val="000000" w:themeColor="text1"/>
          <w:sz w:val="38"/>
          <w:szCs w:val="38"/>
          <w:highlight w:val="none"/>
          <w14:textFill>
            <w14:solidFill>
              <w14:schemeClr w14:val="tx1"/>
            </w14:solidFill>
          </w14:textFill>
        </w:rPr>
      </w:pPr>
      <w:bookmarkStart w:id="23" w:name="_Toc26608"/>
      <w:bookmarkStart w:id="24" w:name="_Toc29152"/>
      <w:bookmarkStart w:id="25" w:name="_Toc17968"/>
      <w:r>
        <w:rPr>
          <w:rFonts w:hint="eastAsia" w:ascii="方正小标宋_GBK" w:hAnsi="黑体" w:eastAsia="方正小标宋_GBK"/>
          <w:snapToGrid w:val="0"/>
          <w:color w:val="000000" w:themeColor="text1"/>
          <w:sz w:val="38"/>
          <w:szCs w:val="38"/>
          <w:highlight w:val="none"/>
          <w14:textFill>
            <w14:solidFill>
              <w14:schemeClr w14:val="tx1"/>
            </w14:solidFill>
          </w14:textFill>
        </w:rPr>
        <w:t>建设项目污染物排放量汇总表</w:t>
      </w:r>
      <w:bookmarkEnd w:id="23"/>
      <w:bookmarkEnd w:id="24"/>
      <w:bookmarkEnd w:id="25"/>
    </w:p>
    <w:tbl>
      <w:tblPr>
        <w:tblStyle w:val="12"/>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31"/>
        <w:gridCol w:w="1195"/>
        <w:gridCol w:w="2274"/>
        <w:gridCol w:w="1616"/>
        <w:gridCol w:w="1369"/>
        <w:gridCol w:w="1436"/>
        <w:gridCol w:w="1557"/>
        <w:gridCol w:w="1851"/>
        <w:gridCol w:w="1195"/>
      </w:tblGrid>
      <w:tr w14:paraId="663FE5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1" w:type="pct"/>
            <w:vMerge w:val="restart"/>
            <w:tcBorders>
              <w:tl2br w:val="nil"/>
              <w:tr2bl w:val="nil"/>
            </w:tcBorders>
            <w:noWrap w:val="0"/>
            <w:tcMar>
              <w:left w:w="28" w:type="dxa"/>
              <w:right w:w="28" w:type="dxa"/>
            </w:tcMar>
            <w:vAlign w:val="center"/>
            <mc:AlternateContent>
              <mc:Choice Requires="wpsCustomData">
                <wpsCustomData:diagonals>
                  <wpsCustomData:diagonal from="10000" to="30000">
                    <wpsCustomData:border w:val="single" w:color="auto" w:sz="4" w:space="0"/>
                  </wpsCustomData:diagonal>
                </wpsCustomData:diagonals>
              </mc:Choice>
            </mc:AlternateContent>
          </w:tcPr>
          <w:p w14:paraId="13A9B55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pPr>
            <w:r>
              <w:rPr>
                <w:rFonts w:hint="eastAsia" w:ascii="Times New Roman" w:hAnsi="Times New Roman" w:eastAsia="宋体" w:cs="Times New Roman"/>
                <w:snapToGrid w:val="0"/>
                <w:color w:val="000000" w:themeColor="text1"/>
                <w:spacing w:val="-6"/>
                <w:kern w:val="21"/>
                <w:sz w:val="24"/>
                <w:szCs w:val="24"/>
                <w:highlight w:val="none"/>
                <w:lang w:val="en-US" w:eastAsia="zh-CN"/>
                <w14:textFill>
                  <w14:solidFill>
                    <w14:schemeClr w14:val="tx1"/>
                  </w14:solidFill>
                </w14:textFill>
              </w:rPr>
              <w:t xml:space="preserve">      </w:t>
            </w:r>
          </w:p>
          <w:p w14:paraId="0E283D85">
            <w:pPr>
              <w:keepNext w:val="0"/>
              <w:keepLines w:val="0"/>
              <w:pageBreakBefore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pPr>
          </w:p>
          <w:p w14:paraId="7F4A7E7E">
            <w:pPr>
              <w:keepNext w:val="0"/>
              <w:keepLines w:val="0"/>
              <w:pageBreakBefore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pPr>
          </w:p>
          <w:p w14:paraId="221B9F76">
            <w:pPr>
              <w:keepNext w:val="0"/>
              <w:keepLines w:val="0"/>
              <w:pageBreakBefore w:val="0"/>
              <w:kinsoku/>
              <w:wordWrap/>
              <w:overflowPunct/>
              <w:topLinePunct w:val="0"/>
              <w:autoSpaceDE/>
              <w:autoSpaceDN/>
              <w:bidi w:val="0"/>
              <w:adjustRightInd w:val="0"/>
              <w:snapToGrid w:val="0"/>
              <w:spacing w:line="240" w:lineRule="auto"/>
              <w:jc w:val="both"/>
              <w:textAlignment w:val="auto"/>
              <mc:AlternateContent>
                <mc:Choice Requires="wpsCustomData">
                  <wpsCustomData:diagonalParaType/>
                </mc:Choice>
              </mc:AlternateContent>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t>分类</w:t>
            </w:r>
          </w:p>
          <w:p w14:paraId="6ECE62C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t>项目</w:t>
            </w:r>
          </w:p>
          <w:p w14:paraId="03446AFF">
            <w:pPr>
              <w:keepNext w:val="0"/>
              <w:keepLines w:val="0"/>
              <w:pageBreakBefore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pPr>
          </w:p>
        </w:tc>
        <w:tc>
          <w:tcPr>
            <w:tcW w:w="432" w:type="pct"/>
            <w:tcBorders>
              <w:tl2br w:val="nil"/>
              <w:tr2bl w:val="nil"/>
            </w:tcBorders>
            <w:noWrap w:val="0"/>
            <w:tcMar>
              <w:left w:w="28" w:type="dxa"/>
              <w:right w:w="28" w:type="dxa"/>
            </w:tcMar>
            <w:vAlign w:val="center"/>
          </w:tcPr>
          <w:p w14:paraId="4762171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t>污染物名称</w:t>
            </w:r>
          </w:p>
        </w:tc>
        <w:tc>
          <w:tcPr>
            <w:tcW w:w="822" w:type="pct"/>
            <w:tcBorders>
              <w:tl2br w:val="nil"/>
              <w:tr2bl w:val="nil"/>
            </w:tcBorders>
            <w:noWrap w:val="0"/>
            <w:tcMar>
              <w:left w:w="28" w:type="dxa"/>
              <w:right w:w="28" w:type="dxa"/>
            </w:tcMar>
            <w:vAlign w:val="center"/>
          </w:tcPr>
          <w:p w14:paraId="6B810B8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t>现有工程</w:t>
            </w:r>
          </w:p>
          <w:p w14:paraId="4443562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t>排放量（固体废物产生量）</w:t>
            </w: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instrText xml:space="preserve"> = 1 \* GB3 \* MERGEFORMAT </w:instrText>
            </w: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①</w:t>
            </w: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fldChar w:fldCharType="end"/>
            </w:r>
          </w:p>
        </w:tc>
        <w:tc>
          <w:tcPr>
            <w:tcW w:w="584" w:type="pct"/>
            <w:tcBorders>
              <w:tl2br w:val="nil"/>
              <w:tr2bl w:val="nil"/>
            </w:tcBorders>
            <w:noWrap w:val="0"/>
            <w:tcMar>
              <w:left w:w="28" w:type="dxa"/>
              <w:right w:w="28" w:type="dxa"/>
            </w:tcMar>
            <w:vAlign w:val="center"/>
          </w:tcPr>
          <w:p w14:paraId="0B5BAD7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t>现有工程</w:t>
            </w:r>
          </w:p>
          <w:p w14:paraId="2E66640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t>许可排放量</w:t>
            </w:r>
          </w:p>
          <w:p w14:paraId="507776E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instrText xml:space="preserve"> = 2 \* GB3 \* MERGEFORMAT </w:instrText>
            </w: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fldChar w:fldCharType="separate"/>
            </w: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t>②</w:t>
            </w: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fldChar w:fldCharType="end"/>
            </w:r>
          </w:p>
        </w:tc>
        <w:tc>
          <w:tcPr>
            <w:tcW w:w="495" w:type="pct"/>
            <w:tcBorders>
              <w:tl2br w:val="nil"/>
              <w:tr2bl w:val="nil"/>
            </w:tcBorders>
            <w:noWrap w:val="0"/>
            <w:tcMar>
              <w:left w:w="28" w:type="dxa"/>
              <w:right w:w="28" w:type="dxa"/>
            </w:tcMar>
            <w:vAlign w:val="center"/>
          </w:tcPr>
          <w:p w14:paraId="6120126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t>在建工程</w:t>
            </w:r>
          </w:p>
          <w:p w14:paraId="1C4F546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t>排放量（固体废物产生量）</w:t>
            </w: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instrText xml:space="preserve"> = 3 \* GB3 \* MERGEFORMAT </w:instrText>
            </w: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③</w:t>
            </w: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fldChar w:fldCharType="end"/>
            </w:r>
          </w:p>
        </w:tc>
        <w:tc>
          <w:tcPr>
            <w:tcW w:w="519" w:type="pct"/>
            <w:tcBorders>
              <w:tl2br w:val="nil"/>
              <w:tr2bl w:val="nil"/>
            </w:tcBorders>
            <w:noWrap w:val="0"/>
            <w:tcMar>
              <w:left w:w="28" w:type="dxa"/>
              <w:right w:w="28" w:type="dxa"/>
            </w:tcMar>
            <w:vAlign w:val="center"/>
          </w:tcPr>
          <w:p w14:paraId="5973A7A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t>本项目</w:t>
            </w:r>
          </w:p>
          <w:p w14:paraId="4DE8F86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t>排放量（固体废物产生量）</w:t>
            </w: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instrText xml:space="preserve"> = 4 \* GB3 \* MERGEFORMAT </w:instrText>
            </w: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④</w:t>
            </w: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fldChar w:fldCharType="end"/>
            </w:r>
          </w:p>
        </w:tc>
        <w:tc>
          <w:tcPr>
            <w:tcW w:w="563" w:type="pct"/>
            <w:tcBorders>
              <w:tl2br w:val="nil"/>
              <w:tr2bl w:val="nil"/>
            </w:tcBorders>
            <w:noWrap w:val="0"/>
            <w:tcMar>
              <w:left w:w="28" w:type="dxa"/>
              <w:right w:w="28" w:type="dxa"/>
            </w:tcMar>
            <w:vAlign w:val="center"/>
          </w:tcPr>
          <w:p w14:paraId="04E0D85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spacing w:val="-16"/>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spacing w:val="-16"/>
                <w:kern w:val="21"/>
                <w:sz w:val="24"/>
                <w:szCs w:val="24"/>
                <w:highlight w:val="none"/>
                <w14:textFill>
                  <w14:solidFill>
                    <w14:schemeClr w14:val="tx1"/>
                  </w14:solidFill>
                </w14:textFill>
              </w:rPr>
              <w:t>以新带老削减量</w:t>
            </w:r>
          </w:p>
          <w:p w14:paraId="347DB06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spacing w:val="-16"/>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spacing w:val="-16"/>
                <w:kern w:val="21"/>
                <w:sz w:val="24"/>
                <w:szCs w:val="24"/>
                <w:highlight w:val="none"/>
                <w14:textFill>
                  <w14:solidFill>
                    <w14:schemeClr w14:val="tx1"/>
                  </w14:solidFill>
                </w14:textFill>
              </w:rPr>
              <w:t>（新建项目不填）</w:t>
            </w:r>
            <w:r>
              <w:rPr>
                <w:rFonts w:hint="default" w:ascii="Times New Roman" w:hAnsi="Times New Roman" w:eastAsia="宋体" w:cs="Times New Roman"/>
                <w:snapToGrid w:val="0"/>
                <w:color w:val="000000" w:themeColor="text1"/>
                <w:spacing w:val="-16"/>
                <w:kern w:val="21"/>
                <w:sz w:val="24"/>
                <w:szCs w:val="24"/>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 w:val="24"/>
                <w:szCs w:val="24"/>
                <w:highlight w:val="none"/>
                <w14:textFill>
                  <w14:solidFill>
                    <w14:schemeClr w14:val="tx1"/>
                  </w14:solidFill>
                </w14:textFill>
              </w:rPr>
              <w:instrText xml:space="preserve"> = 5 \* GB3 \* MERGEFORMAT </w:instrText>
            </w:r>
            <w:r>
              <w:rPr>
                <w:rFonts w:hint="default" w:ascii="Times New Roman" w:hAnsi="Times New Roman" w:eastAsia="宋体" w:cs="Times New Roman"/>
                <w:snapToGrid w:val="0"/>
                <w:color w:val="000000" w:themeColor="text1"/>
                <w:spacing w:val="-16"/>
                <w:kern w:val="2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⑤</w:t>
            </w:r>
            <w:r>
              <w:rPr>
                <w:rFonts w:hint="default" w:ascii="Times New Roman" w:hAnsi="Times New Roman" w:eastAsia="宋体" w:cs="Times New Roman"/>
                <w:snapToGrid w:val="0"/>
                <w:color w:val="000000" w:themeColor="text1"/>
                <w:spacing w:val="-16"/>
                <w:kern w:val="21"/>
                <w:sz w:val="24"/>
                <w:szCs w:val="24"/>
                <w:highlight w:val="none"/>
                <w14:textFill>
                  <w14:solidFill>
                    <w14:schemeClr w14:val="tx1"/>
                  </w14:solidFill>
                </w14:textFill>
              </w:rPr>
              <w:fldChar w:fldCharType="end"/>
            </w:r>
          </w:p>
        </w:tc>
        <w:tc>
          <w:tcPr>
            <w:tcW w:w="669" w:type="pct"/>
            <w:tcBorders>
              <w:tl2br w:val="nil"/>
              <w:tr2bl w:val="nil"/>
            </w:tcBorders>
            <w:noWrap w:val="0"/>
            <w:tcMar>
              <w:left w:w="28" w:type="dxa"/>
              <w:right w:w="28" w:type="dxa"/>
            </w:tcMar>
            <w:vAlign w:val="center"/>
          </w:tcPr>
          <w:p w14:paraId="20B2A41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spacing w:val="-16"/>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spacing w:val="-16"/>
                <w:kern w:val="21"/>
                <w:sz w:val="24"/>
                <w:szCs w:val="24"/>
                <w:highlight w:val="none"/>
                <w14:textFill>
                  <w14:solidFill>
                    <w14:schemeClr w14:val="tx1"/>
                  </w14:solidFill>
                </w14:textFill>
              </w:rPr>
              <w:t>本项目建成后</w:t>
            </w:r>
          </w:p>
          <w:p w14:paraId="57F1215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spacing w:val="-16"/>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spacing w:val="-16"/>
                <w:kern w:val="21"/>
                <w:sz w:val="24"/>
                <w:szCs w:val="24"/>
                <w:highlight w:val="none"/>
                <w14:textFill>
                  <w14:solidFill>
                    <w14:schemeClr w14:val="tx1"/>
                  </w14:solidFill>
                </w14:textFill>
              </w:rPr>
              <w:t>全厂排放量（固体废物产生量）</w:t>
            </w:r>
            <w:r>
              <w:rPr>
                <w:rFonts w:hint="default" w:ascii="Times New Roman" w:hAnsi="Times New Roman" w:eastAsia="宋体" w:cs="Times New Roman"/>
                <w:snapToGrid w:val="0"/>
                <w:color w:val="000000" w:themeColor="text1"/>
                <w:spacing w:val="-16"/>
                <w:kern w:val="21"/>
                <w:sz w:val="24"/>
                <w:szCs w:val="24"/>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 w:val="24"/>
                <w:szCs w:val="24"/>
                <w:highlight w:val="none"/>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spacing w:val="-16"/>
                <w:kern w:val="2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⑥</w:t>
            </w:r>
            <w:r>
              <w:rPr>
                <w:rFonts w:hint="default" w:ascii="Times New Roman" w:hAnsi="Times New Roman" w:eastAsia="宋体" w:cs="Times New Roman"/>
                <w:snapToGrid w:val="0"/>
                <w:color w:val="000000" w:themeColor="text1"/>
                <w:spacing w:val="-16"/>
                <w:kern w:val="21"/>
                <w:sz w:val="24"/>
                <w:szCs w:val="24"/>
                <w:highlight w:val="none"/>
                <w14:textFill>
                  <w14:solidFill>
                    <w14:schemeClr w14:val="tx1"/>
                  </w14:solidFill>
                </w14:textFill>
              </w:rPr>
              <w:fldChar w:fldCharType="end"/>
            </w:r>
          </w:p>
        </w:tc>
        <w:tc>
          <w:tcPr>
            <w:tcW w:w="432" w:type="pct"/>
            <w:tcBorders>
              <w:tl2br w:val="nil"/>
              <w:tr2bl w:val="nil"/>
            </w:tcBorders>
            <w:noWrap w:val="0"/>
            <w:tcMar>
              <w:left w:w="28" w:type="dxa"/>
              <w:right w:w="28" w:type="dxa"/>
            </w:tcMar>
            <w:vAlign w:val="center"/>
          </w:tcPr>
          <w:p w14:paraId="17FCFD1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t>变化量</w:t>
            </w:r>
          </w:p>
          <w:p w14:paraId="15CEE24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instrText xml:space="preserve"> = 7 \* GB3 \* MERGEFORMAT </w:instrText>
            </w: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⑦</w:t>
            </w:r>
            <w:r>
              <w:rPr>
                <w:rFonts w:hint="default" w:ascii="Times New Roman" w:hAnsi="Times New Roman" w:eastAsia="宋体" w:cs="Times New Roman"/>
                <w:snapToGrid w:val="0"/>
                <w:color w:val="000000" w:themeColor="text1"/>
                <w:spacing w:val="-6"/>
                <w:kern w:val="21"/>
                <w:sz w:val="24"/>
                <w:szCs w:val="24"/>
                <w:highlight w:val="none"/>
                <w14:textFill>
                  <w14:solidFill>
                    <w14:schemeClr w14:val="tx1"/>
                  </w14:solidFill>
                </w14:textFill>
              </w:rPr>
              <w:fldChar w:fldCharType="end"/>
            </w:r>
          </w:p>
        </w:tc>
      </w:tr>
      <w:tr w14:paraId="03F742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1" w:type="pct"/>
            <w:vMerge w:val="restart"/>
            <w:tcBorders>
              <w:tl2br w:val="nil"/>
              <w:tr2bl w:val="nil"/>
            </w:tcBorders>
            <w:noWrap w:val="0"/>
            <w:vAlign w:val="center"/>
          </w:tcPr>
          <w:p w14:paraId="69BF25E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t>废气</w:t>
            </w:r>
          </w:p>
        </w:tc>
        <w:tc>
          <w:tcPr>
            <w:tcW w:w="432" w:type="pct"/>
            <w:tcBorders>
              <w:tl2br w:val="nil"/>
              <w:tr2bl w:val="nil"/>
            </w:tcBorders>
            <w:noWrap w:val="0"/>
            <w:vAlign w:val="center"/>
          </w:tcPr>
          <w:p w14:paraId="744115F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NH</w:t>
            </w:r>
            <w:r>
              <w:rPr>
                <w:rFonts w:hint="default" w:ascii="Times New Roman" w:hAnsi="Times New Roman" w:eastAsia="宋体" w:cs="Times New Roman"/>
                <w:snapToGrid w:val="0"/>
                <w:color w:val="000000" w:themeColor="text1"/>
                <w:kern w:val="21"/>
                <w:sz w:val="24"/>
                <w:szCs w:val="24"/>
                <w:highlight w:val="none"/>
                <w:vertAlign w:val="subscript"/>
                <w:lang w:val="en-US" w:eastAsia="zh-CN"/>
                <w14:textFill>
                  <w14:solidFill>
                    <w14:schemeClr w14:val="tx1"/>
                  </w14:solidFill>
                </w14:textFill>
              </w:rPr>
              <w:t>3</w:t>
            </w:r>
          </w:p>
        </w:tc>
        <w:tc>
          <w:tcPr>
            <w:tcW w:w="822" w:type="pct"/>
            <w:tcBorders>
              <w:tl2br w:val="nil"/>
              <w:tr2bl w:val="nil"/>
            </w:tcBorders>
            <w:noWrap w:val="0"/>
            <w:vAlign w:val="center"/>
          </w:tcPr>
          <w:p w14:paraId="0A9775E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1.66t/a</w:t>
            </w:r>
          </w:p>
        </w:tc>
        <w:tc>
          <w:tcPr>
            <w:tcW w:w="584" w:type="pct"/>
            <w:tcBorders>
              <w:tl2br w:val="nil"/>
              <w:tr2bl w:val="nil"/>
            </w:tcBorders>
            <w:noWrap w:val="0"/>
            <w:vAlign w:val="center"/>
          </w:tcPr>
          <w:p w14:paraId="78543EF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495" w:type="pct"/>
            <w:tcBorders>
              <w:tl2br w:val="nil"/>
              <w:tr2bl w:val="nil"/>
            </w:tcBorders>
            <w:noWrap w:val="0"/>
            <w:vAlign w:val="center"/>
          </w:tcPr>
          <w:p w14:paraId="507662A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519" w:type="pct"/>
            <w:tcBorders>
              <w:tl2br w:val="nil"/>
              <w:tr2bl w:val="nil"/>
            </w:tcBorders>
            <w:noWrap w:val="0"/>
            <w:vAlign w:val="center"/>
          </w:tcPr>
          <w:p w14:paraId="13D0B18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1.66</w:t>
            </w:r>
          </w:p>
        </w:tc>
        <w:tc>
          <w:tcPr>
            <w:tcW w:w="563" w:type="pct"/>
            <w:tcBorders>
              <w:tl2br w:val="nil"/>
              <w:tr2bl w:val="nil"/>
            </w:tcBorders>
            <w:noWrap w:val="0"/>
            <w:vAlign w:val="center"/>
          </w:tcPr>
          <w:p w14:paraId="7E894C8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p>
        </w:tc>
        <w:tc>
          <w:tcPr>
            <w:tcW w:w="669" w:type="pct"/>
            <w:tcBorders>
              <w:tl2br w:val="nil"/>
              <w:tr2bl w:val="nil"/>
            </w:tcBorders>
            <w:noWrap w:val="0"/>
            <w:vAlign w:val="center"/>
          </w:tcPr>
          <w:p w14:paraId="5F76DED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3.32</w:t>
            </w:r>
          </w:p>
        </w:tc>
        <w:tc>
          <w:tcPr>
            <w:tcW w:w="432" w:type="pct"/>
            <w:tcBorders>
              <w:tl2br w:val="nil"/>
              <w:tr2bl w:val="nil"/>
            </w:tcBorders>
            <w:noWrap w:val="0"/>
            <w:vAlign w:val="center"/>
          </w:tcPr>
          <w:p w14:paraId="6A3EC84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1.66</w:t>
            </w:r>
          </w:p>
        </w:tc>
      </w:tr>
      <w:tr w14:paraId="2EB59F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1" w:type="pct"/>
            <w:vMerge w:val="continue"/>
            <w:tcBorders>
              <w:tl2br w:val="nil"/>
              <w:tr2bl w:val="nil"/>
            </w:tcBorders>
            <w:noWrap w:val="0"/>
            <w:vAlign w:val="center"/>
          </w:tcPr>
          <w:p w14:paraId="5D131B3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432" w:type="pct"/>
            <w:tcBorders>
              <w:tl2br w:val="nil"/>
              <w:tr2bl w:val="nil"/>
            </w:tcBorders>
            <w:noWrap w:val="0"/>
            <w:vAlign w:val="center"/>
          </w:tcPr>
          <w:p w14:paraId="4657425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H</w:t>
            </w:r>
            <w:r>
              <w:rPr>
                <w:rFonts w:hint="default" w:ascii="Times New Roman" w:hAnsi="Times New Roman" w:eastAsia="宋体" w:cs="Times New Roman"/>
                <w:snapToGrid w:val="0"/>
                <w:color w:val="000000" w:themeColor="text1"/>
                <w:kern w:val="21"/>
                <w:sz w:val="24"/>
                <w:szCs w:val="24"/>
                <w:highlight w:val="none"/>
                <w:vertAlign w:val="subscript"/>
                <w:lang w:val="en-US" w:eastAsia="zh-CN"/>
                <w14:textFill>
                  <w14:solidFill>
                    <w14:schemeClr w14:val="tx1"/>
                  </w14:solidFill>
                </w14:textFill>
              </w:rPr>
              <w:t>2</w:t>
            </w:r>
            <w:r>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S</w:t>
            </w:r>
          </w:p>
        </w:tc>
        <w:tc>
          <w:tcPr>
            <w:tcW w:w="822" w:type="pct"/>
            <w:tcBorders>
              <w:tl2br w:val="nil"/>
              <w:tr2bl w:val="nil"/>
            </w:tcBorders>
            <w:noWrap w:val="0"/>
            <w:vAlign w:val="center"/>
          </w:tcPr>
          <w:p w14:paraId="6EB48BE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0.06t/a</w:t>
            </w:r>
          </w:p>
        </w:tc>
        <w:tc>
          <w:tcPr>
            <w:tcW w:w="584" w:type="pct"/>
            <w:tcBorders>
              <w:tl2br w:val="nil"/>
              <w:tr2bl w:val="nil"/>
            </w:tcBorders>
            <w:noWrap w:val="0"/>
            <w:vAlign w:val="center"/>
          </w:tcPr>
          <w:p w14:paraId="29FD869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495" w:type="pct"/>
            <w:tcBorders>
              <w:tl2br w:val="nil"/>
              <w:tr2bl w:val="nil"/>
            </w:tcBorders>
            <w:noWrap w:val="0"/>
            <w:vAlign w:val="center"/>
          </w:tcPr>
          <w:p w14:paraId="684A735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519" w:type="pct"/>
            <w:tcBorders>
              <w:tl2br w:val="nil"/>
              <w:tr2bl w:val="nil"/>
            </w:tcBorders>
            <w:noWrap w:val="0"/>
            <w:vAlign w:val="center"/>
          </w:tcPr>
          <w:p w14:paraId="3CBBA78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0.06</w:t>
            </w:r>
          </w:p>
        </w:tc>
        <w:tc>
          <w:tcPr>
            <w:tcW w:w="563" w:type="pct"/>
            <w:tcBorders>
              <w:tl2br w:val="nil"/>
              <w:tr2bl w:val="nil"/>
            </w:tcBorders>
            <w:noWrap w:val="0"/>
            <w:vAlign w:val="center"/>
          </w:tcPr>
          <w:p w14:paraId="368EE6B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p>
        </w:tc>
        <w:tc>
          <w:tcPr>
            <w:tcW w:w="669" w:type="pct"/>
            <w:tcBorders>
              <w:tl2br w:val="nil"/>
              <w:tr2bl w:val="nil"/>
            </w:tcBorders>
            <w:noWrap w:val="0"/>
            <w:vAlign w:val="center"/>
          </w:tcPr>
          <w:p w14:paraId="14E17CF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0.12</w:t>
            </w:r>
          </w:p>
        </w:tc>
        <w:tc>
          <w:tcPr>
            <w:tcW w:w="432" w:type="pct"/>
            <w:tcBorders>
              <w:tl2br w:val="nil"/>
              <w:tr2bl w:val="nil"/>
            </w:tcBorders>
            <w:noWrap w:val="0"/>
            <w:vAlign w:val="center"/>
          </w:tcPr>
          <w:p w14:paraId="5139C21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0.06</w:t>
            </w:r>
          </w:p>
        </w:tc>
      </w:tr>
      <w:tr w14:paraId="2E46C8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1" w:type="pct"/>
            <w:vMerge w:val="restart"/>
            <w:tcBorders>
              <w:tl2br w:val="nil"/>
              <w:tr2bl w:val="nil"/>
            </w:tcBorders>
            <w:noWrap w:val="0"/>
            <w:vAlign w:val="center"/>
          </w:tcPr>
          <w:p w14:paraId="04103A1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t>废水</w:t>
            </w:r>
          </w:p>
        </w:tc>
        <w:tc>
          <w:tcPr>
            <w:tcW w:w="432" w:type="pct"/>
            <w:tcBorders>
              <w:tl2br w:val="nil"/>
              <w:tr2bl w:val="nil"/>
            </w:tcBorders>
            <w:noWrap w:val="0"/>
            <w:vAlign w:val="center"/>
          </w:tcPr>
          <w:p w14:paraId="1F5CF19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bidi="ar"/>
                <w14:textFill>
                  <w14:solidFill>
                    <w14:schemeClr w14:val="tx1"/>
                  </w14:solidFill>
                </w14:textFill>
              </w:rPr>
              <w:t>CODcr</w:t>
            </w:r>
          </w:p>
        </w:tc>
        <w:tc>
          <w:tcPr>
            <w:tcW w:w="822" w:type="pct"/>
            <w:tcBorders>
              <w:tl2br w:val="nil"/>
              <w:tr2bl w:val="nil"/>
            </w:tcBorders>
            <w:noWrap w:val="0"/>
            <w:vAlign w:val="center"/>
          </w:tcPr>
          <w:p w14:paraId="17F35CD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default" w:ascii="Times New Roman" w:hAnsi="Times New Roman" w:eastAsia="宋体" w:cs="Times New Roman"/>
                <w:i w:val="0"/>
                <w:iCs w:val="0"/>
                <w:color w:val="000000" w:themeColor="text1"/>
                <w:sz w:val="24"/>
                <w:szCs w:val="24"/>
                <w:highlight w:val="none"/>
                <w:u w:val="none"/>
                <w:lang w:val="en-US" w:eastAsia="zh-CN"/>
                <w14:textFill>
                  <w14:solidFill>
                    <w14:schemeClr w14:val="tx1"/>
                  </w14:solidFill>
                </w14:textFill>
              </w:rPr>
              <w:t>256.4</w:t>
            </w:r>
          </w:p>
        </w:tc>
        <w:tc>
          <w:tcPr>
            <w:tcW w:w="584" w:type="pct"/>
            <w:tcBorders>
              <w:tl2br w:val="nil"/>
              <w:tr2bl w:val="nil"/>
            </w:tcBorders>
            <w:noWrap w:val="0"/>
            <w:vAlign w:val="center"/>
          </w:tcPr>
          <w:p w14:paraId="161538E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default" w:ascii="Times New Roman" w:hAnsi="Times New Roman" w:eastAsia="宋体" w:cs="Times New Roman"/>
                <w:i w:val="0"/>
                <w:iCs w:val="0"/>
                <w:color w:val="000000" w:themeColor="text1"/>
                <w:sz w:val="24"/>
                <w:szCs w:val="24"/>
                <w:highlight w:val="none"/>
                <w:u w:val="none"/>
                <w:lang w:val="en-US" w:eastAsia="zh-CN"/>
                <w14:textFill>
                  <w14:solidFill>
                    <w14:schemeClr w14:val="tx1"/>
                  </w14:solidFill>
                </w14:textFill>
              </w:rPr>
              <w:t>638.75</w:t>
            </w:r>
          </w:p>
        </w:tc>
        <w:tc>
          <w:tcPr>
            <w:tcW w:w="495" w:type="pct"/>
            <w:tcBorders>
              <w:tl2br w:val="nil"/>
              <w:tr2bl w:val="nil"/>
            </w:tcBorders>
            <w:noWrap w:val="0"/>
            <w:vAlign w:val="center"/>
          </w:tcPr>
          <w:p w14:paraId="44BB394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519" w:type="pct"/>
            <w:tcBorders>
              <w:tl2br w:val="nil"/>
              <w:tr2bl w:val="nil"/>
            </w:tcBorders>
            <w:noWrap w:val="0"/>
            <w:vAlign w:val="center"/>
          </w:tcPr>
          <w:p w14:paraId="1938F2B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273.75</w:t>
            </w:r>
          </w:p>
        </w:tc>
        <w:tc>
          <w:tcPr>
            <w:tcW w:w="563" w:type="pct"/>
            <w:tcBorders>
              <w:tl2br w:val="nil"/>
              <w:tr2bl w:val="nil"/>
            </w:tcBorders>
            <w:noWrap w:val="0"/>
            <w:vAlign w:val="center"/>
          </w:tcPr>
          <w:p w14:paraId="76CB795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p>
        </w:tc>
        <w:tc>
          <w:tcPr>
            <w:tcW w:w="669" w:type="pct"/>
            <w:tcBorders>
              <w:tl2br w:val="nil"/>
              <w:tr2bl w:val="nil"/>
            </w:tcBorders>
            <w:noWrap w:val="0"/>
            <w:vAlign w:val="center"/>
          </w:tcPr>
          <w:p w14:paraId="3C79D44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530.15</w:t>
            </w:r>
          </w:p>
        </w:tc>
        <w:tc>
          <w:tcPr>
            <w:tcW w:w="432" w:type="pct"/>
            <w:tcBorders>
              <w:tl2br w:val="nil"/>
              <w:tr2bl w:val="nil"/>
            </w:tcBorders>
            <w:noWrap w:val="0"/>
            <w:vAlign w:val="center"/>
          </w:tcPr>
          <w:p w14:paraId="16C62E1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273.75</w:t>
            </w:r>
          </w:p>
        </w:tc>
      </w:tr>
      <w:tr w14:paraId="75AB94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1" w:type="pct"/>
            <w:vMerge w:val="continue"/>
            <w:tcBorders>
              <w:tl2br w:val="nil"/>
              <w:tr2bl w:val="nil"/>
            </w:tcBorders>
            <w:noWrap w:val="0"/>
            <w:vAlign w:val="center"/>
          </w:tcPr>
          <w:p w14:paraId="7D62193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432" w:type="pct"/>
            <w:tcBorders>
              <w:tl2br w:val="nil"/>
              <w:tr2bl w:val="nil"/>
            </w:tcBorders>
            <w:noWrap w:val="0"/>
            <w:vAlign w:val="center"/>
          </w:tcPr>
          <w:p w14:paraId="7814431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bidi="ar"/>
                <w14:textFill>
                  <w14:solidFill>
                    <w14:schemeClr w14:val="tx1"/>
                  </w14:solidFill>
                </w14:textFill>
              </w:rPr>
              <w:t>NH₃-N</w:t>
            </w:r>
          </w:p>
        </w:tc>
        <w:tc>
          <w:tcPr>
            <w:tcW w:w="822" w:type="pct"/>
            <w:tcBorders>
              <w:tl2br w:val="nil"/>
              <w:tr2bl w:val="nil"/>
            </w:tcBorders>
            <w:noWrap w:val="0"/>
            <w:vAlign w:val="center"/>
          </w:tcPr>
          <w:p w14:paraId="6981DCB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default" w:ascii="Times New Roman" w:hAnsi="Times New Roman" w:eastAsia="宋体" w:cs="Times New Roman"/>
                <w:i w:val="0"/>
                <w:iCs w:val="0"/>
                <w:color w:val="000000" w:themeColor="text1"/>
                <w:sz w:val="24"/>
                <w:szCs w:val="24"/>
                <w:highlight w:val="none"/>
                <w:u w:val="none"/>
                <w:lang w:val="en-US" w:eastAsia="zh-CN"/>
                <w14:textFill>
                  <w14:solidFill>
                    <w14:schemeClr w14:val="tx1"/>
                  </w14:solidFill>
                </w14:textFill>
              </w:rPr>
              <w:t>17.35</w:t>
            </w:r>
          </w:p>
        </w:tc>
        <w:tc>
          <w:tcPr>
            <w:tcW w:w="584" w:type="pct"/>
            <w:tcBorders>
              <w:tl2br w:val="nil"/>
              <w:tr2bl w:val="nil"/>
            </w:tcBorders>
            <w:noWrap w:val="0"/>
            <w:vAlign w:val="center"/>
          </w:tcPr>
          <w:p w14:paraId="71F07EA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default" w:ascii="Times New Roman" w:hAnsi="Times New Roman" w:eastAsia="宋体" w:cs="Times New Roman"/>
                <w:i w:val="0"/>
                <w:iCs w:val="0"/>
                <w:color w:val="000000" w:themeColor="text1"/>
                <w:sz w:val="24"/>
                <w:szCs w:val="24"/>
                <w:highlight w:val="none"/>
                <w:u w:val="none"/>
                <w:lang w:val="en-US" w:eastAsia="zh-CN"/>
                <w14:textFill>
                  <w14:solidFill>
                    <w14:schemeClr w14:val="tx1"/>
                  </w14:solidFill>
                </w14:textFill>
              </w:rPr>
              <w:t>81.2</w:t>
            </w:r>
          </w:p>
        </w:tc>
        <w:tc>
          <w:tcPr>
            <w:tcW w:w="495" w:type="pct"/>
            <w:tcBorders>
              <w:tl2br w:val="nil"/>
              <w:tr2bl w:val="nil"/>
            </w:tcBorders>
            <w:noWrap w:val="0"/>
            <w:vAlign w:val="center"/>
          </w:tcPr>
          <w:p w14:paraId="36D2D64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519" w:type="pct"/>
            <w:tcBorders>
              <w:tl2br w:val="nil"/>
              <w:tr2bl w:val="nil"/>
            </w:tcBorders>
            <w:noWrap w:val="0"/>
            <w:vAlign w:val="center"/>
          </w:tcPr>
          <w:p w14:paraId="5931B03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27.375</w:t>
            </w:r>
          </w:p>
        </w:tc>
        <w:tc>
          <w:tcPr>
            <w:tcW w:w="563" w:type="pct"/>
            <w:tcBorders>
              <w:tl2br w:val="nil"/>
              <w:tr2bl w:val="nil"/>
            </w:tcBorders>
            <w:noWrap w:val="0"/>
            <w:vAlign w:val="center"/>
          </w:tcPr>
          <w:p w14:paraId="1D7FC87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669" w:type="pct"/>
            <w:tcBorders>
              <w:tl2br w:val="nil"/>
              <w:tr2bl w:val="nil"/>
            </w:tcBorders>
            <w:noWrap w:val="0"/>
            <w:vAlign w:val="center"/>
          </w:tcPr>
          <w:p w14:paraId="0DDA9F6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54.725</w:t>
            </w:r>
          </w:p>
        </w:tc>
        <w:tc>
          <w:tcPr>
            <w:tcW w:w="432" w:type="pct"/>
            <w:tcBorders>
              <w:tl2br w:val="nil"/>
              <w:tr2bl w:val="nil"/>
            </w:tcBorders>
            <w:noWrap w:val="0"/>
            <w:vAlign w:val="center"/>
          </w:tcPr>
          <w:p w14:paraId="2CDE811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27.375</w:t>
            </w:r>
          </w:p>
        </w:tc>
      </w:tr>
      <w:tr w14:paraId="33F3EB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1" w:type="pct"/>
            <w:vMerge w:val="continue"/>
            <w:tcBorders>
              <w:tl2br w:val="nil"/>
              <w:tr2bl w:val="nil"/>
            </w:tcBorders>
            <w:noWrap w:val="0"/>
            <w:vAlign w:val="center"/>
          </w:tcPr>
          <w:p w14:paraId="41A7FE5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432" w:type="pct"/>
            <w:tcBorders>
              <w:tl2br w:val="nil"/>
              <w:tr2bl w:val="nil"/>
            </w:tcBorders>
            <w:noWrap w:val="0"/>
            <w:vAlign w:val="center"/>
          </w:tcPr>
          <w:p w14:paraId="5328CA4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bidi="ar"/>
                <w14:textFill>
                  <w14:solidFill>
                    <w14:schemeClr w14:val="tx1"/>
                  </w14:solidFill>
                </w14:textFill>
              </w:rPr>
              <w:t>TN</w:t>
            </w:r>
          </w:p>
        </w:tc>
        <w:tc>
          <w:tcPr>
            <w:tcW w:w="822" w:type="pct"/>
            <w:tcBorders>
              <w:tl2br w:val="nil"/>
              <w:tr2bl w:val="nil"/>
            </w:tcBorders>
            <w:noWrap w:val="0"/>
            <w:vAlign w:val="center"/>
          </w:tcPr>
          <w:p w14:paraId="7F70C17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default" w:ascii="Times New Roman" w:hAnsi="Times New Roman" w:eastAsia="宋体" w:cs="Times New Roman"/>
                <w:i w:val="0"/>
                <w:iCs w:val="0"/>
                <w:color w:val="000000" w:themeColor="text1"/>
                <w:sz w:val="24"/>
                <w:szCs w:val="24"/>
                <w:highlight w:val="none"/>
                <w:u w:val="none"/>
                <w:lang w:val="en-US" w:eastAsia="zh-CN"/>
                <w14:textFill>
                  <w14:solidFill>
                    <w14:schemeClr w14:val="tx1"/>
                  </w14:solidFill>
                </w14:textFill>
              </w:rPr>
              <w:t>129.78</w:t>
            </w:r>
          </w:p>
        </w:tc>
        <w:tc>
          <w:tcPr>
            <w:tcW w:w="584" w:type="pct"/>
            <w:tcBorders>
              <w:tl2br w:val="nil"/>
              <w:tr2bl w:val="nil"/>
            </w:tcBorders>
            <w:noWrap w:val="0"/>
            <w:vAlign w:val="center"/>
          </w:tcPr>
          <w:p w14:paraId="622EE77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default" w:ascii="Times New Roman" w:hAnsi="Times New Roman" w:eastAsia="宋体" w:cs="Times New Roman"/>
                <w:i w:val="0"/>
                <w:iCs w:val="0"/>
                <w:color w:val="000000" w:themeColor="text1"/>
                <w:sz w:val="24"/>
                <w:szCs w:val="24"/>
                <w:highlight w:val="none"/>
                <w:u w:val="none"/>
                <w:lang w:val="en-US" w:eastAsia="zh-CN"/>
                <w14:textFill>
                  <w14:solidFill>
                    <w14:schemeClr w14:val="tx1"/>
                  </w14:solidFill>
                </w14:textFill>
              </w:rPr>
              <w:t>191.63</w:t>
            </w:r>
          </w:p>
        </w:tc>
        <w:tc>
          <w:tcPr>
            <w:tcW w:w="495" w:type="pct"/>
            <w:tcBorders>
              <w:tl2br w:val="nil"/>
              <w:tr2bl w:val="nil"/>
            </w:tcBorders>
            <w:noWrap w:val="0"/>
            <w:vAlign w:val="center"/>
          </w:tcPr>
          <w:p w14:paraId="6558178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519" w:type="pct"/>
            <w:tcBorders>
              <w:tl2br w:val="nil"/>
              <w:tr2bl w:val="nil"/>
            </w:tcBorders>
            <w:noWrap w:val="0"/>
            <w:vAlign w:val="center"/>
          </w:tcPr>
          <w:p w14:paraId="6206B0F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82.13</w:t>
            </w:r>
          </w:p>
        </w:tc>
        <w:tc>
          <w:tcPr>
            <w:tcW w:w="563" w:type="pct"/>
            <w:tcBorders>
              <w:tl2br w:val="nil"/>
              <w:tr2bl w:val="nil"/>
            </w:tcBorders>
            <w:noWrap w:val="0"/>
            <w:vAlign w:val="center"/>
          </w:tcPr>
          <w:p w14:paraId="55C1EC1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669" w:type="pct"/>
            <w:tcBorders>
              <w:tl2br w:val="nil"/>
              <w:tr2bl w:val="nil"/>
            </w:tcBorders>
            <w:noWrap w:val="0"/>
            <w:vAlign w:val="center"/>
          </w:tcPr>
          <w:p w14:paraId="3B5015F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211.91</w:t>
            </w:r>
          </w:p>
        </w:tc>
        <w:tc>
          <w:tcPr>
            <w:tcW w:w="432" w:type="pct"/>
            <w:tcBorders>
              <w:tl2br w:val="nil"/>
              <w:tr2bl w:val="nil"/>
            </w:tcBorders>
            <w:noWrap w:val="0"/>
            <w:vAlign w:val="center"/>
          </w:tcPr>
          <w:p w14:paraId="3AFA50D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82.13</w:t>
            </w:r>
          </w:p>
        </w:tc>
      </w:tr>
      <w:tr w14:paraId="547415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1" w:type="pct"/>
            <w:vMerge w:val="continue"/>
            <w:tcBorders>
              <w:tl2br w:val="nil"/>
              <w:tr2bl w:val="nil"/>
            </w:tcBorders>
            <w:noWrap w:val="0"/>
            <w:vAlign w:val="center"/>
          </w:tcPr>
          <w:p w14:paraId="70567C1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432" w:type="pct"/>
            <w:tcBorders>
              <w:tl2br w:val="nil"/>
              <w:tr2bl w:val="nil"/>
            </w:tcBorders>
            <w:noWrap w:val="0"/>
            <w:vAlign w:val="center"/>
          </w:tcPr>
          <w:p w14:paraId="6AEFBF4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bidi="ar"/>
                <w14:textFill>
                  <w14:solidFill>
                    <w14:schemeClr w14:val="tx1"/>
                  </w14:solidFill>
                </w14:textFill>
              </w:rPr>
              <w:t>TP</w:t>
            </w:r>
          </w:p>
        </w:tc>
        <w:tc>
          <w:tcPr>
            <w:tcW w:w="822" w:type="pct"/>
            <w:tcBorders>
              <w:tl2br w:val="nil"/>
              <w:tr2bl w:val="nil"/>
            </w:tcBorders>
            <w:noWrap w:val="0"/>
            <w:vAlign w:val="center"/>
          </w:tcPr>
          <w:p w14:paraId="3277C28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default" w:ascii="Times New Roman" w:hAnsi="Times New Roman" w:eastAsia="宋体" w:cs="Times New Roman"/>
                <w:i w:val="0"/>
                <w:iCs w:val="0"/>
                <w:color w:val="000000" w:themeColor="text1"/>
                <w:sz w:val="24"/>
                <w:szCs w:val="24"/>
                <w:highlight w:val="none"/>
                <w:u w:val="none"/>
                <w:lang w:val="en-US" w:eastAsia="zh-CN"/>
                <w14:textFill>
                  <w14:solidFill>
                    <w14:schemeClr w14:val="tx1"/>
                  </w14:solidFill>
                </w14:textFill>
              </w:rPr>
              <w:t>3.162</w:t>
            </w:r>
          </w:p>
        </w:tc>
        <w:tc>
          <w:tcPr>
            <w:tcW w:w="584" w:type="pct"/>
            <w:tcBorders>
              <w:tl2br w:val="nil"/>
              <w:tr2bl w:val="nil"/>
            </w:tcBorders>
            <w:noWrap w:val="0"/>
            <w:vAlign w:val="center"/>
          </w:tcPr>
          <w:p w14:paraId="1BE7B17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default" w:ascii="Times New Roman" w:hAnsi="Times New Roman" w:eastAsia="宋体" w:cs="Times New Roman"/>
                <w:i w:val="0"/>
                <w:iCs w:val="0"/>
                <w:color w:val="000000" w:themeColor="text1"/>
                <w:sz w:val="24"/>
                <w:szCs w:val="24"/>
                <w:highlight w:val="none"/>
                <w:u w:val="none"/>
                <w:lang w:val="en-US" w:eastAsia="zh-CN"/>
                <w14:textFill>
                  <w14:solidFill>
                    <w14:schemeClr w14:val="tx1"/>
                  </w14:solidFill>
                </w14:textFill>
              </w:rPr>
              <w:t>6.39</w:t>
            </w:r>
          </w:p>
        </w:tc>
        <w:tc>
          <w:tcPr>
            <w:tcW w:w="495" w:type="pct"/>
            <w:tcBorders>
              <w:tl2br w:val="nil"/>
              <w:tr2bl w:val="nil"/>
            </w:tcBorders>
            <w:noWrap w:val="0"/>
            <w:vAlign w:val="center"/>
          </w:tcPr>
          <w:p w14:paraId="7001D14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519" w:type="pct"/>
            <w:tcBorders>
              <w:tl2br w:val="nil"/>
              <w:tr2bl w:val="nil"/>
            </w:tcBorders>
            <w:noWrap w:val="0"/>
            <w:vAlign w:val="center"/>
          </w:tcPr>
          <w:p w14:paraId="4BF168F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2.7375</w:t>
            </w:r>
          </w:p>
        </w:tc>
        <w:tc>
          <w:tcPr>
            <w:tcW w:w="563" w:type="pct"/>
            <w:tcBorders>
              <w:tl2br w:val="nil"/>
              <w:tr2bl w:val="nil"/>
            </w:tcBorders>
            <w:noWrap w:val="0"/>
            <w:vAlign w:val="center"/>
          </w:tcPr>
          <w:p w14:paraId="4067276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669" w:type="pct"/>
            <w:tcBorders>
              <w:tl2br w:val="nil"/>
              <w:tr2bl w:val="nil"/>
            </w:tcBorders>
            <w:noWrap w:val="0"/>
            <w:vAlign w:val="center"/>
          </w:tcPr>
          <w:p w14:paraId="4839AEE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5.892</w:t>
            </w:r>
          </w:p>
        </w:tc>
        <w:tc>
          <w:tcPr>
            <w:tcW w:w="432" w:type="pct"/>
            <w:tcBorders>
              <w:tl2br w:val="nil"/>
              <w:tr2bl w:val="nil"/>
            </w:tcBorders>
            <w:noWrap w:val="0"/>
            <w:vAlign w:val="center"/>
          </w:tcPr>
          <w:p w14:paraId="5EA7536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2.7375</w:t>
            </w:r>
          </w:p>
        </w:tc>
      </w:tr>
      <w:tr w14:paraId="42C27C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1" w:type="pct"/>
            <w:vMerge w:val="restart"/>
            <w:tcBorders>
              <w:tl2br w:val="nil"/>
              <w:tr2bl w:val="nil"/>
            </w:tcBorders>
            <w:noWrap w:val="0"/>
            <w:vAlign w:val="center"/>
          </w:tcPr>
          <w:p w14:paraId="78DFC94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t>一般工业</w:t>
            </w:r>
          </w:p>
          <w:p w14:paraId="75EB64C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t>固体废物</w:t>
            </w:r>
          </w:p>
        </w:tc>
        <w:tc>
          <w:tcPr>
            <w:tcW w:w="432" w:type="pct"/>
            <w:tcBorders>
              <w:tl2br w:val="nil"/>
              <w:tr2bl w:val="nil"/>
            </w:tcBorders>
            <w:noWrap w:val="0"/>
            <w:vAlign w:val="center"/>
          </w:tcPr>
          <w:p w14:paraId="7ED728B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生活垃圾</w:t>
            </w:r>
          </w:p>
        </w:tc>
        <w:tc>
          <w:tcPr>
            <w:tcW w:w="822" w:type="pct"/>
            <w:tcBorders>
              <w:tl2br w:val="nil"/>
              <w:tr2bl w:val="nil"/>
            </w:tcBorders>
            <w:noWrap w:val="0"/>
            <w:vAlign w:val="center"/>
          </w:tcPr>
          <w:p w14:paraId="3209113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1.46</w:t>
            </w:r>
          </w:p>
        </w:tc>
        <w:tc>
          <w:tcPr>
            <w:tcW w:w="584" w:type="pct"/>
            <w:tcBorders>
              <w:tl2br w:val="nil"/>
              <w:tr2bl w:val="nil"/>
            </w:tcBorders>
            <w:noWrap w:val="0"/>
            <w:vAlign w:val="center"/>
          </w:tcPr>
          <w:p w14:paraId="2304924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495" w:type="pct"/>
            <w:tcBorders>
              <w:tl2br w:val="nil"/>
              <w:tr2bl w:val="nil"/>
            </w:tcBorders>
            <w:noWrap w:val="0"/>
            <w:vAlign w:val="center"/>
          </w:tcPr>
          <w:p w14:paraId="61338D6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519" w:type="pct"/>
            <w:tcBorders>
              <w:tl2br w:val="nil"/>
              <w:tr2bl w:val="nil"/>
            </w:tcBorders>
            <w:noWrap w:val="0"/>
            <w:vAlign w:val="center"/>
          </w:tcPr>
          <w:p w14:paraId="64C57CF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w:t>
            </w:r>
          </w:p>
        </w:tc>
        <w:tc>
          <w:tcPr>
            <w:tcW w:w="563" w:type="pct"/>
            <w:tcBorders>
              <w:tl2br w:val="nil"/>
              <w:tr2bl w:val="nil"/>
            </w:tcBorders>
            <w:noWrap w:val="0"/>
            <w:vAlign w:val="center"/>
          </w:tcPr>
          <w:p w14:paraId="50A549A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p>
        </w:tc>
        <w:tc>
          <w:tcPr>
            <w:tcW w:w="669" w:type="pct"/>
            <w:tcBorders>
              <w:tl2br w:val="nil"/>
              <w:tr2bl w:val="nil"/>
            </w:tcBorders>
            <w:noWrap w:val="0"/>
            <w:vAlign w:val="center"/>
          </w:tcPr>
          <w:p w14:paraId="21DD8E4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1.46</w:t>
            </w:r>
            <w:r>
              <w:rPr>
                <w:rFonts w:hint="eastAsia" w:cs="Times New Roman"/>
                <w:snapToGrid w:val="0"/>
                <w:color w:val="000000" w:themeColor="text1"/>
                <w:kern w:val="21"/>
                <w:sz w:val="24"/>
                <w:szCs w:val="24"/>
                <w:highlight w:val="none"/>
                <w:lang w:val="en-US" w:eastAsia="zh-CN"/>
                <w14:textFill>
                  <w14:solidFill>
                    <w14:schemeClr w14:val="tx1"/>
                  </w14:solidFill>
                </w14:textFill>
              </w:rPr>
              <w:t>t/a</w:t>
            </w:r>
          </w:p>
        </w:tc>
        <w:tc>
          <w:tcPr>
            <w:tcW w:w="432" w:type="pct"/>
            <w:tcBorders>
              <w:tl2br w:val="nil"/>
              <w:tr2bl w:val="nil"/>
            </w:tcBorders>
            <w:noWrap w:val="0"/>
            <w:vAlign w:val="center"/>
          </w:tcPr>
          <w:p w14:paraId="0ACC7ED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eastAsia"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0</w:t>
            </w:r>
          </w:p>
        </w:tc>
      </w:tr>
      <w:tr w14:paraId="495BE6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1" w:type="pct"/>
            <w:vMerge w:val="continue"/>
            <w:tcBorders>
              <w:tl2br w:val="nil"/>
              <w:tr2bl w:val="nil"/>
            </w:tcBorders>
            <w:noWrap w:val="0"/>
            <w:vAlign w:val="center"/>
          </w:tcPr>
          <w:p w14:paraId="23CA0C7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432" w:type="pct"/>
            <w:tcBorders>
              <w:tl2br w:val="nil"/>
              <w:tr2bl w:val="nil"/>
            </w:tcBorders>
            <w:noWrap w:val="0"/>
            <w:vAlign w:val="center"/>
          </w:tcPr>
          <w:p w14:paraId="53F0D26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栅渣</w:t>
            </w:r>
            <w:r>
              <w:rPr>
                <w:rFonts w:hint="eastAsia" w:cs="Times New Roman"/>
                <w:snapToGrid w:val="0"/>
                <w:color w:val="000000" w:themeColor="text1"/>
                <w:kern w:val="21"/>
                <w:sz w:val="24"/>
                <w:szCs w:val="24"/>
                <w:highlight w:val="none"/>
                <w:lang w:val="en-US" w:eastAsia="zh-CN"/>
                <w14:textFill>
                  <w14:solidFill>
                    <w14:schemeClr w14:val="tx1"/>
                  </w14:solidFill>
                </w14:textFill>
              </w:rPr>
              <w:t>及沉砂</w:t>
            </w:r>
          </w:p>
        </w:tc>
        <w:tc>
          <w:tcPr>
            <w:tcW w:w="822" w:type="pct"/>
            <w:tcBorders>
              <w:tl2br w:val="nil"/>
              <w:tr2bl w:val="nil"/>
            </w:tcBorders>
            <w:noWrap w:val="0"/>
            <w:vAlign w:val="center"/>
          </w:tcPr>
          <w:p w14:paraId="12F5FD0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159.27</w:t>
            </w:r>
          </w:p>
        </w:tc>
        <w:tc>
          <w:tcPr>
            <w:tcW w:w="584" w:type="pct"/>
            <w:tcBorders>
              <w:tl2br w:val="nil"/>
              <w:tr2bl w:val="nil"/>
            </w:tcBorders>
            <w:noWrap w:val="0"/>
            <w:vAlign w:val="center"/>
          </w:tcPr>
          <w:p w14:paraId="2BE451A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495" w:type="pct"/>
            <w:tcBorders>
              <w:tl2br w:val="nil"/>
              <w:tr2bl w:val="nil"/>
            </w:tcBorders>
            <w:noWrap w:val="0"/>
            <w:vAlign w:val="center"/>
          </w:tcPr>
          <w:p w14:paraId="5A329D0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519" w:type="pct"/>
            <w:tcBorders>
              <w:tl2br w:val="nil"/>
              <w:tr2bl w:val="nil"/>
            </w:tcBorders>
            <w:noWrap w:val="0"/>
            <w:vAlign w:val="center"/>
          </w:tcPr>
          <w:p w14:paraId="4CAD870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188.89t/a</w:t>
            </w:r>
          </w:p>
        </w:tc>
        <w:tc>
          <w:tcPr>
            <w:tcW w:w="563" w:type="pct"/>
            <w:tcBorders>
              <w:tl2br w:val="nil"/>
              <w:tr2bl w:val="nil"/>
            </w:tcBorders>
            <w:noWrap w:val="0"/>
            <w:vAlign w:val="center"/>
          </w:tcPr>
          <w:p w14:paraId="0CFD663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14:textFill>
                  <w14:solidFill>
                    <w14:schemeClr w14:val="tx1"/>
                  </w14:solidFill>
                </w14:textFill>
              </w:rPr>
            </w:pPr>
          </w:p>
        </w:tc>
        <w:tc>
          <w:tcPr>
            <w:tcW w:w="669" w:type="pct"/>
            <w:tcBorders>
              <w:tl2br w:val="nil"/>
              <w:tr2bl w:val="nil"/>
            </w:tcBorders>
            <w:noWrap w:val="0"/>
            <w:vAlign w:val="center"/>
          </w:tcPr>
          <w:p w14:paraId="2AFAC1D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377.78t/a</w:t>
            </w:r>
          </w:p>
        </w:tc>
        <w:tc>
          <w:tcPr>
            <w:tcW w:w="432" w:type="pct"/>
            <w:tcBorders>
              <w:tl2br w:val="nil"/>
              <w:tr2bl w:val="nil"/>
            </w:tcBorders>
            <w:noWrap w:val="0"/>
            <w:vAlign w:val="center"/>
          </w:tcPr>
          <w:p w14:paraId="120A18D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218.51t/a</w:t>
            </w:r>
          </w:p>
        </w:tc>
      </w:tr>
      <w:tr w14:paraId="1A3D9D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1" w:type="pct"/>
            <w:vMerge w:val="continue"/>
            <w:tcBorders>
              <w:tl2br w:val="nil"/>
              <w:tr2bl w:val="nil"/>
            </w:tcBorders>
            <w:noWrap w:val="0"/>
            <w:vAlign w:val="center"/>
          </w:tcPr>
          <w:p w14:paraId="7A967EC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432" w:type="pct"/>
            <w:tcBorders>
              <w:tl2br w:val="nil"/>
              <w:tr2bl w:val="nil"/>
            </w:tcBorders>
            <w:noWrap w:val="0"/>
            <w:vAlign w:val="center"/>
          </w:tcPr>
          <w:p w14:paraId="579AD80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污泥</w:t>
            </w:r>
          </w:p>
        </w:tc>
        <w:tc>
          <w:tcPr>
            <w:tcW w:w="822" w:type="pct"/>
            <w:tcBorders>
              <w:tl2br w:val="nil"/>
              <w:tr2bl w:val="nil"/>
            </w:tcBorders>
            <w:noWrap w:val="0"/>
            <w:vAlign w:val="center"/>
          </w:tcPr>
          <w:p w14:paraId="45D5DCC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2190</w:t>
            </w:r>
          </w:p>
        </w:tc>
        <w:tc>
          <w:tcPr>
            <w:tcW w:w="584" w:type="pct"/>
            <w:tcBorders>
              <w:tl2br w:val="nil"/>
              <w:tr2bl w:val="nil"/>
            </w:tcBorders>
            <w:noWrap w:val="0"/>
            <w:vAlign w:val="center"/>
          </w:tcPr>
          <w:p w14:paraId="26334B7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495" w:type="pct"/>
            <w:tcBorders>
              <w:tl2br w:val="nil"/>
              <w:tr2bl w:val="nil"/>
            </w:tcBorders>
            <w:noWrap w:val="0"/>
            <w:vAlign w:val="center"/>
          </w:tcPr>
          <w:p w14:paraId="4C0D773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519" w:type="pct"/>
            <w:tcBorders>
              <w:tl2br w:val="nil"/>
              <w:tr2bl w:val="nil"/>
            </w:tcBorders>
            <w:noWrap w:val="0"/>
            <w:vAlign w:val="center"/>
          </w:tcPr>
          <w:p w14:paraId="6F15914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2190t/a</w:t>
            </w:r>
          </w:p>
        </w:tc>
        <w:tc>
          <w:tcPr>
            <w:tcW w:w="563" w:type="pct"/>
            <w:tcBorders>
              <w:tl2br w:val="nil"/>
              <w:tr2bl w:val="nil"/>
            </w:tcBorders>
            <w:noWrap w:val="0"/>
            <w:vAlign w:val="center"/>
          </w:tcPr>
          <w:p w14:paraId="48A286F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p>
        </w:tc>
        <w:tc>
          <w:tcPr>
            <w:tcW w:w="669" w:type="pct"/>
            <w:tcBorders>
              <w:tl2br w:val="nil"/>
              <w:tr2bl w:val="nil"/>
            </w:tcBorders>
            <w:noWrap w:val="0"/>
            <w:vAlign w:val="center"/>
          </w:tcPr>
          <w:p w14:paraId="48290ED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4380t/a</w:t>
            </w:r>
          </w:p>
        </w:tc>
        <w:tc>
          <w:tcPr>
            <w:tcW w:w="432" w:type="pct"/>
            <w:tcBorders>
              <w:tl2br w:val="nil"/>
              <w:tr2bl w:val="nil"/>
            </w:tcBorders>
            <w:noWrap w:val="0"/>
            <w:vAlign w:val="center"/>
          </w:tcPr>
          <w:p w14:paraId="50405DF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2190t/a</w:t>
            </w:r>
          </w:p>
        </w:tc>
      </w:tr>
      <w:tr w14:paraId="480E9A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1" w:type="pct"/>
            <w:vMerge w:val="continue"/>
            <w:tcBorders>
              <w:tl2br w:val="nil"/>
              <w:tr2bl w:val="nil"/>
            </w:tcBorders>
            <w:noWrap w:val="0"/>
            <w:vAlign w:val="center"/>
          </w:tcPr>
          <w:p w14:paraId="50424C0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432" w:type="pct"/>
            <w:tcBorders>
              <w:tl2br w:val="nil"/>
              <w:tr2bl w:val="nil"/>
            </w:tcBorders>
            <w:noWrap w:val="0"/>
            <w:vAlign w:val="center"/>
          </w:tcPr>
          <w:p w14:paraId="6F368C7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废包装材料</w:t>
            </w:r>
          </w:p>
        </w:tc>
        <w:tc>
          <w:tcPr>
            <w:tcW w:w="822" w:type="pct"/>
            <w:tcBorders>
              <w:tl2br w:val="nil"/>
              <w:tr2bl w:val="nil"/>
            </w:tcBorders>
            <w:noWrap w:val="0"/>
            <w:vAlign w:val="center"/>
          </w:tcPr>
          <w:p w14:paraId="2040ED3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0.4</w:t>
            </w:r>
          </w:p>
        </w:tc>
        <w:tc>
          <w:tcPr>
            <w:tcW w:w="584" w:type="pct"/>
            <w:tcBorders>
              <w:tl2br w:val="nil"/>
              <w:tr2bl w:val="nil"/>
            </w:tcBorders>
            <w:noWrap w:val="0"/>
            <w:vAlign w:val="center"/>
          </w:tcPr>
          <w:p w14:paraId="5A6FD1A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495" w:type="pct"/>
            <w:tcBorders>
              <w:tl2br w:val="nil"/>
              <w:tr2bl w:val="nil"/>
            </w:tcBorders>
            <w:noWrap w:val="0"/>
            <w:vAlign w:val="center"/>
          </w:tcPr>
          <w:p w14:paraId="3907FF2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519" w:type="pct"/>
            <w:tcBorders>
              <w:tl2br w:val="nil"/>
              <w:tr2bl w:val="nil"/>
            </w:tcBorders>
            <w:noWrap w:val="0"/>
            <w:vAlign w:val="center"/>
          </w:tcPr>
          <w:p w14:paraId="3E82538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0.4</w:t>
            </w:r>
            <w:r>
              <w:rPr>
                <w:rFonts w:hint="eastAsia" w:cs="Times New Roman"/>
                <w:snapToGrid w:val="0"/>
                <w:color w:val="000000" w:themeColor="text1"/>
                <w:kern w:val="21"/>
                <w:sz w:val="24"/>
                <w:szCs w:val="24"/>
                <w:highlight w:val="none"/>
                <w:lang w:val="en-US" w:eastAsia="zh-CN"/>
                <w14:textFill>
                  <w14:solidFill>
                    <w14:schemeClr w14:val="tx1"/>
                  </w14:solidFill>
                </w14:textFill>
              </w:rPr>
              <w:t>t/a</w:t>
            </w:r>
          </w:p>
        </w:tc>
        <w:tc>
          <w:tcPr>
            <w:tcW w:w="563" w:type="pct"/>
            <w:tcBorders>
              <w:tl2br w:val="nil"/>
              <w:tr2bl w:val="nil"/>
            </w:tcBorders>
            <w:noWrap w:val="0"/>
            <w:vAlign w:val="center"/>
          </w:tcPr>
          <w:p w14:paraId="71AE883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p>
        </w:tc>
        <w:tc>
          <w:tcPr>
            <w:tcW w:w="669" w:type="pct"/>
            <w:tcBorders>
              <w:tl2br w:val="nil"/>
              <w:tr2bl w:val="nil"/>
            </w:tcBorders>
            <w:noWrap w:val="0"/>
            <w:vAlign w:val="center"/>
          </w:tcPr>
          <w:p w14:paraId="142E3B5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0.8</w:t>
            </w:r>
            <w:r>
              <w:rPr>
                <w:rFonts w:hint="eastAsia" w:cs="Times New Roman"/>
                <w:snapToGrid w:val="0"/>
                <w:color w:val="000000" w:themeColor="text1"/>
                <w:kern w:val="21"/>
                <w:sz w:val="24"/>
                <w:szCs w:val="24"/>
                <w:highlight w:val="none"/>
                <w:lang w:val="en-US" w:eastAsia="zh-CN"/>
                <w14:textFill>
                  <w14:solidFill>
                    <w14:schemeClr w14:val="tx1"/>
                  </w14:solidFill>
                </w14:textFill>
              </w:rPr>
              <w:t>t/a</w:t>
            </w:r>
          </w:p>
        </w:tc>
        <w:tc>
          <w:tcPr>
            <w:tcW w:w="432" w:type="pct"/>
            <w:tcBorders>
              <w:tl2br w:val="nil"/>
              <w:tr2bl w:val="nil"/>
            </w:tcBorders>
            <w:noWrap w:val="0"/>
            <w:vAlign w:val="center"/>
          </w:tcPr>
          <w:p w14:paraId="7A43CCD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eastAsia"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t>0.4</w:t>
            </w:r>
            <w:r>
              <w:rPr>
                <w:rFonts w:hint="eastAsia" w:cs="Times New Roman"/>
                <w:snapToGrid w:val="0"/>
                <w:color w:val="000000" w:themeColor="text1"/>
                <w:kern w:val="21"/>
                <w:sz w:val="24"/>
                <w:szCs w:val="24"/>
                <w:highlight w:val="none"/>
                <w:lang w:val="en-US" w:eastAsia="zh-CN"/>
                <w14:textFill>
                  <w14:solidFill>
                    <w14:schemeClr w14:val="tx1"/>
                  </w14:solidFill>
                </w14:textFill>
              </w:rPr>
              <w:t>t/a</w:t>
            </w:r>
          </w:p>
        </w:tc>
      </w:tr>
      <w:tr w14:paraId="5B251E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1" w:type="pct"/>
            <w:vMerge w:val="restart"/>
            <w:tcBorders>
              <w:tl2br w:val="nil"/>
              <w:tr2bl w:val="nil"/>
            </w:tcBorders>
            <w:noWrap w:val="0"/>
            <w:vAlign w:val="center"/>
          </w:tcPr>
          <w:p w14:paraId="0C0D7B9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r>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t>危险废物</w:t>
            </w:r>
          </w:p>
        </w:tc>
        <w:tc>
          <w:tcPr>
            <w:tcW w:w="432" w:type="pct"/>
            <w:tcBorders>
              <w:tl2br w:val="nil"/>
              <w:tr2bl w:val="nil"/>
            </w:tcBorders>
            <w:noWrap w:val="0"/>
            <w:vAlign w:val="center"/>
          </w:tcPr>
          <w:p w14:paraId="4FB26A8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在线监测废液</w:t>
            </w:r>
          </w:p>
        </w:tc>
        <w:tc>
          <w:tcPr>
            <w:tcW w:w="822" w:type="pct"/>
            <w:tcBorders>
              <w:tl2br w:val="nil"/>
              <w:tr2bl w:val="nil"/>
            </w:tcBorders>
            <w:noWrap w:val="0"/>
            <w:vAlign w:val="center"/>
          </w:tcPr>
          <w:p w14:paraId="1F9159B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w:t>
            </w:r>
          </w:p>
        </w:tc>
        <w:tc>
          <w:tcPr>
            <w:tcW w:w="584" w:type="pct"/>
            <w:tcBorders>
              <w:tl2br w:val="nil"/>
              <w:tr2bl w:val="nil"/>
            </w:tcBorders>
            <w:noWrap w:val="0"/>
            <w:vAlign w:val="center"/>
          </w:tcPr>
          <w:p w14:paraId="49B9781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w:t>
            </w:r>
          </w:p>
        </w:tc>
        <w:tc>
          <w:tcPr>
            <w:tcW w:w="495" w:type="pct"/>
            <w:tcBorders>
              <w:tl2br w:val="nil"/>
              <w:tr2bl w:val="nil"/>
            </w:tcBorders>
            <w:noWrap w:val="0"/>
            <w:vAlign w:val="center"/>
          </w:tcPr>
          <w:p w14:paraId="3C7D1DA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w:t>
            </w:r>
          </w:p>
        </w:tc>
        <w:tc>
          <w:tcPr>
            <w:tcW w:w="519" w:type="pct"/>
            <w:tcBorders>
              <w:tl2br w:val="nil"/>
              <w:tr2bl w:val="nil"/>
            </w:tcBorders>
            <w:noWrap w:val="0"/>
            <w:vAlign w:val="center"/>
          </w:tcPr>
          <w:p w14:paraId="1938534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0.3t/a</w:t>
            </w:r>
          </w:p>
        </w:tc>
        <w:tc>
          <w:tcPr>
            <w:tcW w:w="563" w:type="pct"/>
            <w:tcBorders>
              <w:tl2br w:val="nil"/>
              <w:tr2bl w:val="nil"/>
            </w:tcBorders>
            <w:noWrap w:val="0"/>
            <w:vAlign w:val="center"/>
          </w:tcPr>
          <w:p w14:paraId="25B7275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p>
        </w:tc>
        <w:tc>
          <w:tcPr>
            <w:tcW w:w="669" w:type="pct"/>
            <w:tcBorders>
              <w:tl2br w:val="nil"/>
              <w:tr2bl w:val="nil"/>
            </w:tcBorders>
            <w:noWrap w:val="0"/>
            <w:vAlign w:val="center"/>
          </w:tcPr>
          <w:p w14:paraId="38F4A40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0.3t/a</w:t>
            </w:r>
          </w:p>
        </w:tc>
        <w:tc>
          <w:tcPr>
            <w:tcW w:w="432" w:type="pct"/>
            <w:tcBorders>
              <w:tl2br w:val="nil"/>
              <w:tr2bl w:val="nil"/>
            </w:tcBorders>
            <w:noWrap w:val="0"/>
            <w:vAlign w:val="center"/>
          </w:tcPr>
          <w:p w14:paraId="0DC30CA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0.3t/a</w:t>
            </w:r>
          </w:p>
        </w:tc>
      </w:tr>
      <w:tr w14:paraId="169DE6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1" w:type="pct"/>
            <w:vMerge w:val="continue"/>
            <w:tcBorders>
              <w:tl2br w:val="nil"/>
              <w:tr2bl w:val="nil"/>
            </w:tcBorders>
            <w:noWrap w:val="0"/>
            <w:vAlign w:val="center"/>
          </w:tcPr>
          <w:p w14:paraId="4FA89C4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000000" w:themeColor="text1"/>
                <w:kern w:val="21"/>
                <w:sz w:val="24"/>
                <w:szCs w:val="24"/>
                <w:highlight w:val="none"/>
                <w14:textFill>
                  <w14:solidFill>
                    <w14:schemeClr w14:val="tx1"/>
                  </w14:solidFill>
                </w14:textFill>
              </w:rPr>
            </w:pPr>
          </w:p>
        </w:tc>
        <w:tc>
          <w:tcPr>
            <w:tcW w:w="432" w:type="pct"/>
            <w:tcBorders>
              <w:tl2br w:val="nil"/>
              <w:tr2bl w:val="nil"/>
            </w:tcBorders>
            <w:noWrap w:val="0"/>
            <w:vAlign w:val="center"/>
          </w:tcPr>
          <w:p w14:paraId="0487CBC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废活性炭</w:t>
            </w:r>
          </w:p>
        </w:tc>
        <w:tc>
          <w:tcPr>
            <w:tcW w:w="822" w:type="pct"/>
            <w:tcBorders>
              <w:tl2br w:val="nil"/>
              <w:tr2bl w:val="nil"/>
            </w:tcBorders>
            <w:noWrap w:val="0"/>
            <w:vAlign w:val="center"/>
          </w:tcPr>
          <w:p w14:paraId="2C40880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w:t>
            </w:r>
          </w:p>
        </w:tc>
        <w:tc>
          <w:tcPr>
            <w:tcW w:w="584" w:type="pct"/>
            <w:tcBorders>
              <w:tl2br w:val="nil"/>
              <w:tr2bl w:val="nil"/>
            </w:tcBorders>
            <w:noWrap w:val="0"/>
            <w:vAlign w:val="center"/>
          </w:tcPr>
          <w:p w14:paraId="5A905CC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w:t>
            </w:r>
          </w:p>
        </w:tc>
        <w:tc>
          <w:tcPr>
            <w:tcW w:w="495" w:type="pct"/>
            <w:tcBorders>
              <w:tl2br w:val="nil"/>
              <w:tr2bl w:val="nil"/>
            </w:tcBorders>
            <w:noWrap w:val="0"/>
            <w:vAlign w:val="center"/>
          </w:tcPr>
          <w:p w14:paraId="6D37C3D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w:t>
            </w:r>
          </w:p>
        </w:tc>
        <w:tc>
          <w:tcPr>
            <w:tcW w:w="519" w:type="pct"/>
            <w:tcBorders>
              <w:tl2br w:val="nil"/>
              <w:tr2bl w:val="nil"/>
            </w:tcBorders>
            <w:noWrap w:val="0"/>
            <w:vAlign w:val="center"/>
          </w:tcPr>
          <w:p w14:paraId="5083635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0.2t/a</w:t>
            </w:r>
          </w:p>
        </w:tc>
        <w:tc>
          <w:tcPr>
            <w:tcW w:w="563" w:type="pct"/>
            <w:tcBorders>
              <w:tl2br w:val="nil"/>
              <w:tr2bl w:val="nil"/>
            </w:tcBorders>
            <w:noWrap w:val="0"/>
            <w:vAlign w:val="center"/>
          </w:tcPr>
          <w:p w14:paraId="08C553B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000000" w:themeColor="text1"/>
                <w:kern w:val="21"/>
                <w:sz w:val="24"/>
                <w:szCs w:val="24"/>
                <w:highlight w:val="none"/>
                <w:lang w:val="en-US" w:eastAsia="zh-CN"/>
                <w14:textFill>
                  <w14:solidFill>
                    <w14:schemeClr w14:val="tx1"/>
                  </w14:solidFill>
                </w14:textFill>
              </w:rPr>
            </w:pPr>
          </w:p>
        </w:tc>
        <w:tc>
          <w:tcPr>
            <w:tcW w:w="669" w:type="pct"/>
            <w:tcBorders>
              <w:tl2br w:val="nil"/>
              <w:tr2bl w:val="nil"/>
            </w:tcBorders>
            <w:noWrap w:val="0"/>
            <w:vAlign w:val="center"/>
          </w:tcPr>
          <w:p w14:paraId="2A71EAE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0.2t/a</w:t>
            </w:r>
          </w:p>
        </w:tc>
        <w:tc>
          <w:tcPr>
            <w:tcW w:w="432" w:type="pct"/>
            <w:tcBorders>
              <w:tl2br w:val="nil"/>
              <w:tr2bl w:val="nil"/>
            </w:tcBorders>
            <w:noWrap w:val="0"/>
            <w:vAlign w:val="center"/>
          </w:tcPr>
          <w:p w14:paraId="4304824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snapToGrid w:val="0"/>
                <w:color w:val="000000" w:themeColor="text1"/>
                <w:kern w:val="21"/>
                <w:sz w:val="24"/>
                <w:szCs w:val="24"/>
                <w:highlight w:val="none"/>
                <w:lang w:val="en-US" w:eastAsia="zh-CN"/>
                <w14:textFill>
                  <w14:solidFill>
                    <w14:schemeClr w14:val="tx1"/>
                  </w14:solidFill>
                </w14:textFill>
              </w:rPr>
            </w:pPr>
            <w:r>
              <w:rPr>
                <w:rFonts w:hint="eastAsia" w:cs="Times New Roman"/>
                <w:snapToGrid w:val="0"/>
                <w:color w:val="000000" w:themeColor="text1"/>
                <w:kern w:val="21"/>
                <w:sz w:val="24"/>
                <w:szCs w:val="24"/>
                <w:highlight w:val="none"/>
                <w:lang w:val="en-US" w:eastAsia="zh-CN"/>
                <w14:textFill>
                  <w14:solidFill>
                    <w14:schemeClr w14:val="tx1"/>
                  </w14:solidFill>
                </w14:textFill>
              </w:rPr>
              <w:t>0.2t/a</w:t>
            </w:r>
          </w:p>
        </w:tc>
      </w:tr>
    </w:tbl>
    <w:p w14:paraId="457D94DB">
      <w:pPr>
        <w:spacing w:before="192" w:beforeLines="80" w:after="24"/>
        <w:jc w:val="left"/>
        <w:rPr>
          <w:rFonts w:hAnsi="宋体"/>
          <w:snapToGrid w:val="0"/>
          <w:color w:val="000000" w:themeColor="text1"/>
          <w:spacing w:val="-6"/>
          <w:kern w:val="21"/>
          <w:szCs w:val="21"/>
          <w:highlight w:val="none"/>
          <w14:textFill>
            <w14:solidFill>
              <w14:schemeClr w14:val="tx1"/>
            </w14:solidFill>
          </w14:textFill>
        </w:rPr>
        <w:sectPr>
          <w:footerReference r:id="rId7"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Ansi="宋体"/>
          <w:snapToGrid w:val="0"/>
          <w:color w:val="000000" w:themeColor="text1"/>
          <w:kern w:val="21"/>
          <w:szCs w:val="21"/>
          <w:highlight w:val="none"/>
          <w14:textFill>
            <w14:solidFill>
              <w14:schemeClr w14:val="tx1"/>
            </w14:solidFill>
          </w14:textFill>
        </w:rPr>
        <w:t>注：</w:t>
      </w:r>
      <w:r>
        <w:rPr>
          <w:rFonts w:hAnsi="宋体"/>
          <w:snapToGrid w:val="0"/>
          <w:color w:val="000000" w:themeColor="text1"/>
          <w:spacing w:val="-16"/>
          <w:kern w:val="21"/>
          <w:szCs w:val="21"/>
          <w:highlight w:val="none"/>
          <w14:textFill>
            <w14:solidFill>
              <w14:schemeClr w14:val="tx1"/>
            </w14:solidFill>
          </w14:textFill>
        </w:rPr>
        <w:fldChar w:fldCharType="begin"/>
      </w:r>
      <w:r>
        <w:rPr>
          <w:rFonts w:hAnsi="宋体"/>
          <w:snapToGrid w:val="0"/>
          <w:color w:val="000000" w:themeColor="text1"/>
          <w:spacing w:val="-16"/>
          <w:kern w:val="21"/>
          <w:szCs w:val="21"/>
          <w:highlight w:val="none"/>
          <w14:textFill>
            <w14:solidFill>
              <w14:schemeClr w14:val="tx1"/>
            </w14:solidFill>
          </w14:textFill>
        </w:rPr>
        <w:instrText xml:space="preserve"> = 6 \* GB3 \* MERGEFORMAT </w:instrText>
      </w:r>
      <w:r>
        <w:rPr>
          <w:rFonts w:hAnsi="宋体"/>
          <w:snapToGrid w:val="0"/>
          <w:color w:val="000000" w:themeColor="text1"/>
          <w:spacing w:val="-1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⑥</w:t>
      </w:r>
      <w:r>
        <w:rPr>
          <w:rFonts w:hAnsi="宋体"/>
          <w:snapToGrid w:val="0"/>
          <w:color w:val="000000" w:themeColor="text1"/>
          <w:spacing w:val="-16"/>
          <w:kern w:val="21"/>
          <w:szCs w:val="21"/>
          <w:highlight w:val="none"/>
          <w14:textFill>
            <w14:solidFill>
              <w14:schemeClr w14:val="tx1"/>
            </w14:solidFill>
          </w14:textFill>
        </w:rPr>
        <w:fldChar w:fldCharType="end"/>
      </w:r>
      <w:r>
        <w:rPr>
          <w:rFonts w:hAnsi="宋体"/>
          <w:snapToGrid w:val="0"/>
          <w:color w:val="000000" w:themeColor="text1"/>
          <w:spacing w:val="-1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1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①</w:t>
      </w:r>
      <w:r>
        <w:rPr>
          <w:rFonts w:hAnsi="宋体"/>
          <w:snapToGrid w:val="0"/>
          <w:color w:val="000000" w:themeColor="text1"/>
          <w:spacing w:val="-6"/>
          <w:kern w:val="21"/>
          <w:szCs w:val="21"/>
          <w:highlight w:val="none"/>
          <w14:textFill>
            <w14:solidFill>
              <w14:schemeClr w14:val="tx1"/>
            </w14:solidFill>
          </w14:textFill>
        </w:rPr>
        <w:fldChar w:fldCharType="end"/>
      </w:r>
      <w:r>
        <w:rPr>
          <w:rFonts w:hAnsi="宋体"/>
          <w:snapToGrid w:val="0"/>
          <w:color w:val="000000" w:themeColor="text1"/>
          <w:spacing w:val="-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3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③</w:t>
      </w:r>
      <w:r>
        <w:rPr>
          <w:rFonts w:hAnsi="宋体"/>
          <w:snapToGrid w:val="0"/>
          <w:color w:val="000000" w:themeColor="text1"/>
          <w:spacing w:val="-6"/>
          <w:kern w:val="21"/>
          <w:szCs w:val="21"/>
          <w:highlight w:val="none"/>
          <w14:textFill>
            <w14:solidFill>
              <w14:schemeClr w14:val="tx1"/>
            </w14:solidFill>
          </w14:textFill>
        </w:rPr>
        <w:fldChar w:fldCharType="end"/>
      </w:r>
      <w:r>
        <w:rPr>
          <w:rFonts w:hAnsi="宋体"/>
          <w:snapToGrid w:val="0"/>
          <w:color w:val="000000" w:themeColor="text1"/>
          <w:spacing w:val="-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4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④</w:t>
      </w:r>
      <w:r>
        <w:rPr>
          <w:rFonts w:hAnsi="宋体"/>
          <w:snapToGrid w:val="0"/>
          <w:color w:val="000000" w:themeColor="text1"/>
          <w:spacing w:val="-6"/>
          <w:kern w:val="21"/>
          <w:szCs w:val="21"/>
          <w:highlight w:val="none"/>
          <w14:textFill>
            <w14:solidFill>
              <w14:schemeClr w14:val="tx1"/>
            </w14:solidFill>
          </w14:textFill>
        </w:rPr>
        <w:fldChar w:fldCharType="end"/>
      </w:r>
      <w:r>
        <w:rPr>
          <w:rFonts w:hAnsi="宋体"/>
          <w:snapToGrid w:val="0"/>
          <w:color w:val="000000" w:themeColor="text1"/>
          <w:spacing w:val="-6"/>
          <w:kern w:val="21"/>
          <w:szCs w:val="21"/>
          <w:highlight w:val="none"/>
          <w14:textFill>
            <w14:solidFill>
              <w14:schemeClr w14:val="tx1"/>
            </w14:solidFill>
          </w14:textFill>
        </w:rPr>
        <w:t>-</w:t>
      </w:r>
      <w:r>
        <w:rPr>
          <w:rFonts w:hAnsi="宋体"/>
          <w:snapToGrid w:val="0"/>
          <w:color w:val="000000" w:themeColor="text1"/>
          <w:spacing w:val="-16"/>
          <w:kern w:val="21"/>
          <w:szCs w:val="21"/>
          <w:highlight w:val="none"/>
          <w14:textFill>
            <w14:solidFill>
              <w14:schemeClr w14:val="tx1"/>
            </w14:solidFill>
          </w14:textFill>
        </w:rPr>
        <w:fldChar w:fldCharType="begin"/>
      </w:r>
      <w:r>
        <w:rPr>
          <w:rFonts w:hAnsi="宋体"/>
          <w:snapToGrid w:val="0"/>
          <w:color w:val="000000" w:themeColor="text1"/>
          <w:spacing w:val="-16"/>
          <w:kern w:val="21"/>
          <w:szCs w:val="21"/>
          <w:highlight w:val="none"/>
          <w14:textFill>
            <w14:solidFill>
              <w14:schemeClr w14:val="tx1"/>
            </w14:solidFill>
          </w14:textFill>
        </w:rPr>
        <w:instrText xml:space="preserve"> = 5 \* GB3 \* MERGEFORMAT </w:instrText>
      </w:r>
      <w:r>
        <w:rPr>
          <w:rFonts w:hAnsi="宋体"/>
          <w:snapToGrid w:val="0"/>
          <w:color w:val="000000" w:themeColor="text1"/>
          <w:spacing w:val="-1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⑤</w:t>
      </w:r>
      <w:r>
        <w:rPr>
          <w:rFonts w:hAnsi="宋体"/>
          <w:snapToGrid w:val="0"/>
          <w:color w:val="000000" w:themeColor="text1"/>
          <w:spacing w:val="-16"/>
          <w:kern w:val="21"/>
          <w:szCs w:val="21"/>
          <w:highlight w:val="none"/>
          <w14:textFill>
            <w14:solidFill>
              <w14:schemeClr w14:val="tx1"/>
            </w14:solidFill>
          </w14:textFill>
        </w:rPr>
        <w:fldChar w:fldCharType="end"/>
      </w:r>
      <w:r>
        <w:rPr>
          <w:rFonts w:hAnsi="宋体"/>
          <w:snapToGrid w:val="0"/>
          <w:color w:val="000000" w:themeColor="text1"/>
          <w:spacing w:val="-1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7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⑦</w:t>
      </w:r>
      <w:r>
        <w:rPr>
          <w:rFonts w:hAnsi="宋体"/>
          <w:snapToGrid w:val="0"/>
          <w:color w:val="000000" w:themeColor="text1"/>
          <w:spacing w:val="-6"/>
          <w:kern w:val="21"/>
          <w:szCs w:val="21"/>
          <w:highlight w:val="none"/>
          <w14:textFill>
            <w14:solidFill>
              <w14:schemeClr w14:val="tx1"/>
            </w14:solidFill>
          </w14:textFill>
        </w:rPr>
        <w:fldChar w:fldCharType="end"/>
      </w:r>
      <w:r>
        <w:rPr>
          <w:rFonts w:hAnsi="宋体"/>
          <w:snapToGrid w:val="0"/>
          <w:color w:val="000000" w:themeColor="text1"/>
          <w:spacing w:val="-6"/>
          <w:kern w:val="21"/>
          <w:szCs w:val="21"/>
          <w:highlight w:val="none"/>
          <w14:textFill>
            <w14:solidFill>
              <w14:schemeClr w14:val="tx1"/>
            </w14:solidFill>
          </w14:textFill>
        </w:rPr>
        <w:t>=</w:t>
      </w:r>
      <w:r>
        <w:rPr>
          <w:rFonts w:hAnsi="宋体"/>
          <w:snapToGrid w:val="0"/>
          <w:color w:val="000000" w:themeColor="text1"/>
          <w:spacing w:val="-16"/>
          <w:kern w:val="21"/>
          <w:szCs w:val="21"/>
          <w:highlight w:val="none"/>
          <w14:textFill>
            <w14:solidFill>
              <w14:schemeClr w14:val="tx1"/>
            </w14:solidFill>
          </w14:textFill>
        </w:rPr>
        <w:fldChar w:fldCharType="begin"/>
      </w:r>
      <w:r>
        <w:rPr>
          <w:rFonts w:hAnsi="宋体"/>
          <w:snapToGrid w:val="0"/>
          <w:color w:val="000000" w:themeColor="text1"/>
          <w:spacing w:val="-16"/>
          <w:kern w:val="21"/>
          <w:szCs w:val="21"/>
          <w:highlight w:val="none"/>
          <w14:textFill>
            <w14:solidFill>
              <w14:schemeClr w14:val="tx1"/>
            </w14:solidFill>
          </w14:textFill>
        </w:rPr>
        <w:instrText xml:space="preserve"> = 6 \* GB3 \* MERGEFORMAT </w:instrText>
      </w:r>
      <w:r>
        <w:rPr>
          <w:rFonts w:hAnsi="宋体"/>
          <w:snapToGrid w:val="0"/>
          <w:color w:val="000000" w:themeColor="text1"/>
          <w:spacing w:val="-1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⑥</w:t>
      </w:r>
      <w:r>
        <w:rPr>
          <w:rFonts w:hAnsi="宋体"/>
          <w:snapToGrid w:val="0"/>
          <w:color w:val="000000" w:themeColor="text1"/>
          <w:spacing w:val="-16"/>
          <w:kern w:val="21"/>
          <w:szCs w:val="21"/>
          <w:highlight w:val="none"/>
          <w14:textFill>
            <w14:solidFill>
              <w14:schemeClr w14:val="tx1"/>
            </w14:solidFill>
          </w14:textFill>
        </w:rPr>
        <w:fldChar w:fldCharType="end"/>
      </w:r>
      <w:r>
        <w:rPr>
          <w:rFonts w:hAnsi="宋体"/>
          <w:snapToGrid w:val="0"/>
          <w:color w:val="000000" w:themeColor="text1"/>
          <w:spacing w:val="-1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1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①</w:t>
      </w:r>
      <w:r>
        <w:rPr>
          <w:rFonts w:hAnsi="宋体"/>
          <w:snapToGrid w:val="0"/>
          <w:color w:val="000000" w:themeColor="text1"/>
          <w:spacing w:val="-6"/>
          <w:kern w:val="21"/>
          <w:szCs w:val="21"/>
          <w:highlight w:val="none"/>
          <w14:textFill>
            <w14:solidFill>
              <w14:schemeClr w14:val="tx1"/>
            </w14:solidFill>
          </w14:textFill>
        </w:rPr>
        <w:fldChar w:fldCharType="end"/>
      </w:r>
    </w:p>
    <w:p w14:paraId="152DE24E">
      <w:pPr>
        <w:rPr>
          <w:rFonts w:ascii="宋体" w:hAnsi="宋体" w:eastAsia="黑体"/>
          <w:color w:val="000000" w:themeColor="text1"/>
          <w:highlight w:val="none"/>
          <w14:textFill>
            <w14:solidFill>
              <w14:schemeClr w14:val="tx1"/>
            </w14:solidFill>
          </w14:textFill>
        </w:rPr>
      </w:pPr>
    </w:p>
    <w:p w14:paraId="28A92C6C">
      <w:pPr>
        <w:rPr>
          <w:rFonts w:ascii="宋体" w:hAnsi="宋体" w:eastAsia="黑体"/>
          <w:color w:val="000000" w:themeColor="text1"/>
          <w:highlight w:val="none"/>
          <w14:textFill>
            <w14:solidFill>
              <w14:schemeClr w14:val="tx1"/>
            </w14:solidFill>
          </w14:textFill>
        </w:rPr>
      </w:pPr>
    </w:p>
    <w:p w14:paraId="39497AFC">
      <w:pPr>
        <w:rPr>
          <w:rFonts w:ascii="宋体" w:hAnsi="宋体" w:eastAsia="黑体"/>
          <w:color w:val="000000" w:themeColor="text1"/>
          <w:highlight w:val="none"/>
          <w:u w:val="single"/>
          <w14:textFill>
            <w14:solidFill>
              <w14:schemeClr w14:val="tx1"/>
            </w14:solidFill>
          </w14:textFill>
        </w:rPr>
      </w:pPr>
    </w:p>
    <w:p w14:paraId="435EB16C">
      <w:pPr>
        <w:jc w:val="center"/>
        <w:rPr>
          <w:rFonts w:hint="eastAsia" w:ascii="方正小标宋简体" w:hAnsi="方正小标宋简体" w:eastAsia="方正小标宋简体" w:cs="方正小标宋简体"/>
          <w:color w:val="000000" w:themeColor="text1"/>
          <w:sz w:val="44"/>
          <w:szCs w:val="44"/>
          <w:highlight w:val="none"/>
          <w:u w:val="none"/>
          <w14:textFill>
            <w14:solidFill>
              <w14:schemeClr w14:val="tx1"/>
            </w14:solidFill>
          </w14:textFill>
        </w:rPr>
      </w:pPr>
      <w:r>
        <w:rPr>
          <w:rFonts w:hint="eastAsia" w:ascii="方正小标宋简体" w:hAnsi="方正小标宋简体" w:eastAsia="方正小标宋简体" w:cs="方正小标宋简体"/>
          <w:color w:val="000000" w:themeColor="text1"/>
          <w:sz w:val="44"/>
          <w:szCs w:val="44"/>
          <w:highlight w:val="none"/>
          <w:u w:val="none"/>
          <w14:textFill>
            <w14:solidFill>
              <w14:schemeClr w14:val="tx1"/>
            </w14:solidFill>
          </w14:textFill>
        </w:rPr>
        <w:t>地表水环境影响专项评价</w:t>
      </w:r>
    </w:p>
    <w:p w14:paraId="47735FE8">
      <w:pPr>
        <w:jc w:val="center"/>
        <w:rPr>
          <w:rFonts w:hint="eastAsia" w:ascii="方正小标宋简体" w:hAnsi="方正小标宋简体" w:eastAsia="方正小标宋简体" w:cs="方正小标宋简体"/>
          <w:color w:val="000000" w:themeColor="text1"/>
          <w:sz w:val="44"/>
          <w:szCs w:val="44"/>
          <w:highlight w:val="none"/>
          <w:u w:val="none"/>
          <w14:textFill>
            <w14:solidFill>
              <w14:schemeClr w14:val="tx1"/>
            </w14:solidFill>
          </w14:textFill>
        </w:rPr>
      </w:pPr>
    </w:p>
    <w:p w14:paraId="2F4C52A4">
      <w:pPr>
        <w:jc w:val="center"/>
        <w:rPr>
          <w:rFonts w:hint="eastAsia" w:ascii="方正小标宋简体" w:hAnsi="方正小标宋简体" w:eastAsia="方正小标宋简体" w:cs="方正小标宋简体"/>
          <w:color w:val="000000" w:themeColor="text1"/>
          <w:sz w:val="44"/>
          <w:szCs w:val="44"/>
          <w:highlight w:val="none"/>
          <w:u w:val="none"/>
          <w14:textFill>
            <w14:solidFill>
              <w14:schemeClr w14:val="tx1"/>
            </w14:solidFill>
          </w14:textFill>
        </w:rPr>
      </w:pPr>
    </w:p>
    <w:p w14:paraId="7174CC3C">
      <w:pPr>
        <w:jc w:val="center"/>
        <w:rPr>
          <w:rFonts w:hint="eastAsia" w:ascii="方正小标宋简体" w:hAnsi="方正小标宋简体" w:eastAsia="方正小标宋简体" w:cs="方正小标宋简体"/>
          <w:color w:val="000000" w:themeColor="text1"/>
          <w:sz w:val="44"/>
          <w:szCs w:val="44"/>
          <w:highlight w:val="none"/>
          <w:u w:val="none"/>
          <w14:textFill>
            <w14:solidFill>
              <w14:schemeClr w14:val="tx1"/>
            </w14:solidFill>
          </w14:textFill>
        </w:rPr>
      </w:pPr>
    </w:p>
    <w:p w14:paraId="06AF06C6">
      <w:pPr>
        <w:jc w:val="center"/>
        <w:rPr>
          <w:rFonts w:hint="eastAsia" w:ascii="方正小标宋简体" w:hAnsi="方正小标宋简体" w:eastAsia="方正小标宋简体" w:cs="方正小标宋简体"/>
          <w:color w:val="000000" w:themeColor="text1"/>
          <w:sz w:val="44"/>
          <w:szCs w:val="44"/>
          <w:highlight w:val="none"/>
          <w:u w:val="none"/>
          <w14:textFill>
            <w14:solidFill>
              <w14:schemeClr w14:val="tx1"/>
            </w14:solidFill>
          </w14:textFill>
        </w:rPr>
      </w:pPr>
    </w:p>
    <w:p w14:paraId="5B4FA301">
      <w:pPr>
        <w:jc w:val="center"/>
        <w:rPr>
          <w:rFonts w:hint="eastAsia" w:ascii="方正小标宋简体" w:hAnsi="方正小标宋简体" w:eastAsia="方正小标宋简体" w:cs="方正小标宋简体"/>
          <w:color w:val="000000" w:themeColor="text1"/>
          <w:sz w:val="44"/>
          <w:szCs w:val="44"/>
          <w:highlight w:val="none"/>
          <w:u w:val="none"/>
          <w14:textFill>
            <w14:solidFill>
              <w14:schemeClr w14:val="tx1"/>
            </w14:solidFill>
          </w14:textFill>
        </w:rPr>
      </w:pPr>
    </w:p>
    <w:p w14:paraId="15056A19">
      <w:pPr>
        <w:jc w:val="center"/>
        <w:rPr>
          <w:rFonts w:hint="eastAsia" w:ascii="方正小标宋简体" w:hAnsi="方正小标宋简体" w:eastAsia="方正小标宋简体" w:cs="方正小标宋简体"/>
          <w:color w:val="000000" w:themeColor="text1"/>
          <w:sz w:val="44"/>
          <w:szCs w:val="44"/>
          <w:highlight w:val="none"/>
          <w:u w:val="none"/>
          <w14:textFill>
            <w14:solidFill>
              <w14:schemeClr w14:val="tx1"/>
            </w14:solidFill>
          </w14:textFill>
        </w:rPr>
      </w:pPr>
    </w:p>
    <w:p w14:paraId="19A3DBEE">
      <w:pPr>
        <w:jc w:val="center"/>
        <w:rPr>
          <w:rFonts w:hint="eastAsia" w:ascii="方正小标宋简体" w:hAnsi="方正小标宋简体" w:eastAsia="方正小标宋简体" w:cs="方正小标宋简体"/>
          <w:color w:val="000000" w:themeColor="text1"/>
          <w:sz w:val="44"/>
          <w:szCs w:val="44"/>
          <w:highlight w:val="none"/>
          <w:u w:val="none"/>
          <w14:textFill>
            <w14:solidFill>
              <w14:schemeClr w14:val="tx1"/>
            </w14:solidFill>
          </w14:textFill>
        </w:rPr>
      </w:pPr>
    </w:p>
    <w:p w14:paraId="4AF535D5">
      <w:pPr>
        <w:keepNext w:val="0"/>
        <w:keepLines w:val="0"/>
        <w:pageBreakBefore w:val="0"/>
        <w:widowControl w:val="0"/>
        <w:kinsoku/>
        <w:wordWrap/>
        <w:overflowPunct/>
        <w:topLinePunct w:val="0"/>
        <w:autoSpaceDE/>
        <w:autoSpaceDN/>
        <w:bidi w:val="0"/>
        <w:adjustRightInd w:val="0"/>
        <w:snapToGrid w:val="0"/>
        <w:ind w:firstLine="1687" w:firstLineChars="600"/>
        <w:jc w:val="both"/>
        <w:textAlignment w:val="auto"/>
        <w:rPr>
          <w:rFonts w:hint="eastAsia" w:ascii="楷体_GB2312" w:hAnsi="楷体_GB2312" w:eastAsia="楷体_GB2312" w:cs="楷体_GB2312"/>
          <w:b/>
          <w:bCs/>
          <w:color w:val="000000" w:themeColor="text1"/>
          <w:sz w:val="28"/>
          <w:szCs w:val="28"/>
          <w:highlight w:val="none"/>
          <w:lang w:val="en-US" w:eastAsia="zh-CN"/>
          <w14:textFill>
            <w14:solidFill>
              <w14:schemeClr w14:val="tx1"/>
            </w14:solidFill>
          </w14:textFill>
        </w:rPr>
      </w:pPr>
      <w:r>
        <w:rPr>
          <w:rFonts w:hint="eastAsia" w:ascii="楷体_GB2312" w:hAnsi="楷体_GB2312" w:eastAsia="楷体_GB2312" w:cs="楷体_GB2312"/>
          <w:b/>
          <w:bCs/>
          <w:color w:val="000000" w:themeColor="text1"/>
          <w:sz w:val="28"/>
          <w:szCs w:val="28"/>
          <w:highlight w:val="none"/>
          <w:lang w:val="en-US" w:eastAsia="zh-CN"/>
          <w14:textFill>
            <w14:solidFill>
              <w14:schemeClr w14:val="tx1"/>
            </w14:solidFill>
          </w14:textFill>
        </w:rPr>
        <w:t>建设单位：磴口县住房和城乡建设局</w:t>
      </w:r>
    </w:p>
    <w:p w14:paraId="6CFB4EA1">
      <w:pPr>
        <w:keepNext w:val="0"/>
        <w:keepLines w:val="0"/>
        <w:pageBreakBefore w:val="0"/>
        <w:widowControl w:val="0"/>
        <w:kinsoku/>
        <w:wordWrap/>
        <w:overflowPunct/>
        <w:topLinePunct w:val="0"/>
        <w:autoSpaceDE/>
        <w:autoSpaceDN/>
        <w:bidi w:val="0"/>
        <w:adjustRightInd w:val="0"/>
        <w:snapToGrid w:val="0"/>
        <w:ind w:firstLine="1687" w:firstLineChars="600"/>
        <w:jc w:val="both"/>
        <w:textAlignment w:val="auto"/>
        <w:rPr>
          <w:rFonts w:hint="eastAsia" w:ascii="楷体_GB2312" w:hAnsi="楷体_GB2312" w:eastAsia="楷体_GB2312" w:cs="楷体_GB2312"/>
          <w:b/>
          <w:bCs/>
          <w:color w:val="000000" w:themeColor="text1"/>
          <w:sz w:val="28"/>
          <w:szCs w:val="28"/>
          <w:highlight w:val="none"/>
          <w:lang w:val="en-US" w:eastAsia="zh-CN"/>
          <w14:textFill>
            <w14:solidFill>
              <w14:schemeClr w14:val="tx1"/>
            </w14:solidFill>
          </w14:textFill>
        </w:rPr>
      </w:pPr>
      <w:r>
        <w:rPr>
          <w:rFonts w:hint="eastAsia" w:ascii="楷体_GB2312" w:hAnsi="楷体_GB2312" w:eastAsia="楷体_GB2312" w:cs="楷体_GB2312"/>
          <w:b/>
          <w:bCs/>
          <w:color w:val="000000" w:themeColor="text1"/>
          <w:sz w:val="28"/>
          <w:szCs w:val="28"/>
          <w:highlight w:val="none"/>
          <w:lang w:val="en-US" w:eastAsia="zh-CN"/>
          <w14:textFill>
            <w14:solidFill>
              <w14:schemeClr w14:val="tx1"/>
            </w14:solidFill>
          </w14:textFill>
        </w:rPr>
        <w:t>编制单位：内蒙古清露环保科技有限公司</w:t>
      </w:r>
    </w:p>
    <w:p w14:paraId="539B85F8">
      <w:pPr>
        <w:rPr>
          <w:rFonts w:hint="eastAsia" w:ascii="宋体" w:hAnsi="宋体" w:eastAsia="黑体"/>
          <w:color w:val="000000" w:themeColor="text1"/>
          <w:highlight w:val="none"/>
          <w:lang w:val="en-US" w:eastAsia="zh-CN"/>
          <w14:textFill>
            <w14:solidFill>
              <w14:schemeClr w14:val="tx1"/>
            </w14:solidFill>
          </w14:textFill>
        </w:rPr>
      </w:pPr>
    </w:p>
    <w:p w14:paraId="24903614">
      <w:pPr>
        <w:jc w:val="center"/>
        <w:rPr>
          <w:rFonts w:hint="default" w:ascii="Times New Roman" w:hAnsi="Times New Roman" w:eastAsia="楷体_GB2312" w:cs="Times New Roman"/>
          <w:b/>
          <w:bCs/>
          <w:color w:val="000000" w:themeColor="text1"/>
          <w:sz w:val="28"/>
          <w:szCs w:val="28"/>
          <w:highlight w:val="none"/>
          <w:lang w:val="en-US" w:eastAsia="zh-CN"/>
          <w14:textFill>
            <w14:solidFill>
              <w14:schemeClr w14:val="tx1"/>
            </w14:solidFill>
          </w14:textFill>
        </w:rPr>
        <w:sectPr>
          <w:footerReference r:id="rId8"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楷体_GB2312" w:cs="Times New Roman"/>
          <w:b/>
          <w:bCs/>
          <w:color w:val="000000" w:themeColor="text1"/>
          <w:sz w:val="28"/>
          <w:szCs w:val="28"/>
          <w:highlight w:val="none"/>
          <w:lang w:val="en-US" w:eastAsia="zh-CN"/>
          <w14:textFill>
            <w14:solidFill>
              <w14:schemeClr w14:val="tx1"/>
            </w14:solidFill>
          </w14:textFill>
        </w:rPr>
        <w:t>202</w:t>
      </w:r>
      <w:r>
        <w:rPr>
          <w:rFonts w:hint="eastAsia" w:ascii="Times New Roman" w:hAnsi="Times New Roman" w:eastAsia="楷体_GB2312" w:cs="Times New Roman"/>
          <w:b/>
          <w:bCs/>
          <w:color w:val="000000" w:themeColor="text1"/>
          <w:sz w:val="28"/>
          <w:szCs w:val="28"/>
          <w:highlight w:val="none"/>
          <w:lang w:val="en-US" w:eastAsia="zh-CN"/>
          <w14:textFill>
            <w14:solidFill>
              <w14:schemeClr w14:val="tx1"/>
            </w14:solidFill>
          </w14:textFill>
        </w:rPr>
        <w:t>6</w:t>
      </w:r>
      <w:r>
        <w:rPr>
          <w:rFonts w:hint="default" w:ascii="Times New Roman" w:hAnsi="Times New Roman" w:eastAsia="楷体_GB2312" w:cs="Times New Roman"/>
          <w:b/>
          <w:bCs/>
          <w:color w:val="000000" w:themeColor="text1"/>
          <w:sz w:val="28"/>
          <w:szCs w:val="28"/>
          <w:highlight w:val="none"/>
          <w:lang w:val="en-US" w:eastAsia="zh-CN"/>
          <w14:textFill>
            <w14:solidFill>
              <w14:schemeClr w14:val="tx1"/>
            </w14:solidFill>
          </w14:textFill>
        </w:rPr>
        <w:t>年</w:t>
      </w:r>
      <w:r>
        <w:rPr>
          <w:rFonts w:hint="eastAsia" w:eastAsia="楷体_GB2312" w:cs="Times New Roman"/>
          <w:b/>
          <w:bCs/>
          <w:color w:val="000000" w:themeColor="text1"/>
          <w:sz w:val="28"/>
          <w:szCs w:val="28"/>
          <w:highlight w:val="none"/>
          <w:lang w:val="en-US" w:eastAsia="zh-CN"/>
          <w14:textFill>
            <w14:solidFill>
              <w14:schemeClr w14:val="tx1"/>
            </w14:solidFill>
          </w14:textFill>
        </w:rPr>
        <w:t>3</w:t>
      </w:r>
      <w:r>
        <w:rPr>
          <w:rFonts w:hint="default" w:ascii="Times New Roman" w:hAnsi="Times New Roman" w:eastAsia="楷体_GB2312" w:cs="Times New Roman"/>
          <w:b/>
          <w:bCs/>
          <w:color w:val="000000" w:themeColor="text1"/>
          <w:sz w:val="28"/>
          <w:szCs w:val="28"/>
          <w:highlight w:val="none"/>
          <w:lang w:val="en-US" w:eastAsia="zh-CN"/>
          <w14:textFill>
            <w14:solidFill>
              <w14:schemeClr w14:val="tx1"/>
            </w14:solidFill>
          </w14:textFill>
        </w:rPr>
        <w:t>月</w:t>
      </w:r>
    </w:p>
    <w:sdt>
      <w:sdtPr>
        <w:rPr>
          <w:rFonts w:ascii="宋体" w:hAnsi="宋体" w:eastAsia="宋体" w:cs="Times New Roman"/>
          <w:color w:val="000000" w:themeColor="text1"/>
          <w:kern w:val="2"/>
          <w:sz w:val="21"/>
          <w:szCs w:val="24"/>
          <w:highlight w:val="none"/>
          <w:lang w:val="en-US" w:eastAsia="zh-CN" w:bidi="ar-SA"/>
          <w14:textFill>
            <w14:solidFill>
              <w14:schemeClr w14:val="tx1"/>
            </w14:solidFill>
          </w14:textFill>
        </w:rPr>
        <w:id w:val="147467697"/>
        <w15:color w:val="DBDBDB"/>
        <w:docPartObj>
          <w:docPartGallery w:val="Table of Contents"/>
          <w:docPartUnique/>
        </w:docPartObj>
      </w:sdtPr>
      <w:sdtEndPr>
        <w:rPr>
          <w:rFonts w:hint="default" w:ascii="Times New Roman" w:hAnsi="Times New Roman" w:eastAsia="楷体_GB2312" w:cs="Times New Roman"/>
          <w:bCs/>
          <w:color w:val="000000" w:themeColor="text1"/>
          <w:kern w:val="2"/>
          <w:sz w:val="24"/>
          <w:szCs w:val="28"/>
          <w:highlight w:val="none"/>
          <w:lang w:val="en-US" w:eastAsia="zh-CN" w:bidi="ar-SA"/>
          <w14:textFill>
            <w14:solidFill>
              <w14:schemeClr w14:val="tx1"/>
            </w14:solidFill>
          </w14:textFill>
        </w:rPr>
      </w:sdtEndPr>
      <w:sdtContent>
        <w:p w14:paraId="78DB01A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kern w:val="2"/>
              <w:sz w:val="24"/>
              <w:szCs w:val="21"/>
              <w:highlight w:val="none"/>
              <w:lang w:val="en-US" w:eastAsia="zh-CN" w:bidi="ar-SA"/>
              <w14:textFill>
                <w14:solidFill>
                  <w14:schemeClr w14:val="tx1"/>
                </w14:solidFill>
              </w14:textFill>
            </w:rPr>
          </w:pPr>
          <w:r>
            <w:rPr>
              <w:rFonts w:ascii="宋体" w:hAnsi="宋体" w:eastAsia="宋体"/>
              <w:b/>
              <w:bCs/>
              <w:color w:val="000000" w:themeColor="text1"/>
              <w:sz w:val="30"/>
              <w:szCs w:val="30"/>
              <w:highlight w:val="none"/>
              <w14:textFill>
                <w14:solidFill>
                  <w14:schemeClr w14:val="tx1"/>
                </w14:solidFill>
              </w14:textFill>
            </w:rPr>
            <w:t>目录</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instrText xml:space="preserve">TOC \o "1-3" \h \u </w:instrTex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fldChar w:fldCharType="separate"/>
          </w:r>
        </w:p>
        <w:p w14:paraId="7BACB78E">
          <w:pPr>
            <w:pStyle w:val="10"/>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_Toc11441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1前言</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_Toc11441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1</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50751462">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_Toc28261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1.1编制目的</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_Toc28261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1</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65338C21">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_Toc9998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1.2编制依据</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_Toc9998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2</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2D653F90">
          <w:pPr>
            <w:pStyle w:val="10"/>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_Toc13900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2评价因子及标准</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_Toc13900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4</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3CF83C07">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_Toc23296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2.1评价因子</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_Toc23296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4</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734FAF43">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_Toc19927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2.2地表水环境功能区划及执行标准</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_Toc19927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4</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3C6B73C4">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_Toc22185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2.3地表水环境质量标准</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_Toc22185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4</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707CB365">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_Toc19361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2.4废水排放标准</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_Toc19361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5</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44572DA6">
          <w:pPr>
            <w:pStyle w:val="10"/>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_Toc25631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3</w:t>
          </w:r>
          <w:r>
            <w:rPr>
              <w:rFonts w:hint="default"/>
              <w:color w:val="000000" w:themeColor="text1"/>
              <w:sz w:val="21"/>
              <w:szCs w:val="21"/>
              <w:highlight w:val="none"/>
              <w:lang w:val="en-US" w:eastAsia="zh-CN"/>
              <w14:textFill>
                <w14:solidFill>
                  <w14:schemeClr w14:val="tx1"/>
                </w14:solidFill>
              </w14:textFill>
            </w:rPr>
            <w:t>地表水环境影响评价等级与评价范围</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_Toc25631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6</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6276ABDE">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_Toc864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3.1评价等级</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_Toc864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6</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6EE76F67">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_Toc16028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3.2评价范围</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_Toc16028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7</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15F2F33B">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_Toc2141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3.3地表水评价时段</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_Toc2141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8</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51789F87">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_Toc9584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3.4地表水环境保护目标</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_Toc9584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9</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2B1D978D">
          <w:pPr>
            <w:pStyle w:val="10"/>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_Toc22821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4区域污染源调查及地表水环境质量现状</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_Toc22821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10</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3B892A2B">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_Toc28523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4.1区域污染源调查</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_Toc28523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10</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4243EDE5">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_Toc25053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4.2地表水环境质量现状</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_Toc25053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10</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3C9955BE">
          <w:pPr>
            <w:pStyle w:val="10"/>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_Toc27220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default"/>
              <w:color w:val="000000" w:themeColor="text1"/>
              <w:sz w:val="21"/>
              <w:szCs w:val="21"/>
              <w:highlight w:val="none"/>
              <w:lang w:val="en-US" w:eastAsia="zh-CN"/>
              <w14:textFill>
                <w14:solidFill>
                  <w14:schemeClr w14:val="tx1"/>
                </w14:solidFill>
              </w14:textFill>
            </w:rPr>
            <w:t>5地表水环境影响预测与评价</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_Toc27220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13</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32A78790">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_Toc5374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5.1污水排放量</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_Toc5374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13</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0ABB6EB0">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_Toc18074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5.2污染物排放量</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_Toc18074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13</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114BC116">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_Toc32040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5.2对二排干的地表水环境影响预测</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_Toc32040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14</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6A129DB4">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_Toc24333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5.3地表水环境影响分析</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_Toc24333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19</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7C833EFB">
          <w:pPr>
            <w:pStyle w:val="7"/>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_Toc8673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5.3.1对二排干水质影响分析</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_Toc8673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19</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16005030">
          <w:pPr>
            <w:pStyle w:val="7"/>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_Toc3819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5.3.2对乌梁素海流域影响分析</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_Toc3819 \h </w:instrText>
          </w:r>
          <w:r>
            <w:rPr>
              <w:color w:val="000000" w:themeColor="text1"/>
              <w:sz w:val="21"/>
              <w:szCs w:val="21"/>
              <w:highlight w:val="none"/>
              <w14:textFill>
                <w14:solidFill>
                  <w14:schemeClr w14:val="tx1"/>
                </w14:solidFill>
              </w14:textFill>
            </w:rPr>
            <w:fldChar w:fldCharType="separate"/>
          </w:r>
          <w:r>
            <w:rPr>
              <w:b/>
            </w:rPr>
            <w:t>错误！未定义书签。</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33C6084C">
          <w:pPr>
            <w:pStyle w:val="7"/>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_Toc18160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5.3.3对水生态的影响分析</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_Toc18160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20</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3FD159A6">
          <w:pPr>
            <w:pStyle w:val="7"/>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_Toc614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5.3.4磴口县补隆淖尔镇饮用水水源地的影响分析</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_Toc614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20</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54320A15">
          <w:pPr>
            <w:pStyle w:val="7"/>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_Toc17059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5.3.5对地下水的影响分析</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_Toc17059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21</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44F950AA">
          <w:pPr>
            <w:pStyle w:val="7"/>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_Toc4733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5.3.6对人工湿地的影响分析</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_Toc4733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22</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6BD128DB">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_Toc30697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5.4安全域量分析</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_Toc30697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23</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5CB0E1DF">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_Toc29863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5.5建设项目水污染物排放信息表</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_Toc29863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23</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3ADFA130">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_Toc13210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5.6</w:t>
          </w:r>
          <w:r>
            <w:rPr>
              <w:rFonts w:hint="default"/>
              <w:color w:val="000000" w:themeColor="text1"/>
              <w:sz w:val="21"/>
              <w:szCs w:val="21"/>
              <w:highlight w:val="none"/>
              <w:lang w:val="en-US" w:eastAsia="zh-CN"/>
              <w14:textFill>
                <w14:solidFill>
                  <w14:schemeClr w14:val="tx1"/>
                </w14:solidFill>
              </w14:textFill>
            </w:rPr>
            <w:t>排污合法性分析</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_Toc13210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27</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6A95303C">
          <w:pPr>
            <w:pStyle w:val="7"/>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_Toc25261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5.6.1本项目对区域的削减贡献</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_Toc25261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27</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4999E9AB">
          <w:pPr>
            <w:pStyle w:val="7"/>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_Toc12128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5.6.2排污合法性分析</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_Toc12128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28</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055FD18B">
          <w:pPr>
            <w:pStyle w:val="10"/>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_Toc8816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6环境保护措施及技术可行性</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_Toc8816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30</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2A017B23">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_Toc18679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6.1环保措施</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_Toc18679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30</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21BDA718">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_Toc29875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6.2污水处理工艺</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_Toc29875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30</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2862CE61">
          <w:pPr>
            <w:pStyle w:val="11"/>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_Toc30777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6.3污水处理工艺技术可行性分析</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_Toc30777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33</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3A6E4AF0">
          <w:pPr>
            <w:pStyle w:val="10"/>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_Toc27492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7环境监测计划</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_Toc27492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35</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1DADA896">
          <w:pPr>
            <w:pStyle w:val="10"/>
            <w:keepNext w:val="0"/>
            <w:keepLines w:val="0"/>
            <w:pageBreakBefore w:val="0"/>
            <w:widowControl w:val="0"/>
            <w:tabs>
              <w:tab w:val="right" w:leader="dot" w:pos="8844"/>
            </w:tabs>
            <w:kinsoku/>
            <w:wordWrap/>
            <w:overflowPunct/>
            <w:topLinePunct w:val="0"/>
            <w:autoSpaceDE/>
            <w:autoSpaceDN/>
            <w:bidi w:val="0"/>
            <w:adjustRightInd w:val="0"/>
            <w:snapToGrid w:val="0"/>
            <w:spacing w:line="240" w:lineRule="auto"/>
            <w:textAlignment w:val="auto"/>
            <w:rPr>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begin"/>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instrText xml:space="preserve"> HYPERLINK \l _Toc8924 </w:instrTex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separate"/>
          </w:r>
          <w:r>
            <w:rPr>
              <w:rFonts w:hint="eastAsia"/>
              <w:color w:val="000000" w:themeColor="text1"/>
              <w:sz w:val="21"/>
              <w:szCs w:val="21"/>
              <w:highlight w:val="none"/>
              <w:lang w:val="en-US" w:eastAsia="zh-CN"/>
              <w14:textFill>
                <w14:solidFill>
                  <w14:schemeClr w14:val="tx1"/>
                </w14:solidFill>
              </w14:textFill>
            </w:rPr>
            <w:t>8地表水环境影响专项评价结论</w:t>
          </w:r>
          <w:r>
            <w:rPr>
              <w:color w:val="000000" w:themeColor="text1"/>
              <w:sz w:val="21"/>
              <w:szCs w:val="21"/>
              <w:highlight w:val="none"/>
              <w14:textFill>
                <w14:solidFill>
                  <w14:schemeClr w14:val="tx1"/>
                </w14:solidFill>
              </w14:textFill>
            </w:rPr>
            <w:tab/>
          </w:r>
          <w:r>
            <w:rPr>
              <w:color w:val="000000" w:themeColor="text1"/>
              <w:sz w:val="21"/>
              <w:szCs w:val="21"/>
              <w:highlight w:val="none"/>
              <w14:textFill>
                <w14:solidFill>
                  <w14:schemeClr w14:val="tx1"/>
                </w14:solidFill>
              </w14:textFill>
            </w:rPr>
            <w:fldChar w:fldCharType="begin"/>
          </w:r>
          <w:r>
            <w:rPr>
              <w:color w:val="000000" w:themeColor="text1"/>
              <w:sz w:val="21"/>
              <w:szCs w:val="21"/>
              <w:highlight w:val="none"/>
              <w14:textFill>
                <w14:solidFill>
                  <w14:schemeClr w14:val="tx1"/>
                </w14:solidFill>
              </w14:textFill>
            </w:rPr>
            <w:instrText xml:space="preserve"> PAGEREF _Toc8924 \h </w:instrText>
          </w:r>
          <w:r>
            <w:rPr>
              <w:color w:val="000000" w:themeColor="text1"/>
              <w:sz w:val="21"/>
              <w:szCs w:val="21"/>
              <w:highlight w:val="none"/>
              <w14:textFill>
                <w14:solidFill>
                  <w14:schemeClr w14:val="tx1"/>
                </w14:solidFill>
              </w14:textFill>
            </w:rPr>
            <w:fldChar w:fldCharType="separate"/>
          </w:r>
          <w:r>
            <w:rPr>
              <w:color w:val="000000" w:themeColor="text1"/>
              <w:sz w:val="21"/>
              <w:szCs w:val="21"/>
              <w:highlight w:val="none"/>
              <w14:textFill>
                <w14:solidFill>
                  <w14:schemeClr w14:val="tx1"/>
                </w14:solidFill>
              </w14:textFill>
            </w:rPr>
            <w:t>36</w:t>
          </w:r>
          <w:r>
            <w:rPr>
              <w:color w:val="000000" w:themeColor="text1"/>
              <w:sz w:val="21"/>
              <w:szCs w:val="21"/>
              <w:highlight w:val="none"/>
              <w14:textFill>
                <w14:solidFill>
                  <w14:schemeClr w14:val="tx1"/>
                </w14:solidFill>
              </w14:textFill>
            </w:rPr>
            <w:fldChar w:fldCharType="end"/>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fldChar w:fldCharType="end"/>
          </w:r>
        </w:p>
        <w:p w14:paraId="7EB9B8E6">
          <w:pPr>
            <w:pStyle w:val="11"/>
            <w:tabs>
              <w:tab w:val="right" w:leader="dot" w:pos="8844"/>
            </w:tabs>
            <w:rPr>
              <w:color w:val="000000" w:themeColor="text1"/>
              <w:highlight w:val="none"/>
              <w14:textFill>
                <w14:solidFill>
                  <w14:schemeClr w14:val="tx1"/>
                </w14:solidFill>
              </w14:textFill>
            </w:rPr>
          </w:pPr>
        </w:p>
        <w:p w14:paraId="0C4B8A4C">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jc w:val="center"/>
            <w:textAlignment w:val="auto"/>
            <w:rPr>
              <w:rFonts w:hint="default" w:ascii="Times New Roman" w:hAnsi="Times New Roman" w:eastAsia="楷体_GB2312" w:cs="Times New Roman"/>
              <w:bCs/>
              <w:color w:val="000000" w:themeColor="text1"/>
              <w:kern w:val="2"/>
              <w:sz w:val="24"/>
              <w:szCs w:val="28"/>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Cs w:val="21"/>
              <w:highlight w:val="none"/>
              <w:lang w:val="en-US" w:eastAsia="zh-CN"/>
              <w14:textFill>
                <w14:solidFill>
                  <w14:schemeClr w14:val="tx1"/>
                </w14:solidFill>
              </w14:textFill>
            </w:rPr>
            <w:fldChar w:fldCharType="end"/>
          </w:r>
        </w:p>
      </w:sdtContent>
    </w:sdt>
    <w:p w14:paraId="45D1F692">
      <w:pPr>
        <w:jc w:val="center"/>
        <w:rPr>
          <w:rFonts w:hint="default" w:ascii="Times New Roman" w:hAnsi="Times New Roman" w:eastAsia="楷体_GB2312" w:cs="Times New Roman"/>
          <w:bCs/>
          <w:color w:val="000000" w:themeColor="text1"/>
          <w:kern w:val="2"/>
          <w:sz w:val="24"/>
          <w:szCs w:val="28"/>
          <w:highlight w:val="none"/>
          <w:lang w:val="en-US" w:eastAsia="zh-CN" w:bidi="ar-SA"/>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1D2FA7E4">
      <w:pPr>
        <w:pStyle w:val="2"/>
        <w:bidi w:val="0"/>
        <w:rPr>
          <w:rFonts w:hint="eastAsia"/>
          <w:color w:val="000000" w:themeColor="text1"/>
          <w:highlight w:val="none"/>
          <w:lang w:val="en-US" w:eastAsia="zh-CN"/>
          <w14:textFill>
            <w14:solidFill>
              <w14:schemeClr w14:val="tx1"/>
            </w14:solidFill>
          </w14:textFill>
        </w:rPr>
      </w:pPr>
      <w:bookmarkStart w:id="26" w:name="_Toc2023"/>
      <w:bookmarkStart w:id="27" w:name="_Toc5224"/>
      <w:bookmarkStart w:id="28" w:name="_Toc31260"/>
      <w:bookmarkStart w:id="29" w:name="_Toc32124"/>
      <w:bookmarkStart w:id="30" w:name="_Toc2042"/>
      <w:bookmarkStart w:id="31" w:name="_Toc11441"/>
      <w:r>
        <w:rPr>
          <w:rFonts w:hint="eastAsia"/>
          <w:color w:val="000000" w:themeColor="text1"/>
          <w:highlight w:val="none"/>
          <w:lang w:val="en-US" w:eastAsia="zh-CN"/>
          <w14:textFill>
            <w14:solidFill>
              <w14:schemeClr w14:val="tx1"/>
            </w14:solidFill>
          </w14:textFill>
        </w:rPr>
        <w:t>1前言</w:t>
      </w:r>
      <w:bookmarkEnd w:id="26"/>
      <w:bookmarkEnd w:id="27"/>
      <w:bookmarkEnd w:id="28"/>
      <w:bookmarkEnd w:id="29"/>
      <w:bookmarkEnd w:id="30"/>
      <w:bookmarkEnd w:id="31"/>
    </w:p>
    <w:p w14:paraId="70BAA0F5">
      <w:pPr>
        <w:pStyle w:val="3"/>
        <w:bidi w:val="0"/>
        <w:rPr>
          <w:rFonts w:hint="default"/>
          <w:color w:val="000000" w:themeColor="text1"/>
          <w:highlight w:val="none"/>
          <w:lang w:val="en-US" w:eastAsia="zh-CN"/>
          <w14:textFill>
            <w14:solidFill>
              <w14:schemeClr w14:val="tx1"/>
            </w14:solidFill>
          </w14:textFill>
        </w:rPr>
      </w:pPr>
      <w:bookmarkStart w:id="32" w:name="_Toc28261"/>
      <w:r>
        <w:rPr>
          <w:rFonts w:hint="eastAsia"/>
          <w:color w:val="000000" w:themeColor="text1"/>
          <w:highlight w:val="none"/>
          <w:lang w:val="en-US" w:eastAsia="zh-CN"/>
          <w14:textFill>
            <w14:solidFill>
              <w14:schemeClr w14:val="tx1"/>
            </w14:solidFill>
          </w14:textFill>
        </w:rPr>
        <w:t>1.1编制目的</w:t>
      </w:r>
      <w:bookmarkEnd w:id="32"/>
    </w:p>
    <w:p w14:paraId="086B955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磴口县巴彦高勒镇污水处理厂一期工程始建于2008年，初始处理规模15000m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d，采用MBBR工艺，经2014年提标改造后出水执行《城镇污水处理厂污染物排放标准》（GB18918-2002）一级A标准。但随着磴口县城镇化进程加快、城镇人口持续增长及区域产业发展，污水产生量呈逐年递增趋势，2024年日均处理水量已达28937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/d，峰值水量突破3.2万m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/d，现有处理能力已难以应对未来污水量进一步增长的需求，且一期部分设备因长期运行存在老化衰减问题，影响处理系统稳定运行。</w:t>
      </w:r>
    </w:p>
    <w:p w14:paraId="50B653A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为切实保障区域水环境质量，完善城镇基础设施配套，有效削减入河污染物负荷，助力乌梁素海流域生态保护与综合治理，磴口县住房和城乡建设局启动“磴口一期污水处理厂升级改造项目”。项目在原有厂区内实施，不新增用地，将一期处理工艺升级为A²/O+MBR工艺，处理规模提升至30000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/d，出水水质持续稳定达到一级A标准后，后续部分进入中水厂回用，剩余部分经人工湿地净化（湿地出水主控指标pH、溶解氧、高锰酸盐指数、氨氮、总磷、BOD</w:t>
      </w:r>
      <w:r>
        <w:rPr>
          <w:rFonts w:hint="eastAsia"/>
          <w:color w:val="000000" w:themeColor="text1"/>
          <w:highlight w:val="none"/>
          <w:vertAlign w:val="subscript"/>
          <w:lang w:val="en-US" w:eastAsia="zh-CN"/>
          <w14:textFill>
            <w14:solidFill>
              <w14:schemeClr w14:val="tx1"/>
            </w14:solidFill>
          </w14:textFill>
        </w:rPr>
        <w:t>5</w:t>
      </w:r>
      <w:r>
        <w:rPr>
          <w:rFonts w:hint="eastAsia"/>
          <w:color w:val="000000" w:themeColor="text1"/>
          <w:highlight w:val="none"/>
          <w:lang w:val="en-US" w:eastAsia="zh-CN"/>
          <w14:textFill>
            <w14:solidFill>
              <w14:schemeClr w14:val="tx1"/>
            </w14:solidFill>
          </w14:textFill>
        </w:rPr>
        <w:t>、COD达到《地表水环境质量标准》（GB3838-2002）V类标准）后，通过现有入河排污口排入二排干。</w:t>
      </w:r>
    </w:p>
    <w:p w14:paraId="74F7DAD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根据《建设项目环境影响报告表编制技术指南（污染影响类）》中“新增废水直排的污水集中处理厂需开展地表水专项评价”的规定，本项目实施后，一期新增处理规模15000m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/d，对应尾水排放量新增15000m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/d。鉴于目前暂无法明确新增水量的回用与外排比例，为最大程度保障水环境安全，本次评价按最不利原则，假定新增15000m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d水量全部排入人工湿地进而进入二排干。该新增外排尾水将直接影响二排干水环境质量及流域生态平衡，为全面分析项目运营期尾水排放对受纳水体及周边地表水生态环境的影响程度，科学论证排放方案的合理性与环境可行性，特开展本次地表水专项评价工作，为项目环境管理及水环境风险防控提供技术支撑。</w:t>
      </w:r>
    </w:p>
    <w:p w14:paraId="15DE726D">
      <w:pPr>
        <w:pStyle w:val="3"/>
        <w:bidi w:val="0"/>
        <w:rPr>
          <w:rFonts w:hint="default"/>
          <w:color w:val="000000" w:themeColor="text1"/>
          <w:highlight w:val="none"/>
          <w:lang w:val="en-US" w:eastAsia="zh-CN"/>
          <w14:textFill>
            <w14:solidFill>
              <w14:schemeClr w14:val="tx1"/>
            </w14:solidFill>
          </w14:textFill>
        </w:rPr>
      </w:pPr>
      <w:bookmarkStart w:id="33" w:name="_Toc14672"/>
      <w:bookmarkStart w:id="34" w:name="_Toc28002"/>
      <w:bookmarkStart w:id="35" w:name="_Toc1789"/>
      <w:bookmarkStart w:id="36" w:name="_Toc15054"/>
      <w:bookmarkStart w:id="37" w:name="_Toc9998"/>
      <w:bookmarkStart w:id="38" w:name="_Toc25640"/>
      <w:r>
        <w:rPr>
          <w:rFonts w:hint="eastAsia"/>
          <w:color w:val="000000" w:themeColor="text1"/>
          <w:highlight w:val="none"/>
          <w:lang w:val="en-US" w:eastAsia="zh-CN"/>
          <w14:textFill>
            <w14:solidFill>
              <w14:schemeClr w14:val="tx1"/>
            </w14:solidFill>
          </w14:textFill>
        </w:rPr>
        <w:t>1.2编制依据</w:t>
      </w:r>
      <w:bookmarkEnd w:id="33"/>
      <w:bookmarkEnd w:id="34"/>
      <w:bookmarkEnd w:id="35"/>
      <w:bookmarkEnd w:id="36"/>
      <w:bookmarkEnd w:id="37"/>
      <w:bookmarkEnd w:id="38"/>
    </w:p>
    <w:p w14:paraId="2A0EC9BE">
      <w:pPr>
        <w:pStyle w:val="4"/>
        <w:bidi w:val="0"/>
        <w:rPr>
          <w:rFonts w:hint="default"/>
          <w:color w:val="000000" w:themeColor="text1"/>
          <w:highlight w:val="none"/>
          <w:lang w:val="en-US" w:eastAsia="zh-CN"/>
          <w14:textFill>
            <w14:solidFill>
              <w14:schemeClr w14:val="tx1"/>
            </w14:solidFill>
          </w14:textFill>
        </w:rPr>
      </w:pPr>
      <w:bookmarkStart w:id="39" w:name="_Toc16591"/>
      <w:bookmarkStart w:id="40" w:name="_Toc26527"/>
      <w:bookmarkStart w:id="41" w:name="_Toc22273"/>
      <w:bookmarkStart w:id="42" w:name="_Toc8608"/>
      <w:bookmarkStart w:id="43" w:name="_Toc31915"/>
      <w:bookmarkStart w:id="44" w:name="_Toc11122"/>
      <w:bookmarkStart w:id="45" w:name="_Toc11274"/>
      <w:bookmarkStart w:id="46" w:name="_Toc6483"/>
      <w:r>
        <w:rPr>
          <w:rFonts w:hint="eastAsia"/>
          <w:color w:val="000000" w:themeColor="text1"/>
          <w:highlight w:val="none"/>
          <w:lang w:val="en-US" w:eastAsia="zh-CN"/>
          <w14:textFill>
            <w14:solidFill>
              <w14:schemeClr w14:val="tx1"/>
            </w14:solidFill>
          </w14:textFill>
        </w:rPr>
        <w:t>1.2.1法律法规及相关条例</w:t>
      </w:r>
      <w:bookmarkEnd w:id="39"/>
      <w:bookmarkEnd w:id="40"/>
      <w:bookmarkEnd w:id="41"/>
      <w:bookmarkEnd w:id="42"/>
      <w:bookmarkEnd w:id="43"/>
      <w:bookmarkEnd w:id="44"/>
      <w:bookmarkEnd w:id="45"/>
      <w:bookmarkEnd w:id="46"/>
    </w:p>
    <w:p w14:paraId="71CA2C7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（1）《中华人民共和国水法》（2016年7月）；</w:t>
      </w:r>
    </w:p>
    <w:p w14:paraId="46D11AE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（2）《中华人民共和国环境保护法》（2015年1月）；</w:t>
      </w:r>
    </w:p>
    <w:p w14:paraId="1050B9E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（3）《中华人民共和国环境影响评价法》（2018年12月）；</w:t>
      </w:r>
    </w:p>
    <w:p w14:paraId="7EF8D14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（4）《中华人民共和国水污染防治法》（2018年1月）；</w:t>
      </w:r>
    </w:p>
    <w:p w14:paraId="7885786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（5）《中华人民共和国防洪法》（2016年7月）；</w:t>
      </w:r>
    </w:p>
    <w:p w14:paraId="75A2454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（6）《水污染防治行动计划》（2015年4月）；</w:t>
      </w:r>
    </w:p>
    <w:p w14:paraId="248D579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（7）《中华人民共和国河道管理条例》（2017年10月）；</w:t>
      </w:r>
    </w:p>
    <w:p w14:paraId="270CCA1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（8）《排污许可管理条例》（国务院令第736号）（2021年3月）；</w:t>
      </w:r>
    </w:p>
    <w:p w14:paraId="34B21DF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（9）《城镇排水与污水处理条例》（国务院令第641号）（2014年1月）；</w:t>
      </w:r>
    </w:p>
    <w:p w14:paraId="1D523B2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（10）生态环境部《入河排污口监督管理办法》（生态环境部令第35号）（2025年1月）；</w:t>
      </w:r>
    </w:p>
    <w:p w14:paraId="70792D1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eastAsia"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）《国务院关于修改</w:t>
      </w:r>
      <w:r>
        <w:rPr>
          <w:rFonts w:hint="eastAsia" w:cs="Times New Roman"/>
          <w:color w:val="000000" w:themeColor="text1"/>
          <w:sz w:val="24"/>
          <w:szCs w:val="24"/>
          <w:highlight w:val="none"/>
          <w:lang w:val="en-US" w:eastAsia="zh-CN"/>
          <w14:textFill>
            <w14:solidFill>
              <w14:schemeClr w14:val="tx1"/>
            </w14:solidFill>
          </w14:textFill>
        </w:rPr>
        <w:t>&lt;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建设项目环境保护管理条例</w:t>
      </w:r>
      <w:r>
        <w:rPr>
          <w:rFonts w:hint="eastAsia"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的决定》（国务院第682号令，2017年10月1日施行）；</w:t>
      </w:r>
    </w:p>
    <w:p w14:paraId="370719E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eastAsia"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）《建设项目环境影响评价分类管理名录》（2021年）；</w:t>
      </w:r>
    </w:p>
    <w:p w14:paraId="374D43F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eastAsia"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《产业结构调整指导目录（2024年）》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2AC988D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eastAsia"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）《内蒙古自治区生态环境保护条例》（2025年1月）；</w:t>
      </w:r>
    </w:p>
    <w:p w14:paraId="34B8A37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eastAsia" w:cs="Times New Roman"/>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）内蒙古自治区人民政府《关于水污染防治行动计划的实施意见》（2015年10月）</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27A4F97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eastAsia" w:cs="Times New Roman"/>
          <w:color w:val="000000" w:themeColor="text1"/>
          <w:sz w:val="24"/>
          <w:szCs w:val="24"/>
          <w:highlight w:val="none"/>
          <w:lang w:val="en-US" w:eastAsia="zh-CN"/>
          <w14:textFill>
            <w14:solidFill>
              <w14:schemeClr w14:val="tx1"/>
            </w14:solidFill>
          </w14:textFill>
        </w:rPr>
        <w:t>6</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）《巴彦淖尔市“十四五”生态环境保护规划》</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1CA1E987">
      <w:pPr>
        <w:pStyle w:val="4"/>
        <w:bidi w:val="0"/>
        <w:rPr>
          <w:rFonts w:hint="default"/>
          <w:color w:val="000000" w:themeColor="text1"/>
          <w:highlight w:val="none"/>
          <w:lang w:val="en-US" w:eastAsia="zh-CN"/>
          <w14:textFill>
            <w14:solidFill>
              <w14:schemeClr w14:val="tx1"/>
            </w14:solidFill>
          </w14:textFill>
        </w:rPr>
      </w:pPr>
      <w:bookmarkStart w:id="47" w:name="_Toc30621"/>
      <w:bookmarkStart w:id="48" w:name="_Toc23582"/>
      <w:bookmarkStart w:id="49" w:name="_Toc21131"/>
      <w:bookmarkStart w:id="50" w:name="_Toc14304"/>
      <w:bookmarkStart w:id="51" w:name="_Toc7691"/>
      <w:bookmarkStart w:id="52" w:name="_Toc2737"/>
      <w:bookmarkStart w:id="53" w:name="_Toc21080"/>
      <w:bookmarkStart w:id="54" w:name="_Toc23372"/>
      <w:r>
        <w:rPr>
          <w:rFonts w:hint="eastAsia"/>
          <w:color w:val="000000" w:themeColor="text1"/>
          <w:highlight w:val="none"/>
          <w:lang w:val="en-US" w:eastAsia="zh-CN"/>
          <w14:textFill>
            <w14:solidFill>
              <w14:schemeClr w14:val="tx1"/>
            </w14:solidFill>
          </w14:textFill>
        </w:rPr>
        <w:t>1.2.2</w:t>
      </w:r>
      <w:r>
        <w:rPr>
          <w:rFonts w:hint="default"/>
          <w:color w:val="000000" w:themeColor="text1"/>
          <w:highlight w:val="none"/>
          <w:lang w:val="en-US" w:eastAsia="zh-CN"/>
          <w14:textFill>
            <w14:solidFill>
              <w14:schemeClr w14:val="tx1"/>
            </w14:solidFill>
          </w14:textFill>
        </w:rPr>
        <w:t>技术导则、标准和规范</w:t>
      </w:r>
      <w:bookmarkEnd w:id="47"/>
      <w:bookmarkEnd w:id="48"/>
      <w:bookmarkEnd w:id="49"/>
      <w:bookmarkEnd w:id="50"/>
      <w:bookmarkEnd w:id="51"/>
      <w:bookmarkEnd w:id="52"/>
      <w:bookmarkEnd w:id="53"/>
      <w:bookmarkEnd w:id="54"/>
    </w:p>
    <w:p w14:paraId="6D21A7D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（1）《建设项目环境影响评价技术导则总纲》（HJ2.1-2016）；</w:t>
      </w:r>
    </w:p>
    <w:p w14:paraId="1A1C5A7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（2）《环境影响评价技术导则 地表水环境》（HJ2.3-2018）；</w:t>
      </w:r>
    </w:p>
    <w:p w14:paraId="4F64D61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（3）《地表水环境质量标准》（GB3838-2002）；</w:t>
      </w:r>
    </w:p>
    <w:p w14:paraId="1975BC5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）《地表水资源质量评价技术规程》（SL395-2007）；</w:t>
      </w:r>
    </w:p>
    <w:p w14:paraId="77A5EE1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）《地表水环境质量监测技术规范》（</w:t>
      </w:r>
      <w:r>
        <w:rPr>
          <w:rFonts w:hint="eastAsia" w:cs="Times New Roman"/>
          <w:color w:val="000000" w:themeColor="text1"/>
          <w:sz w:val="24"/>
          <w:szCs w:val="24"/>
          <w:highlight w:val="none"/>
          <w:lang w:val="en-US" w:eastAsia="zh-CN"/>
          <w14:textFill>
            <w14:solidFill>
              <w14:schemeClr w14:val="tx1"/>
            </w14:solidFill>
          </w14:textFill>
        </w:rPr>
        <w:t>HJ91.2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w:t>
      </w:r>
      <w:r>
        <w:rPr>
          <w:rFonts w:hint="eastAsia" w:cs="Times New Roman"/>
          <w:color w:val="000000" w:themeColor="text1"/>
          <w:sz w:val="24"/>
          <w:szCs w:val="24"/>
          <w:highlight w:val="none"/>
          <w:lang w:val="en-US" w:eastAsia="zh-CN"/>
          <w14:textFill>
            <w14:solidFill>
              <w14:schemeClr w14:val="tx1"/>
            </w14:solidFill>
          </w14:textFill>
        </w:rPr>
        <w:t>22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130E678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）《排污单位自行监测技术指南 水处理》（HJ1083-2020）；</w:t>
      </w:r>
    </w:p>
    <w:p w14:paraId="0CC583C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）《水污染治理工程技术导则》（HJ2015-2012）</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33C7668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8</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《入河入海排污口监督管理技术指南 监测》（HJ1387-2024）</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55E58DB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9</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《入河入海排污口监督管理技术指南 入河排污口规范化建设》（HJ1309-2023）</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78B12A3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eastAsia" w:cs="Times New Roman"/>
          <w:color w:val="000000" w:themeColor="text1"/>
          <w:sz w:val="24"/>
          <w:szCs w:val="24"/>
          <w:highlight w:val="none"/>
          <w:lang w:val="en-US" w:eastAsia="zh-CN"/>
          <w14:textFill>
            <w14:solidFill>
              <w14:schemeClr w14:val="tx1"/>
            </w14:solidFill>
          </w14:textFill>
        </w:rPr>
        <w:t>0</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《入河入海排污口监督管理技术指南 入河排污口设置》（HJ1386-2024）</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5AA87153">
      <w:pPr>
        <w:pStyle w:val="4"/>
        <w:bidi w:val="0"/>
        <w:rPr>
          <w:rFonts w:hint="default"/>
          <w:color w:val="000000" w:themeColor="text1"/>
          <w:highlight w:val="none"/>
          <w:lang w:val="en-US" w:eastAsia="zh-CN"/>
          <w14:textFill>
            <w14:solidFill>
              <w14:schemeClr w14:val="tx1"/>
            </w14:solidFill>
          </w14:textFill>
        </w:rPr>
      </w:pPr>
      <w:bookmarkStart w:id="55" w:name="_Toc45"/>
      <w:bookmarkStart w:id="56" w:name="_Toc30146"/>
      <w:bookmarkStart w:id="57" w:name="_Toc32751"/>
      <w:bookmarkStart w:id="58" w:name="_Toc3565"/>
      <w:bookmarkStart w:id="59" w:name="_Toc22194"/>
      <w:bookmarkStart w:id="60" w:name="_Toc30268"/>
      <w:bookmarkStart w:id="61" w:name="_Toc27107"/>
      <w:bookmarkStart w:id="62" w:name="_Toc542"/>
      <w:r>
        <w:rPr>
          <w:rFonts w:hint="eastAsia"/>
          <w:color w:val="000000" w:themeColor="text1"/>
          <w:highlight w:val="none"/>
          <w:lang w:val="en-US" w:eastAsia="zh-CN"/>
          <w14:textFill>
            <w14:solidFill>
              <w14:schemeClr w14:val="tx1"/>
            </w14:solidFill>
          </w14:textFill>
        </w:rPr>
        <w:t>1.2.3</w:t>
      </w:r>
      <w:r>
        <w:rPr>
          <w:rFonts w:hint="default"/>
          <w:color w:val="000000" w:themeColor="text1"/>
          <w:highlight w:val="none"/>
          <w:lang w:val="en-US" w:eastAsia="zh-CN"/>
          <w14:textFill>
            <w14:solidFill>
              <w14:schemeClr w14:val="tx1"/>
            </w14:solidFill>
          </w14:textFill>
        </w:rPr>
        <w:t>与本项目有关文件</w:t>
      </w:r>
      <w:bookmarkEnd w:id="55"/>
      <w:bookmarkEnd w:id="56"/>
      <w:bookmarkEnd w:id="57"/>
      <w:bookmarkEnd w:id="58"/>
      <w:bookmarkEnd w:id="59"/>
      <w:bookmarkEnd w:id="60"/>
      <w:bookmarkEnd w:id="61"/>
      <w:bookmarkEnd w:id="62"/>
    </w:p>
    <w:p w14:paraId="6481E04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《磴口一期污水处理厂升级改造项目初步设计说明书》（2025年10月）</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5B9E166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建设单位提供的其他资料。</w:t>
      </w:r>
    </w:p>
    <w:p w14:paraId="32E343C3">
      <w:pPr>
        <w:pStyle w:val="2"/>
        <w:bidi w:val="0"/>
        <w:rPr>
          <w:rFonts w:hint="default"/>
          <w:color w:val="000000" w:themeColor="text1"/>
          <w:highlight w:val="none"/>
          <w:lang w:val="en-US" w:eastAsia="zh-CN"/>
          <w14:textFill>
            <w14:solidFill>
              <w14:schemeClr w14:val="tx1"/>
            </w14:solidFill>
          </w14:textFill>
        </w:rPr>
      </w:pPr>
      <w:bookmarkStart w:id="63" w:name="_Toc5772"/>
      <w:bookmarkStart w:id="64" w:name="_Toc21346"/>
      <w:bookmarkStart w:id="65" w:name="_Toc29057"/>
      <w:bookmarkStart w:id="66" w:name="_Toc11768"/>
      <w:bookmarkStart w:id="67" w:name="_Toc12829"/>
      <w:bookmarkStart w:id="68" w:name="_Toc13900"/>
      <w:r>
        <w:rPr>
          <w:rFonts w:hint="eastAsia"/>
          <w:color w:val="000000" w:themeColor="text1"/>
          <w:highlight w:val="none"/>
          <w:lang w:val="en-US" w:eastAsia="zh-CN"/>
          <w14:textFill>
            <w14:solidFill>
              <w14:schemeClr w14:val="tx1"/>
            </w14:solidFill>
          </w14:textFill>
        </w:rPr>
        <w:t>2评价因子及标准</w:t>
      </w:r>
      <w:bookmarkEnd w:id="63"/>
      <w:bookmarkEnd w:id="64"/>
      <w:bookmarkEnd w:id="65"/>
      <w:bookmarkEnd w:id="66"/>
      <w:bookmarkEnd w:id="67"/>
      <w:bookmarkEnd w:id="68"/>
    </w:p>
    <w:p w14:paraId="44AC1E55">
      <w:pPr>
        <w:pStyle w:val="3"/>
        <w:bidi w:val="0"/>
        <w:rPr>
          <w:rFonts w:hint="eastAsia"/>
          <w:color w:val="000000" w:themeColor="text1"/>
          <w:highlight w:val="none"/>
          <w:lang w:val="en-US" w:eastAsia="zh-CN"/>
          <w14:textFill>
            <w14:solidFill>
              <w14:schemeClr w14:val="tx1"/>
            </w14:solidFill>
          </w14:textFill>
        </w:rPr>
      </w:pPr>
      <w:bookmarkStart w:id="69" w:name="_Toc15093"/>
      <w:bookmarkStart w:id="70" w:name="_Toc32461"/>
      <w:bookmarkStart w:id="71" w:name="_Toc23296"/>
      <w:bookmarkStart w:id="72" w:name="_Toc9483"/>
      <w:bookmarkStart w:id="73" w:name="_Toc18707"/>
      <w:bookmarkStart w:id="74" w:name="_Toc12904"/>
      <w:r>
        <w:rPr>
          <w:rFonts w:hint="eastAsia"/>
          <w:color w:val="000000" w:themeColor="text1"/>
          <w:highlight w:val="none"/>
          <w:lang w:val="en-US" w:eastAsia="zh-CN"/>
          <w14:textFill>
            <w14:solidFill>
              <w14:schemeClr w14:val="tx1"/>
            </w14:solidFill>
          </w14:textFill>
        </w:rPr>
        <w:t>2.1评价因子</w:t>
      </w:r>
      <w:bookmarkEnd w:id="69"/>
      <w:bookmarkEnd w:id="70"/>
      <w:bookmarkEnd w:id="71"/>
      <w:bookmarkEnd w:id="72"/>
      <w:bookmarkEnd w:id="73"/>
      <w:bookmarkEnd w:id="74"/>
    </w:p>
    <w:p w14:paraId="26274C3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根据本项目污染物排放特点及周边区域环境特征分析，确定地表水环境评价因子见表2.1-1。</w:t>
      </w:r>
    </w:p>
    <w:p w14:paraId="23592D33">
      <w:pPr>
        <w:pStyle w:val="20"/>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 xml:space="preserve">表2.1-1 </w:t>
      </w:r>
      <w:r>
        <w:rPr>
          <w:rFonts w:hint="eastAsia"/>
          <w:color w:val="000000" w:themeColor="text1"/>
          <w:highlight w:val="none"/>
          <w:lang w:val="en-US" w:eastAsia="zh-CN"/>
          <w14:textFill>
            <w14:solidFill>
              <w14:schemeClr w14:val="tx1"/>
            </w14:solidFill>
          </w14:textFill>
        </w:rPr>
        <w:t xml:space="preserve"> </w:t>
      </w:r>
      <w:r>
        <w:rPr>
          <w:rFonts w:hint="default"/>
          <w:color w:val="000000" w:themeColor="text1"/>
          <w:highlight w:val="none"/>
          <w:lang w:val="en-US" w:eastAsia="zh-CN"/>
          <w14:textFill>
            <w14:solidFill>
              <w14:schemeClr w14:val="tx1"/>
            </w14:solidFill>
          </w14:textFill>
        </w:rPr>
        <w:t>项目评价因子一览表</w:t>
      </w:r>
    </w:p>
    <w:tbl>
      <w:tblPr>
        <w:tblStyle w:val="1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10"/>
        <w:gridCol w:w="4400"/>
        <w:gridCol w:w="2918"/>
      </w:tblGrid>
      <w:tr w14:paraId="0FDF08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09" w:type="pct"/>
            <w:tcBorders>
              <w:tl2br w:val="nil"/>
              <w:tr2bl w:val="nil"/>
            </w:tcBorders>
            <w:noWrap/>
            <w:vAlign w:val="center"/>
          </w:tcPr>
          <w:p w14:paraId="4799D2AC">
            <w:pPr>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环境要素</w:t>
            </w:r>
          </w:p>
        </w:tc>
        <w:tc>
          <w:tcPr>
            <w:tcW w:w="2579" w:type="pct"/>
            <w:tcBorders>
              <w:tl2br w:val="nil"/>
              <w:tr2bl w:val="nil"/>
            </w:tcBorders>
            <w:noWrap/>
            <w:vAlign w:val="center"/>
          </w:tcPr>
          <w:p w14:paraId="15FC01A3">
            <w:pPr>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环境质量现状评价因子</w:t>
            </w:r>
          </w:p>
        </w:tc>
        <w:tc>
          <w:tcPr>
            <w:tcW w:w="1710" w:type="pct"/>
            <w:tcBorders>
              <w:tl2br w:val="nil"/>
              <w:tr2bl w:val="nil"/>
            </w:tcBorders>
            <w:noWrap/>
            <w:vAlign w:val="center"/>
          </w:tcPr>
          <w:p w14:paraId="1C666FB8">
            <w:pPr>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环境影响预测评价因子</w:t>
            </w:r>
          </w:p>
        </w:tc>
      </w:tr>
      <w:tr w14:paraId="694225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09" w:type="pct"/>
            <w:tcBorders>
              <w:tl2br w:val="nil"/>
              <w:tr2bl w:val="nil"/>
            </w:tcBorders>
            <w:noWrap/>
            <w:vAlign w:val="center"/>
          </w:tcPr>
          <w:p w14:paraId="7597204A">
            <w:pPr>
              <w:spacing w:line="240" w:lineRule="auto"/>
              <w:ind w:firstLine="0" w:firstLineChars="0"/>
              <w:jc w:val="center"/>
              <w:rPr>
                <w:rFonts w:hint="default" w:ascii="Times New Roman" w:hAnsi="Times New Roman" w:eastAsia="宋体" w:cs="Times New Roman"/>
                <w:b w:val="0"/>
                <w:bCs/>
                <w:color w:val="000000" w:themeColor="text1"/>
                <w:spacing w:val="-1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10"/>
                <w:sz w:val="21"/>
                <w:szCs w:val="21"/>
                <w:highlight w:val="none"/>
                <w14:textFill>
                  <w14:solidFill>
                    <w14:schemeClr w14:val="tx1"/>
                  </w14:solidFill>
                </w14:textFill>
              </w:rPr>
              <w:t>地表水环境</w:t>
            </w:r>
          </w:p>
        </w:tc>
        <w:tc>
          <w:tcPr>
            <w:tcW w:w="2579" w:type="pct"/>
            <w:tcBorders>
              <w:tl2br w:val="nil"/>
              <w:tr2bl w:val="nil"/>
            </w:tcBorders>
            <w:noWrap/>
            <w:vAlign w:val="center"/>
          </w:tcPr>
          <w:p w14:paraId="6B840019">
            <w:pPr>
              <w:spacing w:line="240" w:lineRule="atLeast"/>
              <w:ind w:firstLine="0" w:firstLineChars="0"/>
              <w:rPr>
                <w:rFonts w:hint="eastAsia"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eastAsia" w:cs="Times New Roman"/>
                <w:b w:val="0"/>
                <w:bCs/>
                <w:color w:val="000000" w:themeColor="text1"/>
                <w:sz w:val="21"/>
                <w:szCs w:val="21"/>
                <w:highlight w:val="none"/>
                <w:lang w:val="en-US" w:eastAsia="zh-CN"/>
                <w14:textFill>
                  <w14:solidFill>
                    <w14:schemeClr w14:val="tx1"/>
                  </w14:solidFill>
                </w14:textFill>
              </w:rPr>
              <w:t>p</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H</w:t>
            </w:r>
            <w:r>
              <w:rPr>
                <w:rFonts w:hint="eastAsia"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COD</w:t>
            </w:r>
            <w:r>
              <w:rPr>
                <w:rFonts w:hint="eastAsia"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氨氮</w:t>
            </w:r>
            <w:r>
              <w:rPr>
                <w:rFonts w:hint="eastAsia"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高锰酸盐指数</w:t>
            </w:r>
            <w:r>
              <w:rPr>
                <w:rFonts w:hint="eastAsia"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总磷</w:t>
            </w:r>
            <w:r>
              <w:rPr>
                <w:rFonts w:hint="eastAsia"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总氮</w:t>
            </w:r>
          </w:p>
        </w:tc>
        <w:tc>
          <w:tcPr>
            <w:tcW w:w="1710" w:type="pct"/>
            <w:tcBorders>
              <w:tl2br w:val="nil"/>
              <w:tr2bl w:val="nil"/>
            </w:tcBorders>
            <w:noWrap/>
            <w:vAlign w:val="center"/>
          </w:tcPr>
          <w:p w14:paraId="38E4589F">
            <w:pPr>
              <w:spacing w:line="240" w:lineRule="auto"/>
              <w:ind w:firstLine="0" w:firstLineChars="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COD、NH</w:t>
            </w:r>
            <w:r>
              <w:rPr>
                <w:rFonts w:hint="default" w:ascii="Times New Roman" w:hAnsi="Times New Roman" w:eastAsia="宋体" w:cs="Times New Roman"/>
                <w:b w:val="0"/>
                <w:bCs/>
                <w:color w:val="000000" w:themeColor="text1"/>
                <w:sz w:val="21"/>
                <w:szCs w:val="21"/>
                <w:highlight w:val="none"/>
                <w:vertAlign w:val="subscript"/>
                <w14:textFill>
                  <w14:solidFill>
                    <w14:schemeClr w14:val="tx1"/>
                  </w14:solidFill>
                </w14:textFill>
              </w:rPr>
              <w:t>3</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-N</w:t>
            </w:r>
            <w:r>
              <w:rPr>
                <w:rFonts w:hint="eastAsia" w:cs="Times New Roman"/>
                <w:b w:val="0"/>
                <w:bCs/>
                <w:color w:val="000000" w:themeColor="text1"/>
                <w:sz w:val="21"/>
                <w:szCs w:val="21"/>
                <w:highlight w:val="none"/>
                <w:lang w:eastAsia="zh-CN"/>
                <w14:textFill>
                  <w14:solidFill>
                    <w14:schemeClr w14:val="tx1"/>
                  </w14:solidFill>
                </w14:textFill>
              </w:rPr>
              <w:t>、</w:t>
            </w:r>
            <w:r>
              <w:rPr>
                <w:rFonts w:hint="eastAsia" w:cs="Times New Roman"/>
                <w:b w:val="0"/>
                <w:bCs/>
                <w:color w:val="000000" w:themeColor="text1"/>
                <w:sz w:val="21"/>
                <w:szCs w:val="21"/>
                <w:highlight w:val="none"/>
                <w:lang w:val="en-US" w:eastAsia="zh-CN"/>
                <w14:textFill>
                  <w14:solidFill>
                    <w14:schemeClr w14:val="tx1"/>
                  </w14:solidFill>
                </w14:textFill>
              </w:rPr>
              <w:t>TP</w:t>
            </w:r>
          </w:p>
        </w:tc>
      </w:tr>
    </w:tbl>
    <w:p w14:paraId="1449801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p>
    <w:p w14:paraId="51F7CC5D">
      <w:pPr>
        <w:pStyle w:val="3"/>
        <w:bidi w:val="0"/>
        <w:rPr>
          <w:rFonts w:hint="eastAsia"/>
          <w:color w:val="000000" w:themeColor="text1"/>
          <w:highlight w:val="none"/>
          <w:lang w:val="en-US" w:eastAsia="zh-CN"/>
          <w14:textFill>
            <w14:solidFill>
              <w14:schemeClr w14:val="tx1"/>
            </w14:solidFill>
          </w14:textFill>
        </w:rPr>
      </w:pPr>
      <w:bookmarkStart w:id="75" w:name="_Toc19927"/>
      <w:r>
        <w:rPr>
          <w:rFonts w:hint="eastAsia"/>
          <w:color w:val="000000" w:themeColor="text1"/>
          <w:highlight w:val="none"/>
          <w:lang w:val="en-US" w:eastAsia="zh-CN"/>
          <w14:textFill>
            <w14:solidFill>
              <w14:schemeClr w14:val="tx1"/>
            </w14:solidFill>
          </w14:textFill>
        </w:rPr>
        <w:t>2.2地表水环境功能区划及执行标准</w:t>
      </w:r>
      <w:bookmarkEnd w:id="75"/>
    </w:p>
    <w:p w14:paraId="44A5C5A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排污口位于巴彦淖尔市磴口县二排干，地理坐标为E107°2′49.06″，N40°24′45.17″。根据《内蒙古自治区水功能区划》（2010年），排污口直接关联的二排干未划定水功能区，</w:t>
      </w:r>
      <w:r>
        <w:rPr>
          <w:rFonts w:hint="eastAsia" w:cs="Times New Roman"/>
          <w:color w:val="000000" w:themeColor="text1"/>
          <w:highlight w:val="none"/>
          <w:lang w:val="en-US" w:eastAsia="zh-CN"/>
          <w14:textFill>
            <w14:solidFill>
              <w14:schemeClr w14:val="tx1"/>
            </w14:solidFill>
          </w14:textFill>
        </w:rPr>
        <w:t>执行</w:t>
      </w:r>
      <w:r>
        <w:rPr>
          <w:rFonts w:hint="default" w:ascii="Times New Roman" w:hAnsi="Times New Roman" w:cs="Times New Roman"/>
          <w:color w:val="000000" w:themeColor="text1"/>
          <w:highlight w:val="none"/>
          <w:lang w:val="en-US" w:eastAsia="zh-CN"/>
          <w14:textFill>
            <w14:solidFill>
              <w14:schemeClr w14:val="tx1"/>
            </w14:solidFill>
          </w14:textFill>
        </w:rPr>
        <w:t>《地表水环境质量标准》（GB3838-2002）V类水质</w:t>
      </w:r>
      <w:r>
        <w:rPr>
          <w:rFonts w:hint="eastAsia" w:cs="Times New Roman"/>
          <w:color w:val="000000" w:themeColor="text1"/>
          <w:highlight w:val="none"/>
          <w:lang w:val="en-US" w:eastAsia="zh-CN"/>
          <w14:textFill>
            <w14:solidFill>
              <w14:schemeClr w14:val="tx1"/>
            </w14:solidFill>
          </w14:textFill>
        </w:rPr>
        <w:t>限值</w:t>
      </w:r>
      <w:r>
        <w:rPr>
          <w:rFonts w:hint="default" w:ascii="Times New Roman" w:hAnsi="Times New Roman" w:cs="Times New Roman"/>
          <w:color w:val="000000" w:themeColor="text1"/>
          <w:highlight w:val="none"/>
          <w:lang w:val="en-US" w:eastAsia="zh-CN"/>
          <w14:textFill>
            <w14:solidFill>
              <w14:schemeClr w14:val="tx1"/>
            </w14:solidFill>
          </w14:textFill>
        </w:rPr>
        <w:t>要求。</w:t>
      </w:r>
    </w:p>
    <w:p w14:paraId="4BF0E942">
      <w:pPr>
        <w:pStyle w:val="3"/>
        <w:bidi w:val="0"/>
        <w:rPr>
          <w:rFonts w:hint="eastAsia"/>
          <w:color w:val="000000" w:themeColor="text1"/>
          <w:highlight w:val="none"/>
          <w:lang w:val="en-US" w:eastAsia="zh-CN"/>
          <w14:textFill>
            <w14:solidFill>
              <w14:schemeClr w14:val="tx1"/>
            </w14:solidFill>
          </w14:textFill>
        </w:rPr>
      </w:pPr>
      <w:bookmarkStart w:id="76" w:name="_Toc22185"/>
      <w:r>
        <w:rPr>
          <w:rFonts w:hint="eastAsia"/>
          <w:color w:val="000000" w:themeColor="text1"/>
          <w:highlight w:val="none"/>
          <w:lang w:val="en-US" w:eastAsia="zh-CN"/>
          <w14:textFill>
            <w14:solidFill>
              <w14:schemeClr w14:val="tx1"/>
            </w14:solidFill>
          </w14:textFill>
        </w:rPr>
        <w:t>2.3地表水环境质量标准</w:t>
      </w:r>
      <w:bookmarkEnd w:id="76"/>
    </w:p>
    <w:p w14:paraId="722DFC36">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本项目执行</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《地表水环境质量标准》（GB3838-2002）V</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类水质</w:t>
      </w:r>
      <w:r>
        <w:rPr>
          <w:rFonts w:hint="eastAsia" w:cs="Times New Roman"/>
          <w:bCs/>
          <w:color w:val="000000" w:themeColor="text1"/>
          <w:sz w:val="24"/>
          <w:highlight w:val="none"/>
          <w:lang w:val="en-US" w:eastAsia="zh-CN"/>
          <w14:textFill>
            <w14:solidFill>
              <w14:schemeClr w14:val="tx1"/>
            </w14:solidFill>
          </w14:textFill>
        </w:rPr>
        <w:t>限值</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要求。</w:t>
      </w:r>
    </w:p>
    <w:p w14:paraId="7E7D9E0C">
      <w:pPr>
        <w:pStyle w:val="20"/>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表2.3-1  《地表水环境质量标准》（GB3838-2002）标准限值  单位：mg/L</w:t>
      </w:r>
    </w:p>
    <w:tbl>
      <w:tblPr>
        <w:tblStyle w:val="22"/>
        <w:tblW w:w="5034"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49"/>
        <w:gridCol w:w="3253"/>
        <w:gridCol w:w="4397"/>
      </w:tblGrid>
      <w:tr w14:paraId="1DD985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65D95F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序号</w:t>
            </w:r>
          </w:p>
        </w:tc>
        <w:tc>
          <w:tcPr>
            <w:tcW w:w="1936" w:type="pct"/>
            <w:tcBorders>
              <w:tl2br w:val="nil"/>
              <w:tr2bl w:val="nil"/>
            </w:tcBorders>
            <w:noWrap w:val="0"/>
            <w:vAlign w:val="center"/>
          </w:tcPr>
          <w:p w14:paraId="1C5DEC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项目</w:t>
            </w:r>
          </w:p>
        </w:tc>
        <w:tc>
          <w:tcPr>
            <w:tcW w:w="2616" w:type="pct"/>
            <w:tcBorders>
              <w:tl2br w:val="nil"/>
              <w:tr2bl w:val="nil"/>
            </w:tcBorders>
            <w:noWrap w:val="0"/>
            <w:vAlign w:val="center"/>
          </w:tcPr>
          <w:p w14:paraId="0B8627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V</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类标准值</w:t>
            </w:r>
          </w:p>
        </w:tc>
      </w:tr>
      <w:tr w14:paraId="787E94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1283FB5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1</w:t>
            </w:r>
          </w:p>
        </w:tc>
        <w:tc>
          <w:tcPr>
            <w:tcW w:w="1936" w:type="pct"/>
            <w:tcBorders>
              <w:tl2br w:val="nil"/>
              <w:tr2bl w:val="nil"/>
            </w:tcBorders>
            <w:noWrap w:val="0"/>
            <w:vAlign w:val="center"/>
          </w:tcPr>
          <w:p w14:paraId="4107199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水温</w:t>
            </w: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w:t>
            </w:r>
          </w:p>
        </w:tc>
        <w:tc>
          <w:tcPr>
            <w:tcW w:w="2616" w:type="pct"/>
            <w:tcBorders>
              <w:tl2br w:val="nil"/>
              <w:tr2bl w:val="nil"/>
            </w:tcBorders>
            <w:noWrap w:val="0"/>
            <w:vAlign w:val="center"/>
          </w:tcPr>
          <w:p w14:paraId="74679A5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人为造成的环境水温变化应限制在：</w:t>
            </w:r>
          </w:p>
          <w:p w14:paraId="7E7F42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周平均最大温升≤1</w:t>
            </w:r>
          </w:p>
          <w:p w14:paraId="70ADDD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周平均最大温降≤2</w:t>
            </w:r>
          </w:p>
        </w:tc>
      </w:tr>
      <w:tr w14:paraId="44C661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627CC2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2</w:t>
            </w:r>
          </w:p>
        </w:tc>
        <w:tc>
          <w:tcPr>
            <w:tcW w:w="1936" w:type="pct"/>
            <w:tcBorders>
              <w:tl2br w:val="nil"/>
              <w:tr2bl w:val="nil"/>
            </w:tcBorders>
            <w:noWrap w:val="0"/>
            <w:vAlign w:val="center"/>
          </w:tcPr>
          <w:p w14:paraId="5E7B88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pH值（无量纲）</w:t>
            </w:r>
          </w:p>
        </w:tc>
        <w:tc>
          <w:tcPr>
            <w:tcW w:w="2616" w:type="pct"/>
            <w:tcBorders>
              <w:tl2br w:val="nil"/>
              <w:tr2bl w:val="nil"/>
            </w:tcBorders>
            <w:noWrap w:val="0"/>
            <w:vAlign w:val="center"/>
          </w:tcPr>
          <w:p w14:paraId="62D6115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6-9</w:t>
            </w:r>
          </w:p>
        </w:tc>
      </w:tr>
      <w:tr w14:paraId="4FEDFF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49897F5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3</w:t>
            </w:r>
          </w:p>
        </w:tc>
        <w:tc>
          <w:tcPr>
            <w:tcW w:w="1936" w:type="pct"/>
            <w:tcBorders>
              <w:tl2br w:val="nil"/>
              <w:tr2bl w:val="nil"/>
            </w:tcBorders>
            <w:noWrap w:val="0"/>
            <w:vAlign w:val="center"/>
          </w:tcPr>
          <w:p w14:paraId="5C27E0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溶解氧</w:t>
            </w:r>
          </w:p>
        </w:tc>
        <w:tc>
          <w:tcPr>
            <w:tcW w:w="2616" w:type="pct"/>
            <w:tcBorders>
              <w:tl2br w:val="nil"/>
              <w:tr2bl w:val="nil"/>
            </w:tcBorders>
            <w:noWrap w:val="0"/>
            <w:vAlign w:val="center"/>
          </w:tcPr>
          <w:p w14:paraId="7F33942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2</w:t>
            </w:r>
          </w:p>
        </w:tc>
      </w:tr>
      <w:tr w14:paraId="4425E3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6F7711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4</w:t>
            </w:r>
          </w:p>
        </w:tc>
        <w:tc>
          <w:tcPr>
            <w:tcW w:w="1936" w:type="pct"/>
            <w:tcBorders>
              <w:tl2br w:val="nil"/>
              <w:tr2bl w:val="nil"/>
            </w:tcBorders>
            <w:noWrap w:val="0"/>
            <w:vAlign w:val="center"/>
          </w:tcPr>
          <w:p w14:paraId="70845B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高锰酸盐指数</w:t>
            </w:r>
          </w:p>
        </w:tc>
        <w:tc>
          <w:tcPr>
            <w:tcW w:w="2616" w:type="pct"/>
            <w:tcBorders>
              <w:tl2br w:val="nil"/>
              <w:tr2bl w:val="nil"/>
            </w:tcBorders>
            <w:noWrap w:val="0"/>
            <w:vAlign w:val="center"/>
          </w:tcPr>
          <w:p w14:paraId="3595C02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15</w:t>
            </w:r>
          </w:p>
        </w:tc>
      </w:tr>
      <w:tr w14:paraId="0A3C3C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6AC741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5</w:t>
            </w:r>
          </w:p>
        </w:tc>
        <w:tc>
          <w:tcPr>
            <w:tcW w:w="1936" w:type="pct"/>
            <w:tcBorders>
              <w:tl2br w:val="nil"/>
              <w:tr2bl w:val="nil"/>
            </w:tcBorders>
            <w:noWrap w:val="0"/>
            <w:vAlign w:val="center"/>
          </w:tcPr>
          <w:p w14:paraId="040AA5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化学需</w:t>
            </w: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氧</w:t>
            </w: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量</w:t>
            </w: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COD</w:t>
            </w: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w:t>
            </w:r>
          </w:p>
        </w:tc>
        <w:tc>
          <w:tcPr>
            <w:tcW w:w="2616" w:type="pct"/>
            <w:tcBorders>
              <w:tl2br w:val="nil"/>
              <w:tr2bl w:val="nil"/>
            </w:tcBorders>
            <w:noWrap w:val="0"/>
            <w:vAlign w:val="center"/>
          </w:tcPr>
          <w:p w14:paraId="46292A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40</w:t>
            </w:r>
          </w:p>
        </w:tc>
      </w:tr>
      <w:tr w14:paraId="67383B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2F03BE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6</w:t>
            </w:r>
          </w:p>
        </w:tc>
        <w:tc>
          <w:tcPr>
            <w:tcW w:w="1936" w:type="pct"/>
            <w:tcBorders>
              <w:tl2br w:val="nil"/>
              <w:tr2bl w:val="nil"/>
            </w:tcBorders>
            <w:noWrap w:val="0"/>
            <w:vAlign w:val="center"/>
          </w:tcPr>
          <w:p w14:paraId="0A55A9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五日生化需氧量</w:t>
            </w: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BOD</w:t>
            </w:r>
            <w:r>
              <w:rPr>
                <w:rFonts w:hint="default" w:ascii="Times New Roman" w:hAnsi="Times New Roman" w:eastAsia="宋体" w:cs="Times New Roman"/>
                <w:color w:val="000000" w:themeColor="text1"/>
                <w:spacing w:val="0"/>
                <w:sz w:val="21"/>
                <w:szCs w:val="21"/>
                <w:highlight w:val="none"/>
                <w:vertAlign w:val="subscript"/>
                <w14:textFill>
                  <w14:solidFill>
                    <w14:schemeClr w14:val="tx1"/>
                  </w14:solidFill>
                </w14:textFill>
              </w:rPr>
              <w:t>5</w:t>
            </w: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w:t>
            </w:r>
          </w:p>
        </w:tc>
        <w:tc>
          <w:tcPr>
            <w:tcW w:w="2616" w:type="pct"/>
            <w:tcBorders>
              <w:tl2br w:val="nil"/>
              <w:tr2bl w:val="nil"/>
            </w:tcBorders>
            <w:noWrap w:val="0"/>
            <w:vAlign w:val="center"/>
          </w:tcPr>
          <w:p w14:paraId="567F74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10</w:t>
            </w:r>
          </w:p>
        </w:tc>
      </w:tr>
      <w:tr w14:paraId="6724F8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1E089F7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7</w:t>
            </w:r>
          </w:p>
        </w:tc>
        <w:tc>
          <w:tcPr>
            <w:tcW w:w="1936" w:type="pct"/>
            <w:tcBorders>
              <w:tl2br w:val="nil"/>
              <w:tr2bl w:val="nil"/>
            </w:tcBorders>
            <w:noWrap w:val="0"/>
            <w:vAlign w:val="center"/>
          </w:tcPr>
          <w:p w14:paraId="2D1040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NH</w:t>
            </w:r>
            <w:r>
              <w:rPr>
                <w:rFonts w:hint="default" w:ascii="Times New Roman" w:hAnsi="Times New Roman" w:eastAsia="宋体" w:cs="Times New Roman"/>
                <w:color w:val="000000" w:themeColor="text1"/>
                <w:spacing w:val="0"/>
                <w:sz w:val="21"/>
                <w:szCs w:val="21"/>
                <w:highlight w:val="none"/>
                <w:vertAlign w:val="subscript"/>
                <w14:textFill>
                  <w14:solidFill>
                    <w14:schemeClr w14:val="tx1"/>
                  </w14:solidFill>
                </w14:textFill>
              </w:rPr>
              <w:t>3</w:t>
            </w: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-N</w:t>
            </w:r>
          </w:p>
        </w:tc>
        <w:tc>
          <w:tcPr>
            <w:tcW w:w="2616" w:type="pct"/>
            <w:tcBorders>
              <w:tl2br w:val="nil"/>
              <w:tr2bl w:val="nil"/>
            </w:tcBorders>
            <w:noWrap w:val="0"/>
            <w:vAlign w:val="center"/>
          </w:tcPr>
          <w:p w14:paraId="34C592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2</w:t>
            </w:r>
          </w:p>
        </w:tc>
      </w:tr>
      <w:tr w14:paraId="009673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69F46F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8</w:t>
            </w:r>
          </w:p>
        </w:tc>
        <w:tc>
          <w:tcPr>
            <w:tcW w:w="1936" w:type="pct"/>
            <w:tcBorders>
              <w:tl2br w:val="nil"/>
              <w:tr2bl w:val="nil"/>
            </w:tcBorders>
            <w:noWrap w:val="0"/>
            <w:vAlign w:val="center"/>
          </w:tcPr>
          <w:p w14:paraId="417AD22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总磷（以P计）</w:t>
            </w:r>
          </w:p>
        </w:tc>
        <w:tc>
          <w:tcPr>
            <w:tcW w:w="2616" w:type="pct"/>
            <w:tcBorders>
              <w:tl2br w:val="nil"/>
              <w:tr2bl w:val="nil"/>
            </w:tcBorders>
            <w:noWrap w:val="0"/>
            <w:vAlign w:val="center"/>
          </w:tcPr>
          <w:p w14:paraId="4BCECB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0.4</w:t>
            </w:r>
          </w:p>
        </w:tc>
      </w:tr>
      <w:tr w14:paraId="611D3E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5F0D85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9</w:t>
            </w:r>
          </w:p>
        </w:tc>
        <w:tc>
          <w:tcPr>
            <w:tcW w:w="1936" w:type="pct"/>
            <w:tcBorders>
              <w:tl2br w:val="nil"/>
              <w:tr2bl w:val="nil"/>
            </w:tcBorders>
            <w:noWrap w:val="0"/>
            <w:vAlign w:val="center"/>
          </w:tcPr>
          <w:p w14:paraId="5964C3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总氮</w:t>
            </w:r>
          </w:p>
        </w:tc>
        <w:tc>
          <w:tcPr>
            <w:tcW w:w="2616" w:type="pct"/>
            <w:tcBorders>
              <w:tl2br w:val="nil"/>
              <w:tr2bl w:val="nil"/>
            </w:tcBorders>
            <w:noWrap w:val="0"/>
            <w:vAlign w:val="center"/>
          </w:tcPr>
          <w:p w14:paraId="45D642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2.0</w:t>
            </w:r>
          </w:p>
        </w:tc>
      </w:tr>
      <w:tr w14:paraId="4862A2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 w:hRule="atLeast"/>
        </w:trPr>
        <w:tc>
          <w:tcPr>
            <w:tcW w:w="446" w:type="pct"/>
            <w:tcBorders>
              <w:tl2br w:val="nil"/>
              <w:tr2bl w:val="nil"/>
            </w:tcBorders>
            <w:noWrap w:val="0"/>
            <w:vAlign w:val="center"/>
          </w:tcPr>
          <w:p w14:paraId="0646FE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10</w:t>
            </w:r>
          </w:p>
        </w:tc>
        <w:tc>
          <w:tcPr>
            <w:tcW w:w="1936" w:type="pct"/>
            <w:tcBorders>
              <w:tl2br w:val="nil"/>
              <w:tr2bl w:val="nil"/>
            </w:tcBorders>
            <w:noWrap w:val="0"/>
            <w:vAlign w:val="center"/>
          </w:tcPr>
          <w:p w14:paraId="22BDEB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铜</w:t>
            </w:r>
          </w:p>
        </w:tc>
        <w:tc>
          <w:tcPr>
            <w:tcW w:w="2616" w:type="pct"/>
            <w:tcBorders>
              <w:tl2br w:val="nil"/>
              <w:tr2bl w:val="nil"/>
            </w:tcBorders>
            <w:noWrap w:val="0"/>
            <w:vAlign w:val="center"/>
          </w:tcPr>
          <w:p w14:paraId="696F44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1</w:t>
            </w:r>
          </w:p>
        </w:tc>
      </w:tr>
      <w:tr w14:paraId="49921C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4BF225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11</w:t>
            </w:r>
          </w:p>
        </w:tc>
        <w:tc>
          <w:tcPr>
            <w:tcW w:w="1936" w:type="pct"/>
            <w:tcBorders>
              <w:tl2br w:val="nil"/>
              <w:tr2bl w:val="nil"/>
            </w:tcBorders>
            <w:noWrap w:val="0"/>
            <w:vAlign w:val="center"/>
          </w:tcPr>
          <w:p w14:paraId="5CD75E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锌</w:t>
            </w:r>
          </w:p>
        </w:tc>
        <w:tc>
          <w:tcPr>
            <w:tcW w:w="2616" w:type="pct"/>
            <w:tcBorders>
              <w:tl2br w:val="nil"/>
              <w:tr2bl w:val="nil"/>
            </w:tcBorders>
            <w:noWrap w:val="0"/>
            <w:vAlign w:val="center"/>
          </w:tcPr>
          <w:p w14:paraId="54AC8F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2</w:t>
            </w:r>
          </w:p>
        </w:tc>
      </w:tr>
      <w:tr w14:paraId="5307A1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03D2071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12</w:t>
            </w:r>
          </w:p>
        </w:tc>
        <w:tc>
          <w:tcPr>
            <w:tcW w:w="1936" w:type="pct"/>
            <w:tcBorders>
              <w:tl2br w:val="nil"/>
              <w:tr2bl w:val="nil"/>
            </w:tcBorders>
            <w:noWrap w:val="0"/>
            <w:vAlign w:val="center"/>
          </w:tcPr>
          <w:p w14:paraId="5EC328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氟化物</w:t>
            </w: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以F</w:t>
            </w:r>
            <w:r>
              <w:rPr>
                <w:rFonts w:hint="default" w:ascii="Times New Roman" w:hAnsi="Times New Roman" w:eastAsia="宋体" w:cs="Times New Roman"/>
                <w:color w:val="000000" w:themeColor="text1"/>
                <w:spacing w:val="0"/>
                <w:sz w:val="21"/>
                <w:szCs w:val="21"/>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计</w:t>
            </w: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w:t>
            </w:r>
          </w:p>
        </w:tc>
        <w:tc>
          <w:tcPr>
            <w:tcW w:w="2616" w:type="pct"/>
            <w:tcBorders>
              <w:tl2br w:val="nil"/>
              <w:tr2bl w:val="nil"/>
            </w:tcBorders>
            <w:noWrap w:val="0"/>
            <w:vAlign w:val="center"/>
          </w:tcPr>
          <w:p w14:paraId="4A1E207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1</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.5</w:t>
            </w:r>
          </w:p>
        </w:tc>
      </w:tr>
      <w:tr w14:paraId="498DAD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346038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13</w:t>
            </w:r>
          </w:p>
        </w:tc>
        <w:tc>
          <w:tcPr>
            <w:tcW w:w="1936" w:type="pct"/>
            <w:tcBorders>
              <w:tl2br w:val="nil"/>
              <w:tr2bl w:val="nil"/>
            </w:tcBorders>
            <w:noWrap w:val="0"/>
            <w:vAlign w:val="center"/>
          </w:tcPr>
          <w:p w14:paraId="6E7B74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硒</w:t>
            </w:r>
          </w:p>
        </w:tc>
        <w:tc>
          <w:tcPr>
            <w:tcW w:w="2616" w:type="pct"/>
            <w:tcBorders>
              <w:tl2br w:val="nil"/>
              <w:tr2bl w:val="nil"/>
            </w:tcBorders>
            <w:noWrap w:val="0"/>
            <w:vAlign w:val="center"/>
          </w:tcPr>
          <w:p w14:paraId="078FA2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0.0</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2</w:t>
            </w:r>
          </w:p>
        </w:tc>
      </w:tr>
      <w:tr w14:paraId="3341B5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43F83D0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14</w:t>
            </w:r>
          </w:p>
        </w:tc>
        <w:tc>
          <w:tcPr>
            <w:tcW w:w="1936" w:type="pct"/>
            <w:tcBorders>
              <w:tl2br w:val="nil"/>
              <w:tr2bl w:val="nil"/>
            </w:tcBorders>
            <w:noWrap w:val="0"/>
            <w:vAlign w:val="center"/>
          </w:tcPr>
          <w:p w14:paraId="20DE18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砷</w:t>
            </w:r>
          </w:p>
        </w:tc>
        <w:tc>
          <w:tcPr>
            <w:tcW w:w="2616" w:type="pct"/>
            <w:tcBorders>
              <w:tl2br w:val="nil"/>
              <w:tr2bl w:val="nil"/>
            </w:tcBorders>
            <w:noWrap w:val="0"/>
            <w:vAlign w:val="center"/>
          </w:tcPr>
          <w:p w14:paraId="728499E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0.</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1</w:t>
            </w:r>
          </w:p>
        </w:tc>
      </w:tr>
      <w:tr w14:paraId="120F5A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1A3AF6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15</w:t>
            </w:r>
          </w:p>
        </w:tc>
        <w:tc>
          <w:tcPr>
            <w:tcW w:w="1936" w:type="pct"/>
            <w:tcBorders>
              <w:tl2br w:val="nil"/>
              <w:tr2bl w:val="nil"/>
            </w:tcBorders>
            <w:noWrap w:val="0"/>
            <w:vAlign w:val="center"/>
          </w:tcPr>
          <w:p w14:paraId="0B80FC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汞</w:t>
            </w:r>
          </w:p>
        </w:tc>
        <w:tc>
          <w:tcPr>
            <w:tcW w:w="2616" w:type="pct"/>
            <w:tcBorders>
              <w:tl2br w:val="nil"/>
              <w:tr2bl w:val="nil"/>
            </w:tcBorders>
            <w:noWrap w:val="0"/>
            <w:vAlign w:val="center"/>
          </w:tcPr>
          <w:p w14:paraId="6BF54F7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0.00</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1</w:t>
            </w:r>
          </w:p>
        </w:tc>
      </w:tr>
      <w:tr w14:paraId="516123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5EAF9A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16</w:t>
            </w:r>
          </w:p>
        </w:tc>
        <w:tc>
          <w:tcPr>
            <w:tcW w:w="1936" w:type="pct"/>
            <w:tcBorders>
              <w:tl2br w:val="nil"/>
              <w:tr2bl w:val="nil"/>
            </w:tcBorders>
            <w:noWrap w:val="0"/>
            <w:vAlign w:val="center"/>
          </w:tcPr>
          <w:p w14:paraId="14D9B0A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镉</w:t>
            </w:r>
          </w:p>
        </w:tc>
        <w:tc>
          <w:tcPr>
            <w:tcW w:w="2616" w:type="pct"/>
            <w:tcBorders>
              <w:tl2br w:val="nil"/>
              <w:tr2bl w:val="nil"/>
            </w:tcBorders>
            <w:noWrap w:val="0"/>
            <w:vAlign w:val="center"/>
          </w:tcPr>
          <w:p w14:paraId="391D60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0.0</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1</w:t>
            </w:r>
          </w:p>
        </w:tc>
      </w:tr>
      <w:tr w14:paraId="76ADF5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30213B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17</w:t>
            </w:r>
          </w:p>
        </w:tc>
        <w:tc>
          <w:tcPr>
            <w:tcW w:w="1936" w:type="pct"/>
            <w:tcBorders>
              <w:tl2br w:val="nil"/>
              <w:tr2bl w:val="nil"/>
            </w:tcBorders>
            <w:noWrap w:val="0"/>
            <w:vAlign w:val="center"/>
          </w:tcPr>
          <w:p w14:paraId="5332B1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铬</w:t>
            </w: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六价</w:t>
            </w: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w:t>
            </w:r>
          </w:p>
        </w:tc>
        <w:tc>
          <w:tcPr>
            <w:tcW w:w="2616" w:type="pct"/>
            <w:tcBorders>
              <w:tl2br w:val="nil"/>
              <w:tr2bl w:val="nil"/>
            </w:tcBorders>
            <w:noWrap w:val="0"/>
            <w:vAlign w:val="center"/>
          </w:tcPr>
          <w:p w14:paraId="5EE8F8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0.</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1</w:t>
            </w:r>
          </w:p>
        </w:tc>
      </w:tr>
      <w:tr w14:paraId="20EAF3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3EC859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18</w:t>
            </w:r>
          </w:p>
        </w:tc>
        <w:tc>
          <w:tcPr>
            <w:tcW w:w="1936" w:type="pct"/>
            <w:tcBorders>
              <w:tl2br w:val="nil"/>
              <w:tr2bl w:val="nil"/>
            </w:tcBorders>
            <w:noWrap w:val="0"/>
            <w:vAlign w:val="center"/>
          </w:tcPr>
          <w:p w14:paraId="50BDC6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铅</w:t>
            </w:r>
          </w:p>
        </w:tc>
        <w:tc>
          <w:tcPr>
            <w:tcW w:w="2616" w:type="pct"/>
            <w:tcBorders>
              <w:tl2br w:val="nil"/>
              <w:tr2bl w:val="nil"/>
            </w:tcBorders>
            <w:noWrap w:val="0"/>
            <w:vAlign w:val="center"/>
          </w:tcPr>
          <w:p w14:paraId="1F7781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0.1</w:t>
            </w:r>
          </w:p>
        </w:tc>
      </w:tr>
      <w:tr w14:paraId="5623AE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18ACC6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19</w:t>
            </w:r>
          </w:p>
        </w:tc>
        <w:tc>
          <w:tcPr>
            <w:tcW w:w="1936" w:type="pct"/>
            <w:tcBorders>
              <w:tl2br w:val="nil"/>
              <w:tr2bl w:val="nil"/>
            </w:tcBorders>
            <w:noWrap w:val="0"/>
            <w:vAlign w:val="center"/>
          </w:tcPr>
          <w:p w14:paraId="3BF041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氰化物</w:t>
            </w:r>
          </w:p>
        </w:tc>
        <w:tc>
          <w:tcPr>
            <w:tcW w:w="2616" w:type="pct"/>
            <w:tcBorders>
              <w:tl2br w:val="nil"/>
              <w:tr2bl w:val="nil"/>
            </w:tcBorders>
            <w:noWrap w:val="0"/>
            <w:vAlign w:val="center"/>
          </w:tcPr>
          <w:p w14:paraId="361491A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0.</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2</w:t>
            </w:r>
          </w:p>
        </w:tc>
      </w:tr>
      <w:tr w14:paraId="5F735D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0C8F45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20</w:t>
            </w:r>
          </w:p>
        </w:tc>
        <w:tc>
          <w:tcPr>
            <w:tcW w:w="1936" w:type="pct"/>
            <w:tcBorders>
              <w:tl2br w:val="nil"/>
              <w:tr2bl w:val="nil"/>
            </w:tcBorders>
            <w:noWrap w:val="0"/>
            <w:vAlign w:val="center"/>
          </w:tcPr>
          <w:p w14:paraId="4DBC01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挥发酚</w:t>
            </w:r>
          </w:p>
        </w:tc>
        <w:tc>
          <w:tcPr>
            <w:tcW w:w="2616" w:type="pct"/>
            <w:tcBorders>
              <w:tl2br w:val="nil"/>
              <w:tr2bl w:val="nil"/>
            </w:tcBorders>
            <w:noWrap w:val="0"/>
            <w:vAlign w:val="center"/>
          </w:tcPr>
          <w:p w14:paraId="7DAD78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0.</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1</w:t>
            </w:r>
          </w:p>
        </w:tc>
      </w:tr>
      <w:tr w14:paraId="35F58D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064AC6A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21</w:t>
            </w:r>
          </w:p>
        </w:tc>
        <w:tc>
          <w:tcPr>
            <w:tcW w:w="1936" w:type="pct"/>
            <w:tcBorders>
              <w:tl2br w:val="nil"/>
              <w:tr2bl w:val="nil"/>
            </w:tcBorders>
            <w:noWrap w:val="0"/>
            <w:vAlign w:val="center"/>
          </w:tcPr>
          <w:p w14:paraId="72BD7FA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石油类</w:t>
            </w:r>
          </w:p>
        </w:tc>
        <w:tc>
          <w:tcPr>
            <w:tcW w:w="2616" w:type="pct"/>
            <w:tcBorders>
              <w:tl2br w:val="nil"/>
              <w:tr2bl w:val="nil"/>
            </w:tcBorders>
            <w:noWrap w:val="0"/>
            <w:vAlign w:val="center"/>
          </w:tcPr>
          <w:p w14:paraId="26BBD1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1.0</w:t>
            </w:r>
          </w:p>
        </w:tc>
      </w:tr>
      <w:tr w14:paraId="6F090D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26538B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22</w:t>
            </w:r>
          </w:p>
        </w:tc>
        <w:tc>
          <w:tcPr>
            <w:tcW w:w="1936" w:type="pct"/>
            <w:tcBorders>
              <w:tl2br w:val="nil"/>
              <w:tr2bl w:val="nil"/>
            </w:tcBorders>
            <w:noWrap w:val="0"/>
            <w:vAlign w:val="center"/>
          </w:tcPr>
          <w:p w14:paraId="04374C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阴离子表面活性剂</w:t>
            </w:r>
          </w:p>
        </w:tc>
        <w:tc>
          <w:tcPr>
            <w:tcW w:w="2616" w:type="pct"/>
            <w:tcBorders>
              <w:tl2br w:val="nil"/>
              <w:tr2bl w:val="nil"/>
            </w:tcBorders>
            <w:noWrap w:val="0"/>
            <w:vAlign w:val="center"/>
          </w:tcPr>
          <w:p w14:paraId="79D93B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0.</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3</w:t>
            </w:r>
          </w:p>
        </w:tc>
      </w:tr>
      <w:tr w14:paraId="069B72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514B14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23</w:t>
            </w:r>
          </w:p>
        </w:tc>
        <w:tc>
          <w:tcPr>
            <w:tcW w:w="1936" w:type="pct"/>
            <w:tcBorders>
              <w:tl2br w:val="nil"/>
              <w:tr2bl w:val="nil"/>
            </w:tcBorders>
            <w:noWrap w:val="0"/>
            <w:vAlign w:val="center"/>
          </w:tcPr>
          <w:p w14:paraId="1E5B333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硫化物</w:t>
            </w:r>
          </w:p>
        </w:tc>
        <w:tc>
          <w:tcPr>
            <w:tcW w:w="2616" w:type="pct"/>
            <w:tcBorders>
              <w:tl2br w:val="nil"/>
              <w:tr2bl w:val="nil"/>
            </w:tcBorders>
            <w:noWrap w:val="0"/>
            <w:vAlign w:val="center"/>
          </w:tcPr>
          <w:p w14:paraId="5CFA720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1.0</w:t>
            </w:r>
          </w:p>
        </w:tc>
      </w:tr>
      <w:tr w14:paraId="3BF448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46" w:type="pct"/>
            <w:tcBorders>
              <w:tl2br w:val="nil"/>
              <w:tr2bl w:val="nil"/>
            </w:tcBorders>
            <w:noWrap w:val="0"/>
            <w:vAlign w:val="center"/>
          </w:tcPr>
          <w:p w14:paraId="36D27C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24</w:t>
            </w:r>
          </w:p>
        </w:tc>
        <w:tc>
          <w:tcPr>
            <w:tcW w:w="1936" w:type="pct"/>
            <w:tcBorders>
              <w:tl2br w:val="nil"/>
              <w:tr2bl w:val="nil"/>
            </w:tcBorders>
            <w:noWrap w:val="0"/>
            <w:vAlign w:val="center"/>
          </w:tcPr>
          <w:p w14:paraId="1D6E6CA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粪大肠菌群</w:t>
            </w: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个/L</w:t>
            </w:r>
            <w:r>
              <w:rPr>
                <w:rFonts w:hint="default" w:ascii="Times New Roman" w:hAnsi="Times New Roman" w:eastAsia="宋体" w:cs="Times New Roman"/>
                <w:color w:val="000000" w:themeColor="text1"/>
                <w:spacing w:val="0"/>
                <w:sz w:val="21"/>
                <w:szCs w:val="21"/>
                <w:highlight w:val="none"/>
                <w:lang w:eastAsia="zh-CN"/>
                <w14:textFill>
                  <w14:solidFill>
                    <w14:schemeClr w14:val="tx1"/>
                  </w14:solidFill>
                </w14:textFill>
              </w:rPr>
              <w:t>）</w:t>
            </w:r>
          </w:p>
        </w:tc>
        <w:tc>
          <w:tcPr>
            <w:tcW w:w="2616" w:type="pct"/>
            <w:tcBorders>
              <w:tl2br w:val="nil"/>
              <w:tr2bl w:val="nil"/>
            </w:tcBorders>
            <w:noWrap w:val="0"/>
            <w:vAlign w:val="center"/>
          </w:tcPr>
          <w:p w14:paraId="1B5848A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000</w:t>
            </w:r>
            <w:r>
              <w:rPr>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0</w:t>
            </w:r>
          </w:p>
        </w:tc>
      </w:tr>
    </w:tbl>
    <w:p w14:paraId="7718543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p>
    <w:p w14:paraId="7D03701F">
      <w:pPr>
        <w:pStyle w:val="3"/>
        <w:bidi w:val="0"/>
        <w:rPr>
          <w:rFonts w:hint="default"/>
          <w:color w:val="000000" w:themeColor="text1"/>
          <w:highlight w:val="none"/>
          <w:lang w:val="en-US" w:eastAsia="zh-CN"/>
          <w14:textFill>
            <w14:solidFill>
              <w14:schemeClr w14:val="tx1"/>
            </w14:solidFill>
          </w14:textFill>
        </w:rPr>
      </w:pPr>
      <w:bookmarkStart w:id="77" w:name="_Toc19361"/>
      <w:bookmarkStart w:id="78" w:name="_Toc12955"/>
      <w:bookmarkStart w:id="79" w:name="_Toc673"/>
      <w:bookmarkStart w:id="80" w:name="_Toc30688"/>
      <w:bookmarkStart w:id="81" w:name="_Toc5446"/>
      <w:bookmarkStart w:id="82" w:name="_Toc11444"/>
      <w:r>
        <w:rPr>
          <w:rFonts w:hint="eastAsia"/>
          <w:color w:val="000000" w:themeColor="text1"/>
          <w:highlight w:val="none"/>
          <w:lang w:val="en-US" w:eastAsia="zh-CN"/>
          <w14:textFill>
            <w14:solidFill>
              <w14:schemeClr w14:val="tx1"/>
            </w14:solidFill>
          </w14:textFill>
        </w:rPr>
        <w:t>2.4废水排放标准</w:t>
      </w:r>
      <w:bookmarkEnd w:id="77"/>
      <w:bookmarkEnd w:id="78"/>
      <w:bookmarkEnd w:id="79"/>
      <w:bookmarkEnd w:id="80"/>
      <w:bookmarkEnd w:id="81"/>
      <w:bookmarkEnd w:id="82"/>
    </w:p>
    <w:p w14:paraId="3AC5FFC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本项目废水处理后出水水质执行《城镇污水处理厂污染物排放标准》（GB18918-2002）（含2006年、2025年修改单）一级A标准。</w:t>
      </w:r>
    </w:p>
    <w:p w14:paraId="620CA226">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表2.4-1  《城镇污水处理厂污染物排放标准》（GB18918-2002）（含2006年、2025年修改单）一级A标准限值</w:t>
      </w:r>
    </w:p>
    <w:tbl>
      <w:tblPr>
        <w:tblStyle w:val="1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507"/>
        <w:gridCol w:w="2235"/>
        <w:gridCol w:w="2096"/>
        <w:gridCol w:w="729"/>
        <w:gridCol w:w="2772"/>
      </w:tblGrid>
      <w:tr w14:paraId="706856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04" w:type="pct"/>
            <w:tcBorders>
              <w:tl2br w:val="nil"/>
              <w:tr2bl w:val="nil"/>
            </w:tcBorders>
            <w:shd w:val="clear" w:color="auto" w:fill="auto"/>
            <w:vAlign w:val="center"/>
          </w:tcPr>
          <w:p w14:paraId="229482F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序号</w:t>
            </w:r>
          </w:p>
        </w:tc>
        <w:tc>
          <w:tcPr>
            <w:tcW w:w="1339" w:type="pct"/>
            <w:tcBorders>
              <w:tl2br w:val="nil"/>
              <w:tr2bl w:val="nil"/>
            </w:tcBorders>
            <w:shd w:val="clear" w:color="auto" w:fill="auto"/>
            <w:vAlign w:val="center"/>
          </w:tcPr>
          <w:p w14:paraId="720A0DD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污染物项目</w:t>
            </w:r>
          </w:p>
        </w:tc>
        <w:tc>
          <w:tcPr>
            <w:tcW w:w="1256" w:type="pct"/>
            <w:tcBorders>
              <w:tl2br w:val="nil"/>
              <w:tr2bl w:val="nil"/>
            </w:tcBorders>
            <w:shd w:val="clear" w:color="auto" w:fill="auto"/>
            <w:vAlign w:val="center"/>
          </w:tcPr>
          <w:p w14:paraId="5F05B5A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标准限值（日均值）</w:t>
            </w:r>
          </w:p>
        </w:tc>
        <w:tc>
          <w:tcPr>
            <w:tcW w:w="437" w:type="pct"/>
            <w:tcBorders>
              <w:tl2br w:val="nil"/>
              <w:tr2bl w:val="nil"/>
            </w:tcBorders>
            <w:shd w:val="clear" w:color="auto" w:fill="auto"/>
            <w:vAlign w:val="center"/>
          </w:tcPr>
          <w:p w14:paraId="0607D32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单位</w:t>
            </w:r>
          </w:p>
        </w:tc>
        <w:tc>
          <w:tcPr>
            <w:tcW w:w="1661" w:type="pct"/>
            <w:tcBorders>
              <w:tl2br w:val="nil"/>
              <w:tr2bl w:val="nil"/>
            </w:tcBorders>
            <w:shd w:val="clear" w:color="auto" w:fill="auto"/>
            <w:vAlign w:val="center"/>
          </w:tcPr>
          <w:p w14:paraId="3476277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备注</w:t>
            </w:r>
          </w:p>
        </w:tc>
      </w:tr>
      <w:tr w14:paraId="04E308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304" w:type="pct"/>
            <w:tcBorders>
              <w:tl2br w:val="nil"/>
              <w:tr2bl w:val="nil"/>
            </w:tcBorders>
            <w:shd w:val="clear" w:color="auto" w:fill="auto"/>
            <w:vAlign w:val="center"/>
          </w:tcPr>
          <w:p w14:paraId="0ACB416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w:t>
            </w:r>
          </w:p>
        </w:tc>
        <w:tc>
          <w:tcPr>
            <w:tcW w:w="1339" w:type="pct"/>
            <w:tcBorders>
              <w:tl2br w:val="nil"/>
              <w:tr2bl w:val="nil"/>
            </w:tcBorders>
            <w:shd w:val="clear" w:color="auto" w:fill="auto"/>
            <w:vAlign w:val="center"/>
          </w:tcPr>
          <w:p w14:paraId="04C7EC2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化学需氧量（COD）</w:t>
            </w:r>
          </w:p>
        </w:tc>
        <w:tc>
          <w:tcPr>
            <w:tcW w:w="1256" w:type="pct"/>
            <w:tcBorders>
              <w:tl2br w:val="nil"/>
              <w:tr2bl w:val="nil"/>
            </w:tcBorders>
            <w:shd w:val="clear" w:color="auto" w:fill="auto"/>
            <w:vAlign w:val="center"/>
          </w:tcPr>
          <w:p w14:paraId="5D16B06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≤50</w:t>
            </w:r>
          </w:p>
        </w:tc>
        <w:tc>
          <w:tcPr>
            <w:tcW w:w="437" w:type="pct"/>
            <w:tcBorders>
              <w:tl2br w:val="nil"/>
              <w:tr2bl w:val="nil"/>
            </w:tcBorders>
            <w:shd w:val="clear" w:color="auto" w:fill="auto"/>
            <w:vAlign w:val="center"/>
          </w:tcPr>
          <w:p w14:paraId="4273A39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mg/L</w:t>
            </w:r>
          </w:p>
        </w:tc>
        <w:tc>
          <w:tcPr>
            <w:tcW w:w="1661" w:type="pct"/>
            <w:tcBorders>
              <w:tl2br w:val="nil"/>
              <w:tr2bl w:val="nil"/>
            </w:tcBorders>
            <w:shd w:val="clear" w:color="auto" w:fill="auto"/>
            <w:vAlign w:val="center"/>
          </w:tcPr>
          <w:p w14:paraId="76EADB5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p>
        </w:tc>
      </w:tr>
      <w:tr w14:paraId="33707B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304" w:type="pct"/>
            <w:tcBorders>
              <w:tl2br w:val="nil"/>
              <w:tr2bl w:val="nil"/>
            </w:tcBorders>
            <w:shd w:val="clear" w:color="auto" w:fill="auto"/>
            <w:vAlign w:val="center"/>
          </w:tcPr>
          <w:p w14:paraId="61D21DA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2</w:t>
            </w:r>
          </w:p>
        </w:tc>
        <w:tc>
          <w:tcPr>
            <w:tcW w:w="1339" w:type="pct"/>
            <w:tcBorders>
              <w:tl2br w:val="nil"/>
              <w:tr2bl w:val="nil"/>
            </w:tcBorders>
            <w:shd w:val="clear" w:color="auto" w:fill="auto"/>
            <w:vAlign w:val="center"/>
          </w:tcPr>
          <w:p w14:paraId="6FF34CE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生化需氧量（BOD₅）</w:t>
            </w:r>
          </w:p>
        </w:tc>
        <w:tc>
          <w:tcPr>
            <w:tcW w:w="1256" w:type="pct"/>
            <w:tcBorders>
              <w:tl2br w:val="nil"/>
              <w:tr2bl w:val="nil"/>
            </w:tcBorders>
            <w:shd w:val="clear" w:color="auto" w:fill="auto"/>
            <w:vAlign w:val="center"/>
          </w:tcPr>
          <w:p w14:paraId="10A7CE4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≤10</w:t>
            </w:r>
          </w:p>
        </w:tc>
        <w:tc>
          <w:tcPr>
            <w:tcW w:w="437" w:type="pct"/>
            <w:tcBorders>
              <w:tl2br w:val="nil"/>
              <w:tr2bl w:val="nil"/>
            </w:tcBorders>
            <w:shd w:val="clear" w:color="auto" w:fill="auto"/>
            <w:vAlign w:val="center"/>
          </w:tcPr>
          <w:p w14:paraId="3BBFE85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mg/L</w:t>
            </w:r>
          </w:p>
        </w:tc>
        <w:tc>
          <w:tcPr>
            <w:tcW w:w="1661" w:type="pct"/>
            <w:tcBorders>
              <w:tl2br w:val="nil"/>
              <w:tr2bl w:val="nil"/>
            </w:tcBorders>
            <w:shd w:val="clear" w:color="auto" w:fill="auto"/>
            <w:vAlign w:val="center"/>
          </w:tcPr>
          <w:p w14:paraId="15CEE0E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p>
        </w:tc>
      </w:tr>
      <w:tr w14:paraId="553AD4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304" w:type="pct"/>
            <w:tcBorders>
              <w:tl2br w:val="nil"/>
              <w:tr2bl w:val="nil"/>
            </w:tcBorders>
            <w:shd w:val="clear" w:color="auto" w:fill="auto"/>
            <w:vAlign w:val="center"/>
          </w:tcPr>
          <w:p w14:paraId="10B9713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3</w:t>
            </w:r>
          </w:p>
        </w:tc>
        <w:tc>
          <w:tcPr>
            <w:tcW w:w="1339" w:type="pct"/>
            <w:tcBorders>
              <w:tl2br w:val="nil"/>
              <w:tr2bl w:val="nil"/>
            </w:tcBorders>
            <w:shd w:val="clear" w:color="auto" w:fill="auto"/>
            <w:vAlign w:val="center"/>
          </w:tcPr>
          <w:p w14:paraId="19956AB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悬浮物（SS）</w:t>
            </w:r>
          </w:p>
        </w:tc>
        <w:tc>
          <w:tcPr>
            <w:tcW w:w="1256" w:type="pct"/>
            <w:tcBorders>
              <w:tl2br w:val="nil"/>
              <w:tr2bl w:val="nil"/>
            </w:tcBorders>
            <w:shd w:val="clear" w:color="auto" w:fill="auto"/>
            <w:vAlign w:val="center"/>
          </w:tcPr>
          <w:p w14:paraId="5321F89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≤10</w:t>
            </w:r>
          </w:p>
        </w:tc>
        <w:tc>
          <w:tcPr>
            <w:tcW w:w="437" w:type="pct"/>
            <w:tcBorders>
              <w:tl2br w:val="nil"/>
              <w:tr2bl w:val="nil"/>
            </w:tcBorders>
            <w:shd w:val="clear" w:color="auto" w:fill="auto"/>
            <w:vAlign w:val="center"/>
          </w:tcPr>
          <w:p w14:paraId="42C4AAA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mg/L</w:t>
            </w:r>
          </w:p>
        </w:tc>
        <w:tc>
          <w:tcPr>
            <w:tcW w:w="1661" w:type="pct"/>
            <w:tcBorders>
              <w:tl2br w:val="nil"/>
              <w:tr2bl w:val="nil"/>
            </w:tcBorders>
            <w:shd w:val="clear" w:color="auto" w:fill="auto"/>
            <w:vAlign w:val="center"/>
          </w:tcPr>
          <w:p w14:paraId="0A1AE7F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p>
        </w:tc>
      </w:tr>
      <w:tr w14:paraId="7585D3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304" w:type="pct"/>
            <w:tcBorders>
              <w:tl2br w:val="nil"/>
              <w:tr2bl w:val="nil"/>
            </w:tcBorders>
            <w:shd w:val="clear" w:color="auto" w:fill="auto"/>
            <w:vAlign w:val="center"/>
          </w:tcPr>
          <w:p w14:paraId="3DEB448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4</w:t>
            </w:r>
          </w:p>
        </w:tc>
        <w:tc>
          <w:tcPr>
            <w:tcW w:w="1339" w:type="pct"/>
            <w:tcBorders>
              <w:tl2br w:val="nil"/>
              <w:tr2bl w:val="nil"/>
            </w:tcBorders>
            <w:shd w:val="clear" w:color="auto" w:fill="auto"/>
            <w:vAlign w:val="center"/>
          </w:tcPr>
          <w:p w14:paraId="33F5439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动植物油</w:t>
            </w:r>
          </w:p>
        </w:tc>
        <w:tc>
          <w:tcPr>
            <w:tcW w:w="1256" w:type="pct"/>
            <w:tcBorders>
              <w:tl2br w:val="nil"/>
              <w:tr2bl w:val="nil"/>
            </w:tcBorders>
            <w:shd w:val="clear" w:color="auto" w:fill="auto"/>
            <w:vAlign w:val="center"/>
          </w:tcPr>
          <w:p w14:paraId="20D99C4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≤1.0</w:t>
            </w:r>
          </w:p>
        </w:tc>
        <w:tc>
          <w:tcPr>
            <w:tcW w:w="437" w:type="pct"/>
            <w:tcBorders>
              <w:tl2br w:val="nil"/>
              <w:tr2bl w:val="nil"/>
            </w:tcBorders>
            <w:shd w:val="clear" w:color="auto" w:fill="auto"/>
            <w:vAlign w:val="center"/>
          </w:tcPr>
          <w:p w14:paraId="7841F30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mg/L</w:t>
            </w:r>
          </w:p>
        </w:tc>
        <w:tc>
          <w:tcPr>
            <w:tcW w:w="1661" w:type="pct"/>
            <w:tcBorders>
              <w:tl2br w:val="nil"/>
              <w:tr2bl w:val="nil"/>
            </w:tcBorders>
            <w:shd w:val="clear" w:color="auto" w:fill="auto"/>
            <w:vAlign w:val="center"/>
          </w:tcPr>
          <w:p w14:paraId="50E9CE2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p>
        </w:tc>
      </w:tr>
      <w:tr w14:paraId="34C81D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304" w:type="pct"/>
            <w:tcBorders>
              <w:tl2br w:val="nil"/>
              <w:tr2bl w:val="nil"/>
            </w:tcBorders>
            <w:shd w:val="clear" w:color="auto" w:fill="auto"/>
            <w:vAlign w:val="center"/>
          </w:tcPr>
          <w:p w14:paraId="4D3ABB5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w:t>
            </w:r>
          </w:p>
        </w:tc>
        <w:tc>
          <w:tcPr>
            <w:tcW w:w="1339" w:type="pct"/>
            <w:tcBorders>
              <w:tl2br w:val="nil"/>
              <w:tr2bl w:val="nil"/>
            </w:tcBorders>
            <w:shd w:val="clear" w:color="auto" w:fill="auto"/>
            <w:vAlign w:val="center"/>
          </w:tcPr>
          <w:p w14:paraId="565F302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石油类</w:t>
            </w:r>
          </w:p>
        </w:tc>
        <w:tc>
          <w:tcPr>
            <w:tcW w:w="1256" w:type="pct"/>
            <w:tcBorders>
              <w:tl2br w:val="nil"/>
              <w:tr2bl w:val="nil"/>
            </w:tcBorders>
            <w:shd w:val="clear" w:color="auto" w:fill="auto"/>
            <w:vAlign w:val="center"/>
          </w:tcPr>
          <w:p w14:paraId="67B2BFB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≤1.0</w:t>
            </w:r>
          </w:p>
        </w:tc>
        <w:tc>
          <w:tcPr>
            <w:tcW w:w="437" w:type="pct"/>
            <w:tcBorders>
              <w:tl2br w:val="nil"/>
              <w:tr2bl w:val="nil"/>
            </w:tcBorders>
            <w:shd w:val="clear" w:color="auto" w:fill="auto"/>
            <w:vAlign w:val="center"/>
          </w:tcPr>
          <w:p w14:paraId="75F7A50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mg/L</w:t>
            </w:r>
          </w:p>
        </w:tc>
        <w:tc>
          <w:tcPr>
            <w:tcW w:w="1661" w:type="pct"/>
            <w:tcBorders>
              <w:tl2br w:val="nil"/>
              <w:tr2bl w:val="nil"/>
            </w:tcBorders>
            <w:shd w:val="clear" w:color="auto" w:fill="auto"/>
            <w:vAlign w:val="center"/>
          </w:tcPr>
          <w:p w14:paraId="1CF078D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p>
        </w:tc>
      </w:tr>
      <w:tr w14:paraId="4F4871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304" w:type="pct"/>
            <w:tcBorders>
              <w:tl2br w:val="nil"/>
              <w:tr2bl w:val="nil"/>
            </w:tcBorders>
            <w:shd w:val="clear" w:color="auto" w:fill="auto"/>
            <w:vAlign w:val="center"/>
          </w:tcPr>
          <w:p w14:paraId="17F6433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6</w:t>
            </w:r>
          </w:p>
        </w:tc>
        <w:tc>
          <w:tcPr>
            <w:tcW w:w="1339" w:type="pct"/>
            <w:tcBorders>
              <w:tl2br w:val="nil"/>
              <w:tr2bl w:val="nil"/>
            </w:tcBorders>
            <w:shd w:val="clear" w:color="auto" w:fill="auto"/>
            <w:vAlign w:val="center"/>
          </w:tcPr>
          <w:p w14:paraId="086FA65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阴离子表面活性剂</w:t>
            </w:r>
          </w:p>
        </w:tc>
        <w:tc>
          <w:tcPr>
            <w:tcW w:w="1256" w:type="pct"/>
            <w:tcBorders>
              <w:tl2br w:val="nil"/>
              <w:tr2bl w:val="nil"/>
            </w:tcBorders>
            <w:shd w:val="clear" w:color="auto" w:fill="auto"/>
            <w:vAlign w:val="center"/>
          </w:tcPr>
          <w:p w14:paraId="4F94C09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≤0.5</w:t>
            </w:r>
          </w:p>
        </w:tc>
        <w:tc>
          <w:tcPr>
            <w:tcW w:w="437" w:type="pct"/>
            <w:tcBorders>
              <w:tl2br w:val="nil"/>
              <w:tr2bl w:val="nil"/>
            </w:tcBorders>
            <w:shd w:val="clear" w:color="auto" w:fill="auto"/>
            <w:vAlign w:val="center"/>
          </w:tcPr>
          <w:p w14:paraId="64350F3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mg/L</w:t>
            </w:r>
          </w:p>
        </w:tc>
        <w:tc>
          <w:tcPr>
            <w:tcW w:w="1661" w:type="pct"/>
            <w:tcBorders>
              <w:tl2br w:val="nil"/>
              <w:tr2bl w:val="nil"/>
            </w:tcBorders>
            <w:shd w:val="clear" w:color="auto" w:fill="auto"/>
            <w:vAlign w:val="center"/>
          </w:tcPr>
          <w:p w14:paraId="70E2827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p>
        </w:tc>
      </w:tr>
      <w:tr w14:paraId="646FD0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PrEx>
        <w:trPr>
          <w:jc w:val="center"/>
        </w:trPr>
        <w:tc>
          <w:tcPr>
            <w:tcW w:w="304" w:type="pct"/>
            <w:tcBorders>
              <w:tl2br w:val="nil"/>
              <w:tr2bl w:val="nil"/>
            </w:tcBorders>
            <w:shd w:val="clear" w:color="auto" w:fill="auto"/>
            <w:vAlign w:val="center"/>
          </w:tcPr>
          <w:p w14:paraId="0429EF6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7</w:t>
            </w:r>
          </w:p>
        </w:tc>
        <w:tc>
          <w:tcPr>
            <w:tcW w:w="1339" w:type="pct"/>
            <w:tcBorders>
              <w:tl2br w:val="nil"/>
              <w:tr2bl w:val="nil"/>
            </w:tcBorders>
            <w:shd w:val="clear" w:color="auto" w:fill="auto"/>
            <w:vAlign w:val="center"/>
          </w:tcPr>
          <w:p w14:paraId="001085A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总氮（以N计）</w:t>
            </w:r>
          </w:p>
        </w:tc>
        <w:tc>
          <w:tcPr>
            <w:tcW w:w="1256" w:type="pct"/>
            <w:tcBorders>
              <w:tl2br w:val="nil"/>
              <w:tr2bl w:val="nil"/>
            </w:tcBorders>
            <w:shd w:val="clear" w:color="auto" w:fill="auto"/>
            <w:vAlign w:val="center"/>
          </w:tcPr>
          <w:p w14:paraId="2887EBC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≤15</w:t>
            </w:r>
          </w:p>
        </w:tc>
        <w:tc>
          <w:tcPr>
            <w:tcW w:w="437" w:type="pct"/>
            <w:tcBorders>
              <w:tl2br w:val="nil"/>
              <w:tr2bl w:val="nil"/>
            </w:tcBorders>
            <w:shd w:val="clear" w:color="auto" w:fill="auto"/>
            <w:vAlign w:val="center"/>
          </w:tcPr>
          <w:p w14:paraId="4C83C41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mg/L</w:t>
            </w:r>
          </w:p>
        </w:tc>
        <w:tc>
          <w:tcPr>
            <w:tcW w:w="1661" w:type="pct"/>
            <w:tcBorders>
              <w:tl2br w:val="nil"/>
              <w:tr2bl w:val="nil"/>
            </w:tcBorders>
            <w:shd w:val="clear" w:color="auto" w:fill="auto"/>
            <w:vAlign w:val="center"/>
          </w:tcPr>
          <w:p w14:paraId="0511ACA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p>
        </w:tc>
      </w:tr>
      <w:tr w14:paraId="2DAD34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304" w:type="pct"/>
            <w:tcBorders>
              <w:tl2br w:val="nil"/>
              <w:tr2bl w:val="nil"/>
            </w:tcBorders>
            <w:shd w:val="clear" w:color="auto" w:fill="auto"/>
            <w:vAlign w:val="center"/>
          </w:tcPr>
          <w:p w14:paraId="5CF569A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8</w:t>
            </w:r>
          </w:p>
        </w:tc>
        <w:tc>
          <w:tcPr>
            <w:tcW w:w="1339" w:type="pct"/>
            <w:tcBorders>
              <w:tl2br w:val="nil"/>
              <w:tr2bl w:val="nil"/>
            </w:tcBorders>
            <w:shd w:val="clear" w:color="auto" w:fill="auto"/>
            <w:vAlign w:val="center"/>
          </w:tcPr>
          <w:p w14:paraId="693CC32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氨氮（以N计）</w:t>
            </w:r>
          </w:p>
        </w:tc>
        <w:tc>
          <w:tcPr>
            <w:tcW w:w="1256" w:type="pct"/>
            <w:tcBorders>
              <w:tl2br w:val="nil"/>
              <w:tr2bl w:val="nil"/>
            </w:tcBorders>
            <w:shd w:val="clear" w:color="auto" w:fill="auto"/>
            <w:vAlign w:val="center"/>
          </w:tcPr>
          <w:p w14:paraId="745CD4B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≤5（8）</w:t>
            </w:r>
          </w:p>
        </w:tc>
        <w:tc>
          <w:tcPr>
            <w:tcW w:w="437" w:type="pct"/>
            <w:tcBorders>
              <w:tl2br w:val="nil"/>
              <w:tr2bl w:val="nil"/>
            </w:tcBorders>
            <w:shd w:val="clear" w:color="auto" w:fill="auto"/>
            <w:vAlign w:val="center"/>
          </w:tcPr>
          <w:p w14:paraId="083BA64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mg/L</w:t>
            </w:r>
          </w:p>
        </w:tc>
        <w:tc>
          <w:tcPr>
            <w:tcW w:w="1661" w:type="pct"/>
            <w:tcBorders>
              <w:tl2br w:val="nil"/>
              <w:tr2bl w:val="nil"/>
            </w:tcBorders>
            <w:shd w:val="clear" w:color="auto" w:fill="auto"/>
            <w:vAlign w:val="center"/>
          </w:tcPr>
          <w:p w14:paraId="407B61E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括号内为水温＞12℃时限值</w:t>
            </w:r>
          </w:p>
        </w:tc>
      </w:tr>
      <w:tr w14:paraId="411598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304" w:type="pct"/>
            <w:tcBorders>
              <w:tl2br w:val="nil"/>
              <w:tr2bl w:val="nil"/>
            </w:tcBorders>
            <w:shd w:val="clear" w:color="auto" w:fill="auto"/>
            <w:vAlign w:val="center"/>
          </w:tcPr>
          <w:p w14:paraId="382B85C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9</w:t>
            </w:r>
          </w:p>
        </w:tc>
        <w:tc>
          <w:tcPr>
            <w:tcW w:w="1339" w:type="pct"/>
            <w:tcBorders>
              <w:tl2br w:val="nil"/>
              <w:tr2bl w:val="nil"/>
            </w:tcBorders>
            <w:shd w:val="clear" w:color="auto" w:fill="auto"/>
            <w:vAlign w:val="center"/>
          </w:tcPr>
          <w:p w14:paraId="0CE5004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总磷（以P计）</w:t>
            </w:r>
          </w:p>
        </w:tc>
        <w:tc>
          <w:tcPr>
            <w:tcW w:w="1256" w:type="pct"/>
            <w:tcBorders>
              <w:tl2br w:val="nil"/>
              <w:tr2bl w:val="nil"/>
            </w:tcBorders>
            <w:shd w:val="clear" w:color="auto" w:fill="auto"/>
            <w:vAlign w:val="center"/>
          </w:tcPr>
          <w:p w14:paraId="77BC5CD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≤0.5</w:t>
            </w:r>
          </w:p>
        </w:tc>
        <w:tc>
          <w:tcPr>
            <w:tcW w:w="437" w:type="pct"/>
            <w:tcBorders>
              <w:tl2br w:val="nil"/>
              <w:tr2bl w:val="nil"/>
            </w:tcBorders>
            <w:shd w:val="clear" w:color="auto" w:fill="auto"/>
            <w:vAlign w:val="center"/>
          </w:tcPr>
          <w:p w14:paraId="4D3F2AA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mg/L</w:t>
            </w:r>
          </w:p>
        </w:tc>
        <w:tc>
          <w:tcPr>
            <w:tcW w:w="1661" w:type="pct"/>
            <w:tcBorders>
              <w:tl2br w:val="nil"/>
              <w:tr2bl w:val="nil"/>
            </w:tcBorders>
            <w:shd w:val="clear" w:color="auto" w:fill="auto"/>
            <w:vAlign w:val="center"/>
          </w:tcPr>
          <w:p w14:paraId="179548D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p>
        </w:tc>
      </w:tr>
      <w:tr w14:paraId="75B91F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304" w:type="pct"/>
            <w:tcBorders>
              <w:tl2br w:val="nil"/>
              <w:tr2bl w:val="nil"/>
            </w:tcBorders>
            <w:shd w:val="clear" w:color="auto" w:fill="auto"/>
            <w:vAlign w:val="center"/>
          </w:tcPr>
          <w:p w14:paraId="5952F25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10</w:t>
            </w:r>
          </w:p>
        </w:tc>
        <w:tc>
          <w:tcPr>
            <w:tcW w:w="1339" w:type="pct"/>
            <w:tcBorders>
              <w:tl2br w:val="nil"/>
              <w:tr2bl w:val="nil"/>
            </w:tcBorders>
            <w:shd w:val="clear" w:color="auto" w:fill="auto"/>
            <w:vAlign w:val="center"/>
          </w:tcPr>
          <w:p w14:paraId="6DC271A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色度（稀释倍数）</w:t>
            </w:r>
          </w:p>
        </w:tc>
        <w:tc>
          <w:tcPr>
            <w:tcW w:w="1256" w:type="pct"/>
            <w:tcBorders>
              <w:tl2br w:val="nil"/>
              <w:tr2bl w:val="nil"/>
            </w:tcBorders>
            <w:shd w:val="clear" w:color="auto" w:fill="auto"/>
            <w:vAlign w:val="center"/>
          </w:tcPr>
          <w:p w14:paraId="7C62712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≤30</w:t>
            </w:r>
          </w:p>
        </w:tc>
        <w:tc>
          <w:tcPr>
            <w:tcW w:w="437" w:type="pct"/>
            <w:tcBorders>
              <w:tl2br w:val="nil"/>
              <w:tr2bl w:val="nil"/>
            </w:tcBorders>
            <w:shd w:val="clear" w:color="auto" w:fill="auto"/>
            <w:vAlign w:val="center"/>
          </w:tcPr>
          <w:p w14:paraId="03B45EC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倍</w:t>
            </w:r>
          </w:p>
        </w:tc>
        <w:tc>
          <w:tcPr>
            <w:tcW w:w="1661" w:type="pct"/>
            <w:tcBorders>
              <w:tl2br w:val="nil"/>
              <w:tr2bl w:val="nil"/>
            </w:tcBorders>
            <w:shd w:val="clear" w:color="auto" w:fill="auto"/>
            <w:vAlign w:val="center"/>
          </w:tcPr>
          <w:p w14:paraId="1FB7B51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p>
        </w:tc>
      </w:tr>
      <w:tr w14:paraId="0B05E7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304" w:type="pct"/>
            <w:tcBorders>
              <w:tl2br w:val="nil"/>
              <w:tr2bl w:val="nil"/>
            </w:tcBorders>
            <w:shd w:val="clear" w:color="auto" w:fill="auto"/>
            <w:vAlign w:val="center"/>
          </w:tcPr>
          <w:p w14:paraId="7D0952D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11</w:t>
            </w:r>
          </w:p>
        </w:tc>
        <w:tc>
          <w:tcPr>
            <w:tcW w:w="1339" w:type="pct"/>
            <w:tcBorders>
              <w:tl2br w:val="nil"/>
              <w:tr2bl w:val="nil"/>
            </w:tcBorders>
            <w:shd w:val="clear" w:color="auto" w:fill="auto"/>
            <w:vAlign w:val="center"/>
          </w:tcPr>
          <w:p w14:paraId="1006C72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pH值</w:t>
            </w:r>
          </w:p>
        </w:tc>
        <w:tc>
          <w:tcPr>
            <w:tcW w:w="1256" w:type="pct"/>
            <w:tcBorders>
              <w:tl2br w:val="nil"/>
              <w:tr2bl w:val="nil"/>
            </w:tcBorders>
            <w:shd w:val="clear" w:color="auto" w:fill="auto"/>
            <w:vAlign w:val="center"/>
          </w:tcPr>
          <w:p w14:paraId="4119680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6-9</w:t>
            </w:r>
          </w:p>
        </w:tc>
        <w:tc>
          <w:tcPr>
            <w:tcW w:w="437" w:type="pct"/>
            <w:tcBorders>
              <w:tl2br w:val="nil"/>
              <w:tr2bl w:val="nil"/>
            </w:tcBorders>
            <w:shd w:val="clear" w:color="auto" w:fill="auto"/>
            <w:vAlign w:val="center"/>
          </w:tcPr>
          <w:p w14:paraId="7ED35F4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无</w:t>
            </w:r>
          </w:p>
        </w:tc>
        <w:tc>
          <w:tcPr>
            <w:tcW w:w="1661" w:type="pct"/>
            <w:tcBorders>
              <w:tl2br w:val="nil"/>
              <w:tr2bl w:val="nil"/>
            </w:tcBorders>
            <w:shd w:val="clear" w:color="auto" w:fill="auto"/>
            <w:vAlign w:val="center"/>
          </w:tcPr>
          <w:p w14:paraId="7DDBA5A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p>
        </w:tc>
      </w:tr>
      <w:tr w14:paraId="5E18BD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304" w:type="pct"/>
            <w:tcBorders>
              <w:tl2br w:val="nil"/>
              <w:tr2bl w:val="nil"/>
            </w:tcBorders>
            <w:shd w:val="clear" w:color="auto" w:fill="auto"/>
            <w:vAlign w:val="center"/>
          </w:tcPr>
          <w:p w14:paraId="233E000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12</w:t>
            </w:r>
          </w:p>
        </w:tc>
        <w:tc>
          <w:tcPr>
            <w:tcW w:w="1339" w:type="pct"/>
            <w:tcBorders>
              <w:tl2br w:val="nil"/>
              <w:tr2bl w:val="nil"/>
            </w:tcBorders>
            <w:shd w:val="clear" w:color="auto" w:fill="auto"/>
            <w:vAlign w:val="center"/>
          </w:tcPr>
          <w:p w14:paraId="707692D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粪大肠菌群数</w:t>
            </w:r>
          </w:p>
        </w:tc>
        <w:tc>
          <w:tcPr>
            <w:tcW w:w="1256" w:type="pct"/>
            <w:tcBorders>
              <w:tl2br w:val="nil"/>
              <w:tr2bl w:val="nil"/>
            </w:tcBorders>
            <w:shd w:val="clear" w:color="auto" w:fill="auto"/>
            <w:vAlign w:val="center"/>
          </w:tcPr>
          <w:p w14:paraId="77CFF9C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≤10³</w:t>
            </w:r>
          </w:p>
        </w:tc>
        <w:tc>
          <w:tcPr>
            <w:tcW w:w="437" w:type="pct"/>
            <w:tcBorders>
              <w:tl2br w:val="nil"/>
              <w:tr2bl w:val="nil"/>
            </w:tcBorders>
            <w:shd w:val="clear" w:color="auto" w:fill="auto"/>
            <w:vAlign w:val="center"/>
          </w:tcPr>
          <w:p w14:paraId="7249E9B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个/L</w:t>
            </w:r>
          </w:p>
        </w:tc>
        <w:tc>
          <w:tcPr>
            <w:tcW w:w="1661" w:type="pct"/>
            <w:tcBorders>
              <w:tl2br w:val="nil"/>
              <w:tr2bl w:val="nil"/>
            </w:tcBorders>
            <w:shd w:val="clear" w:color="auto" w:fill="auto"/>
            <w:vAlign w:val="center"/>
          </w:tcPr>
          <w:p w14:paraId="605EADE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p>
        </w:tc>
      </w:tr>
    </w:tbl>
    <w:p w14:paraId="3E06CD7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p>
    <w:p w14:paraId="6FFF3960">
      <w:pPr>
        <w:pStyle w:val="2"/>
        <w:bidi w:val="0"/>
        <w:rPr>
          <w:rFonts w:hint="default"/>
          <w:color w:val="000000" w:themeColor="text1"/>
          <w:highlight w:val="none"/>
          <w:lang w:val="en-US" w:eastAsia="zh-CN"/>
          <w14:textFill>
            <w14:solidFill>
              <w14:schemeClr w14:val="tx1"/>
            </w14:solidFill>
          </w14:textFill>
        </w:rPr>
      </w:pPr>
      <w:bookmarkStart w:id="83" w:name="_Toc13984"/>
      <w:bookmarkStart w:id="84" w:name="_Toc27684"/>
      <w:bookmarkStart w:id="85" w:name="_Toc21492"/>
      <w:bookmarkStart w:id="86" w:name="_Toc25631"/>
      <w:bookmarkStart w:id="87" w:name="_Toc5189"/>
      <w:bookmarkStart w:id="88" w:name="_Toc11727"/>
      <w:r>
        <w:rPr>
          <w:rFonts w:hint="eastAsia"/>
          <w:color w:val="000000" w:themeColor="text1"/>
          <w:highlight w:val="none"/>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地表水环境影响评价等级与评价范围</w:t>
      </w:r>
      <w:bookmarkEnd w:id="83"/>
      <w:bookmarkEnd w:id="84"/>
      <w:bookmarkEnd w:id="85"/>
      <w:bookmarkEnd w:id="86"/>
      <w:bookmarkEnd w:id="87"/>
      <w:bookmarkEnd w:id="88"/>
    </w:p>
    <w:p w14:paraId="590D6D1A">
      <w:pPr>
        <w:pStyle w:val="3"/>
        <w:bidi w:val="0"/>
        <w:rPr>
          <w:rFonts w:hint="eastAsia"/>
          <w:color w:val="000000" w:themeColor="text1"/>
          <w:highlight w:val="none"/>
          <w:lang w:val="en-US" w:eastAsia="zh-CN"/>
          <w14:textFill>
            <w14:solidFill>
              <w14:schemeClr w14:val="tx1"/>
            </w14:solidFill>
          </w14:textFill>
        </w:rPr>
      </w:pPr>
      <w:bookmarkStart w:id="89" w:name="_Toc864"/>
      <w:bookmarkStart w:id="90" w:name="_Toc11581"/>
      <w:bookmarkStart w:id="91" w:name="_Toc4366"/>
      <w:bookmarkStart w:id="92" w:name="_Toc7713"/>
      <w:bookmarkStart w:id="93" w:name="_Toc27429"/>
      <w:bookmarkStart w:id="94" w:name="_Toc9057"/>
      <w:r>
        <w:rPr>
          <w:rFonts w:hint="eastAsia"/>
          <w:color w:val="000000" w:themeColor="text1"/>
          <w:highlight w:val="none"/>
          <w:lang w:val="en-US" w:eastAsia="zh-CN"/>
          <w14:textFill>
            <w14:solidFill>
              <w14:schemeClr w14:val="tx1"/>
            </w14:solidFill>
          </w14:textFill>
        </w:rPr>
        <w:t>3.1评价等级</w:t>
      </w:r>
      <w:bookmarkEnd w:id="89"/>
      <w:bookmarkEnd w:id="90"/>
      <w:bookmarkEnd w:id="91"/>
      <w:bookmarkEnd w:id="92"/>
      <w:bookmarkEnd w:id="93"/>
      <w:bookmarkEnd w:id="94"/>
    </w:p>
    <w:p w14:paraId="04CBC9B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根据《环境影响评价技术导则 地表水环境》（HJ2.3-2018），建设项目建设环境影响评价等级按照影响类型、排放方式、排放量或影响情况、受纳水体环境质量现状、水环境保护目标等综合确定。水污染影响型建设项目根据排放方式和废水排放量划分评价等级，具体见表3.1-1。</w:t>
      </w:r>
    </w:p>
    <w:p w14:paraId="29738CE5">
      <w:pPr>
        <w:pStyle w:val="20"/>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表3.1-1  水污染影响型建设项目评价等级判定</w:t>
      </w:r>
    </w:p>
    <w:tbl>
      <w:tblPr>
        <w:tblStyle w:val="12"/>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43"/>
        <w:gridCol w:w="1214"/>
        <w:gridCol w:w="5569"/>
      </w:tblGrid>
      <w:tr w14:paraId="38F4D2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22" w:type="pct"/>
            <w:vMerge w:val="restart"/>
            <w:tcBorders>
              <w:tl2br w:val="nil"/>
              <w:tr2bl w:val="nil"/>
            </w:tcBorders>
            <w:noWrap w:val="0"/>
            <w:vAlign w:val="center"/>
          </w:tcPr>
          <w:p w14:paraId="56755017">
            <w:pPr>
              <w:spacing w:line="240" w:lineRule="auto"/>
              <w:jc w:val="center"/>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评价等级</w:t>
            </w:r>
          </w:p>
        </w:tc>
        <w:tc>
          <w:tcPr>
            <w:tcW w:w="3977" w:type="pct"/>
            <w:gridSpan w:val="2"/>
            <w:tcBorders>
              <w:tl2br w:val="nil"/>
              <w:tr2bl w:val="nil"/>
            </w:tcBorders>
            <w:noWrap w:val="0"/>
            <w:vAlign w:val="center"/>
          </w:tcPr>
          <w:p w14:paraId="4383BDFC">
            <w:pPr>
              <w:spacing w:line="240" w:lineRule="auto"/>
              <w:jc w:val="center"/>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判定依据</w:t>
            </w:r>
          </w:p>
        </w:tc>
      </w:tr>
      <w:tr w14:paraId="5D9C17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22" w:type="pct"/>
            <w:vMerge w:val="continue"/>
            <w:tcBorders>
              <w:tl2br w:val="nil"/>
              <w:tr2bl w:val="nil"/>
            </w:tcBorders>
            <w:noWrap w:val="0"/>
            <w:vAlign w:val="center"/>
          </w:tcPr>
          <w:p w14:paraId="0240A6BB">
            <w:pPr>
              <w:widowControl/>
              <w:adjustRightInd/>
              <w:snapToGrid/>
              <w:spacing w:line="240" w:lineRule="auto"/>
              <w:jc w:val="left"/>
              <w:rPr>
                <w:rFonts w:ascii="Times New Roman" w:hAnsi="Times New Roman" w:eastAsia="宋体" w:cs="Times New Roman"/>
                <w:color w:val="000000" w:themeColor="text1"/>
                <w:sz w:val="21"/>
                <w:highlight w:val="none"/>
                <w14:textFill>
                  <w14:solidFill>
                    <w14:schemeClr w14:val="tx1"/>
                  </w14:solidFill>
                </w14:textFill>
              </w:rPr>
            </w:pPr>
          </w:p>
        </w:tc>
        <w:tc>
          <w:tcPr>
            <w:tcW w:w="712" w:type="pct"/>
            <w:tcBorders>
              <w:tl2br w:val="nil"/>
              <w:tr2bl w:val="nil"/>
            </w:tcBorders>
            <w:noWrap w:val="0"/>
            <w:vAlign w:val="center"/>
          </w:tcPr>
          <w:p w14:paraId="52AF954E">
            <w:pPr>
              <w:spacing w:line="240" w:lineRule="auto"/>
              <w:jc w:val="center"/>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排放方式</w:t>
            </w:r>
          </w:p>
        </w:tc>
        <w:tc>
          <w:tcPr>
            <w:tcW w:w="3264" w:type="pct"/>
            <w:tcBorders>
              <w:tl2br w:val="nil"/>
              <w:tr2bl w:val="nil"/>
            </w:tcBorders>
            <w:noWrap w:val="0"/>
            <w:vAlign w:val="center"/>
          </w:tcPr>
          <w:p w14:paraId="3E8B0C99">
            <w:pPr>
              <w:spacing w:line="240" w:lineRule="auto"/>
              <w:jc w:val="center"/>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废水排放量Q/（m</w:t>
            </w:r>
            <w:r>
              <w:rPr>
                <w:rFonts w:ascii="Times New Roman" w:hAnsi="Times New Roman" w:eastAsia="宋体" w:cs="Times New Roman"/>
                <w:color w:val="000000" w:themeColor="text1"/>
                <w:sz w:val="21"/>
                <w:highlight w:val="none"/>
                <w:vertAlign w:val="superscript"/>
                <w14:textFill>
                  <w14:solidFill>
                    <w14:schemeClr w14:val="tx1"/>
                  </w14:solidFill>
                </w14:textFill>
              </w:rPr>
              <w:t>3</w:t>
            </w:r>
            <w:r>
              <w:rPr>
                <w:rFonts w:ascii="Times New Roman" w:hAnsi="Times New Roman" w:eastAsia="宋体" w:cs="Times New Roman"/>
                <w:color w:val="000000" w:themeColor="text1"/>
                <w:sz w:val="21"/>
                <w:highlight w:val="none"/>
                <w14:textFill>
                  <w14:solidFill>
                    <w14:schemeClr w14:val="tx1"/>
                  </w14:solidFill>
                </w14:textFill>
              </w:rPr>
              <w:t>/d）；水污染物当量数W/（无量纲）</w:t>
            </w:r>
          </w:p>
        </w:tc>
      </w:tr>
      <w:tr w14:paraId="534002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22" w:type="pct"/>
            <w:tcBorders>
              <w:tl2br w:val="nil"/>
              <w:tr2bl w:val="nil"/>
            </w:tcBorders>
            <w:noWrap w:val="0"/>
            <w:vAlign w:val="center"/>
          </w:tcPr>
          <w:p w14:paraId="3B7631BD">
            <w:pPr>
              <w:spacing w:line="240" w:lineRule="auto"/>
              <w:jc w:val="center"/>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一级</w:t>
            </w:r>
          </w:p>
        </w:tc>
        <w:tc>
          <w:tcPr>
            <w:tcW w:w="712" w:type="pct"/>
            <w:tcBorders>
              <w:tl2br w:val="nil"/>
              <w:tr2bl w:val="nil"/>
            </w:tcBorders>
            <w:noWrap w:val="0"/>
            <w:vAlign w:val="center"/>
          </w:tcPr>
          <w:p w14:paraId="011353D3">
            <w:pPr>
              <w:spacing w:line="240" w:lineRule="auto"/>
              <w:jc w:val="center"/>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直接排放</w:t>
            </w:r>
          </w:p>
        </w:tc>
        <w:tc>
          <w:tcPr>
            <w:tcW w:w="3264" w:type="pct"/>
            <w:tcBorders>
              <w:tl2br w:val="nil"/>
              <w:tr2bl w:val="nil"/>
            </w:tcBorders>
            <w:noWrap w:val="0"/>
            <w:vAlign w:val="center"/>
          </w:tcPr>
          <w:p w14:paraId="54709D3B">
            <w:pPr>
              <w:spacing w:line="240" w:lineRule="auto"/>
              <w:jc w:val="center"/>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Q≥20000或W≥600000</w:t>
            </w:r>
          </w:p>
        </w:tc>
      </w:tr>
      <w:tr w14:paraId="798620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22" w:type="pct"/>
            <w:tcBorders>
              <w:tl2br w:val="nil"/>
              <w:tr2bl w:val="nil"/>
            </w:tcBorders>
            <w:noWrap w:val="0"/>
            <w:vAlign w:val="center"/>
          </w:tcPr>
          <w:p w14:paraId="6DA16AD5">
            <w:pPr>
              <w:spacing w:line="240" w:lineRule="auto"/>
              <w:jc w:val="center"/>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二级</w:t>
            </w:r>
          </w:p>
        </w:tc>
        <w:tc>
          <w:tcPr>
            <w:tcW w:w="712" w:type="pct"/>
            <w:tcBorders>
              <w:tl2br w:val="nil"/>
              <w:tr2bl w:val="nil"/>
            </w:tcBorders>
            <w:noWrap w:val="0"/>
            <w:vAlign w:val="center"/>
          </w:tcPr>
          <w:p w14:paraId="703B9D58">
            <w:pPr>
              <w:spacing w:line="240" w:lineRule="auto"/>
              <w:jc w:val="center"/>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直接排放</w:t>
            </w:r>
          </w:p>
        </w:tc>
        <w:tc>
          <w:tcPr>
            <w:tcW w:w="3264" w:type="pct"/>
            <w:tcBorders>
              <w:tl2br w:val="nil"/>
              <w:tr2bl w:val="nil"/>
            </w:tcBorders>
            <w:noWrap w:val="0"/>
            <w:vAlign w:val="center"/>
          </w:tcPr>
          <w:p w14:paraId="4E17F4DB">
            <w:pPr>
              <w:spacing w:line="240" w:lineRule="auto"/>
              <w:jc w:val="center"/>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其他</w:t>
            </w:r>
          </w:p>
        </w:tc>
      </w:tr>
      <w:tr w14:paraId="622BB9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22" w:type="pct"/>
            <w:tcBorders>
              <w:tl2br w:val="nil"/>
              <w:tr2bl w:val="nil"/>
            </w:tcBorders>
            <w:noWrap w:val="0"/>
            <w:vAlign w:val="center"/>
          </w:tcPr>
          <w:p w14:paraId="52272A3A">
            <w:pPr>
              <w:spacing w:line="240" w:lineRule="auto"/>
              <w:jc w:val="center"/>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三级A</w:t>
            </w:r>
          </w:p>
        </w:tc>
        <w:tc>
          <w:tcPr>
            <w:tcW w:w="712" w:type="pct"/>
            <w:tcBorders>
              <w:tl2br w:val="nil"/>
              <w:tr2bl w:val="nil"/>
            </w:tcBorders>
            <w:noWrap w:val="0"/>
            <w:vAlign w:val="center"/>
          </w:tcPr>
          <w:p w14:paraId="4F6FADD1">
            <w:pPr>
              <w:spacing w:line="240" w:lineRule="auto"/>
              <w:jc w:val="center"/>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直接排放</w:t>
            </w:r>
          </w:p>
        </w:tc>
        <w:tc>
          <w:tcPr>
            <w:tcW w:w="3264" w:type="pct"/>
            <w:tcBorders>
              <w:tl2br w:val="nil"/>
              <w:tr2bl w:val="nil"/>
            </w:tcBorders>
            <w:noWrap w:val="0"/>
            <w:vAlign w:val="center"/>
          </w:tcPr>
          <w:p w14:paraId="6E6B269A">
            <w:pPr>
              <w:spacing w:line="240" w:lineRule="auto"/>
              <w:jc w:val="center"/>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Q﹤200且W﹤6000</w:t>
            </w:r>
          </w:p>
        </w:tc>
      </w:tr>
      <w:tr w14:paraId="54CA03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1022" w:type="pct"/>
            <w:tcBorders>
              <w:tl2br w:val="nil"/>
              <w:tr2bl w:val="nil"/>
            </w:tcBorders>
            <w:noWrap w:val="0"/>
            <w:vAlign w:val="center"/>
          </w:tcPr>
          <w:p w14:paraId="69852FAA">
            <w:pPr>
              <w:spacing w:line="240" w:lineRule="auto"/>
              <w:jc w:val="center"/>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三级B</w:t>
            </w:r>
          </w:p>
        </w:tc>
        <w:tc>
          <w:tcPr>
            <w:tcW w:w="712" w:type="pct"/>
            <w:tcBorders>
              <w:tl2br w:val="nil"/>
              <w:tr2bl w:val="nil"/>
            </w:tcBorders>
            <w:noWrap w:val="0"/>
            <w:vAlign w:val="center"/>
          </w:tcPr>
          <w:p w14:paraId="55D123E0">
            <w:pPr>
              <w:spacing w:line="240" w:lineRule="auto"/>
              <w:jc w:val="center"/>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间接排放</w:t>
            </w:r>
          </w:p>
        </w:tc>
        <w:tc>
          <w:tcPr>
            <w:tcW w:w="3264" w:type="pct"/>
            <w:tcBorders>
              <w:tl2br w:val="nil"/>
              <w:tr2bl w:val="nil"/>
            </w:tcBorders>
            <w:noWrap w:val="0"/>
            <w:vAlign w:val="center"/>
          </w:tcPr>
          <w:p w14:paraId="42F47748">
            <w:pPr>
              <w:spacing w:line="240" w:lineRule="auto"/>
              <w:jc w:val="center"/>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w:t>
            </w:r>
          </w:p>
        </w:tc>
      </w:tr>
      <w:tr w14:paraId="12A228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3"/>
            <w:tcBorders>
              <w:tl2br w:val="nil"/>
              <w:tr2bl w:val="nil"/>
            </w:tcBorders>
            <w:noWrap w:val="0"/>
            <w:vAlign w:val="center"/>
          </w:tcPr>
          <w:p w14:paraId="05BD8528">
            <w:pPr>
              <w:spacing w:line="240" w:lineRule="auto"/>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注1：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25B7BC2F">
            <w:pPr>
              <w:spacing w:line="240" w:lineRule="auto"/>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注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14:paraId="74E70067">
            <w:pPr>
              <w:spacing w:line="240" w:lineRule="auto"/>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注3：场区存在堆积物（露天堆放的原料、燃料、废渣等以及垃圾堆放场）、降尘污染的，应将初期雨污水纳入废水排放量，相应的主要污染物纳入水污染当量计算。</w:t>
            </w:r>
          </w:p>
          <w:p w14:paraId="53D68F98">
            <w:pPr>
              <w:spacing w:line="240" w:lineRule="auto"/>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注4：建设项目直接排放第一类污染物的，其评价等级为一级；建设项目直接排放的污染物为受纳水体超标因子的，评价等级不低于二级。</w:t>
            </w:r>
          </w:p>
          <w:p w14:paraId="7F41CAD1">
            <w:pPr>
              <w:spacing w:line="240" w:lineRule="auto"/>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注5：直接排放受纳水体影响范围涉及饮用水水源保护区、饮用水取水口、重点保护与珍稀水生生物的栖息地、重要水生生物的自然产卵场等保护目标时，评价等级不低于二级。</w:t>
            </w:r>
          </w:p>
          <w:p w14:paraId="726B6F15">
            <w:pPr>
              <w:spacing w:line="240" w:lineRule="auto"/>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注6：建设项目向河流、湖库排放温排水引起受纳水体水温变化超过水环境质量标准要求，且评价范围有水温敏感目标时，评价等级为一级。</w:t>
            </w:r>
          </w:p>
          <w:p w14:paraId="1B8AAC3B">
            <w:pPr>
              <w:spacing w:line="240" w:lineRule="auto"/>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注7：建设项目利用海水作为调节温度介质，排水量≥500万m</w:t>
            </w:r>
            <w:r>
              <w:rPr>
                <w:rFonts w:ascii="Times New Roman" w:hAnsi="Times New Roman" w:eastAsia="宋体" w:cs="Times New Roman"/>
                <w:color w:val="000000" w:themeColor="text1"/>
                <w:sz w:val="21"/>
                <w:highlight w:val="none"/>
                <w:vertAlign w:val="superscript"/>
                <w14:textFill>
                  <w14:solidFill>
                    <w14:schemeClr w14:val="tx1"/>
                  </w14:solidFill>
                </w14:textFill>
              </w:rPr>
              <w:t>3</w:t>
            </w:r>
            <w:r>
              <w:rPr>
                <w:rFonts w:ascii="Times New Roman" w:hAnsi="Times New Roman" w:eastAsia="宋体" w:cs="Times New Roman"/>
                <w:color w:val="000000" w:themeColor="text1"/>
                <w:sz w:val="21"/>
                <w:highlight w:val="none"/>
                <w14:textFill>
                  <w14:solidFill>
                    <w14:schemeClr w14:val="tx1"/>
                  </w14:solidFill>
                </w14:textFill>
              </w:rPr>
              <w:t>/d，评价等级为一级；排水量＜500万m</w:t>
            </w:r>
            <w:r>
              <w:rPr>
                <w:rFonts w:ascii="Times New Roman" w:hAnsi="Times New Roman" w:eastAsia="宋体" w:cs="Times New Roman"/>
                <w:color w:val="000000" w:themeColor="text1"/>
                <w:sz w:val="21"/>
                <w:highlight w:val="none"/>
                <w:vertAlign w:val="superscript"/>
                <w14:textFill>
                  <w14:solidFill>
                    <w14:schemeClr w14:val="tx1"/>
                  </w14:solidFill>
                </w14:textFill>
              </w:rPr>
              <w:t>3</w:t>
            </w:r>
            <w:r>
              <w:rPr>
                <w:rFonts w:ascii="Times New Roman" w:hAnsi="Times New Roman" w:eastAsia="宋体" w:cs="Times New Roman"/>
                <w:color w:val="000000" w:themeColor="text1"/>
                <w:sz w:val="21"/>
                <w:highlight w:val="none"/>
                <w14:textFill>
                  <w14:solidFill>
                    <w14:schemeClr w14:val="tx1"/>
                  </w14:solidFill>
                </w14:textFill>
              </w:rPr>
              <w:t>/d，评价等级为二级。</w:t>
            </w:r>
          </w:p>
          <w:p w14:paraId="61C446D7">
            <w:pPr>
              <w:spacing w:line="240" w:lineRule="auto"/>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注8：仅涉及清净下水排放的，如其排放水质满足受纳水体水环境质量标准要求的，评价等级为三级A。</w:t>
            </w:r>
          </w:p>
          <w:p w14:paraId="4E446DC7">
            <w:pPr>
              <w:spacing w:line="240" w:lineRule="auto"/>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注9：依托现有排放口，且对外环境未新增排放污染物的直接排放建设项目，评价等级参照间接排放，定为三级B。</w:t>
            </w:r>
          </w:p>
          <w:p w14:paraId="4EBC1C23">
            <w:pPr>
              <w:spacing w:line="240" w:lineRule="auto"/>
              <w:rPr>
                <w:rFonts w:ascii="Times New Roman" w:hAnsi="Times New Roman" w:eastAsia="宋体" w:cs="Times New Roman"/>
                <w:color w:val="000000" w:themeColor="text1"/>
                <w:sz w:val="21"/>
                <w:highlight w:val="none"/>
                <w14:textFill>
                  <w14:solidFill>
                    <w14:schemeClr w14:val="tx1"/>
                  </w14:solidFill>
                </w14:textFill>
              </w:rPr>
            </w:pPr>
            <w:r>
              <w:rPr>
                <w:rFonts w:ascii="Times New Roman" w:hAnsi="Times New Roman" w:eastAsia="宋体" w:cs="Times New Roman"/>
                <w:color w:val="000000" w:themeColor="text1"/>
                <w:sz w:val="21"/>
                <w:highlight w:val="none"/>
                <w14:textFill>
                  <w14:solidFill>
                    <w14:schemeClr w14:val="tx1"/>
                  </w14:solidFill>
                </w14:textFill>
              </w:rPr>
              <w:t>注10：建设项目生产工艺中有废水产生，但作为回水利用，不排放到外环境的，按三级B评价。</w:t>
            </w:r>
          </w:p>
        </w:tc>
      </w:tr>
    </w:tbl>
    <w:p w14:paraId="3BA5E63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p>
    <w:p w14:paraId="52B2BD9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本项目污水处理规模为15000m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/d，且水污染物最大当量数为273750（COD），同时评价范围穿越磴口县补隆淖尔镇饮用水水源地一级保护区，对照评价等级判定表，地表水评价等级确定为二级评价。</w:t>
      </w:r>
    </w:p>
    <w:p w14:paraId="12010F6E">
      <w:pPr>
        <w:pStyle w:val="3"/>
        <w:bidi w:val="0"/>
        <w:rPr>
          <w:rFonts w:hint="eastAsia"/>
          <w:color w:val="000000" w:themeColor="text1"/>
          <w:highlight w:val="none"/>
          <w:lang w:val="en-US" w:eastAsia="zh-CN"/>
          <w14:textFill>
            <w14:solidFill>
              <w14:schemeClr w14:val="tx1"/>
            </w14:solidFill>
          </w14:textFill>
        </w:rPr>
      </w:pPr>
      <w:bookmarkStart w:id="95" w:name="_Toc16028"/>
      <w:r>
        <w:rPr>
          <w:rFonts w:hint="eastAsia"/>
          <w:color w:val="000000" w:themeColor="text1"/>
          <w:highlight w:val="none"/>
          <w:lang w:val="en-US" w:eastAsia="zh-CN"/>
          <w14:textFill>
            <w14:solidFill>
              <w14:schemeClr w14:val="tx1"/>
            </w14:solidFill>
          </w14:textFill>
        </w:rPr>
        <w:t>3.2评价范围</w:t>
      </w:r>
      <w:bookmarkEnd w:id="95"/>
    </w:p>
    <w:p w14:paraId="1F874DB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根据《环境影响评价技术导则 地表水环境》（HJ2.3-2018）5.3.2.1条要求，结合项目排污路径、受纳水体特征及水环境管理需求，本次地表水环境影响评价范围确定如下：</w:t>
      </w:r>
    </w:p>
    <w:p w14:paraId="6BB39DA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尾水经人工湿地净化达标后，先通过厂区排污口接入DN500mm玻璃钢管（总长2.5km）输送至污水处理厂东北侧2.5km处的现有入河排污口（编码：DA-150822-0001-SH-00），再经约565m明渠排入二排干，最终随二排干汇入总排干，进而纳入乌梁素海。鉴于二排干未划定明确水功能区，为全面覆盖污染影响所及水域，同时充分考虑评价范围内第三方取用水户权益，本次评价范围确定为“入河排污口至二排干磴口与杭后交界处”的完整河段，全长28.61km。</w:t>
      </w:r>
    </w:p>
    <w:p w14:paraId="681382B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评价范围内除穿越磴口县补隆淖尔镇饮用水水源地一级保护区，无饮用水取水口，涉水的自然保护区、风景名胜区，重要湿地、重点保护与珍稀水生生物的栖息地、重要水生生物的自然产卵场及索饵场、越冬场和洄游通道，天然渔场等渔业水体，以及水产种质资源保护区等。位置关系见图3.2-1。</w:t>
      </w:r>
    </w:p>
    <w:p w14:paraId="7DCDD654">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drawing>
          <wp:inline distT="0" distB="0" distL="114300" distR="114300">
            <wp:extent cx="5268595" cy="3728720"/>
            <wp:effectExtent l="0" t="0" r="8255" b="5080"/>
            <wp:docPr id="103" name="图片 103" descr="项目与人工湿地位置关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项目与人工湿地位置关系"/>
                    <pic:cNvPicPr>
                      <a:picLocks noChangeAspect="1"/>
                    </pic:cNvPicPr>
                  </pic:nvPicPr>
                  <pic:blipFill>
                    <a:blip r:embed="rId44"/>
                    <a:stretch>
                      <a:fillRect/>
                    </a:stretch>
                  </pic:blipFill>
                  <pic:spPr>
                    <a:xfrm>
                      <a:off x="0" y="0"/>
                      <a:ext cx="5268595" cy="3728720"/>
                    </a:xfrm>
                    <a:prstGeom prst="rect">
                      <a:avLst/>
                    </a:prstGeom>
                  </pic:spPr>
                </pic:pic>
              </a:graphicData>
            </a:graphic>
          </wp:inline>
        </w:drawing>
      </w:r>
    </w:p>
    <w:p w14:paraId="53222879">
      <w:pPr>
        <w:pStyle w:val="19"/>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图3.2-1  项目与人工湿地位置关系</w:t>
      </w:r>
    </w:p>
    <w:p w14:paraId="5694534E">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drawing>
          <wp:inline distT="0" distB="0" distL="114300" distR="114300">
            <wp:extent cx="5271770" cy="7449185"/>
            <wp:effectExtent l="0" t="0" r="5080" b="18415"/>
            <wp:docPr id="104" name="图片 104" descr="地表水评价范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地表水评价范围"/>
                    <pic:cNvPicPr>
                      <a:picLocks noChangeAspect="1"/>
                    </pic:cNvPicPr>
                  </pic:nvPicPr>
                  <pic:blipFill>
                    <a:blip r:embed="rId45"/>
                    <a:stretch>
                      <a:fillRect/>
                    </a:stretch>
                  </pic:blipFill>
                  <pic:spPr>
                    <a:xfrm>
                      <a:off x="0" y="0"/>
                      <a:ext cx="5271770" cy="7449185"/>
                    </a:xfrm>
                    <a:prstGeom prst="rect">
                      <a:avLst/>
                    </a:prstGeom>
                  </pic:spPr>
                </pic:pic>
              </a:graphicData>
            </a:graphic>
          </wp:inline>
        </w:drawing>
      </w:r>
    </w:p>
    <w:p w14:paraId="2EAA28BC">
      <w:pPr>
        <w:pStyle w:val="19"/>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图3.2-2  地表水评级范围及保护目标图</w:t>
      </w:r>
    </w:p>
    <w:p w14:paraId="5914B453">
      <w:pPr>
        <w:pStyle w:val="3"/>
        <w:bidi w:val="0"/>
        <w:rPr>
          <w:rFonts w:hint="eastAsia"/>
          <w:color w:val="000000" w:themeColor="text1"/>
          <w:highlight w:val="none"/>
          <w:lang w:val="en-US" w:eastAsia="zh-CN"/>
          <w14:textFill>
            <w14:solidFill>
              <w14:schemeClr w14:val="tx1"/>
            </w14:solidFill>
          </w14:textFill>
        </w:rPr>
      </w:pPr>
      <w:bookmarkStart w:id="96" w:name="_Toc2141"/>
      <w:r>
        <w:rPr>
          <w:rFonts w:hint="eastAsia"/>
          <w:color w:val="000000" w:themeColor="text1"/>
          <w:highlight w:val="none"/>
          <w:lang w:val="en-US" w:eastAsia="zh-CN"/>
          <w14:textFill>
            <w14:solidFill>
              <w14:schemeClr w14:val="tx1"/>
            </w14:solidFill>
          </w14:textFill>
        </w:rPr>
        <w:t>3.3地表水评价时段</w:t>
      </w:r>
      <w:bookmarkEnd w:id="96"/>
    </w:p>
    <w:p w14:paraId="1EF75E2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根据《环境影响评价技术导则 地表水环境》（HJ2.3-2018），二级评价的评价时段为丰水期和枯水期，至少枯水期，因此本次地表水评价时段为枯水期。</w:t>
      </w:r>
    </w:p>
    <w:p w14:paraId="059A9E2D">
      <w:pPr>
        <w:pStyle w:val="3"/>
        <w:bidi w:val="0"/>
        <w:rPr>
          <w:rFonts w:hint="eastAsia"/>
          <w:color w:val="000000" w:themeColor="text1"/>
          <w:highlight w:val="none"/>
          <w:lang w:val="en-US" w:eastAsia="zh-CN"/>
          <w14:textFill>
            <w14:solidFill>
              <w14:schemeClr w14:val="tx1"/>
            </w14:solidFill>
          </w14:textFill>
        </w:rPr>
      </w:pPr>
      <w:bookmarkStart w:id="97" w:name="_Toc9584"/>
      <w:r>
        <w:rPr>
          <w:rFonts w:hint="eastAsia"/>
          <w:color w:val="000000" w:themeColor="text1"/>
          <w:highlight w:val="none"/>
          <w:lang w:val="en-US" w:eastAsia="zh-CN"/>
          <w14:textFill>
            <w14:solidFill>
              <w14:schemeClr w14:val="tx1"/>
            </w14:solidFill>
          </w14:textFill>
        </w:rPr>
        <w:t>3.4地表水环境保护目标</w:t>
      </w:r>
      <w:bookmarkEnd w:id="97"/>
    </w:p>
    <w:p w14:paraId="2D994A1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地表水环境保护目标见下表。</w:t>
      </w:r>
    </w:p>
    <w:p w14:paraId="02751737">
      <w:pPr>
        <w:widowControl w:val="0"/>
        <w:autoSpaceDE w:val="0"/>
        <w:autoSpaceDN w:val="0"/>
        <w:bidi w:val="0"/>
        <w:adjustRightInd w:val="0"/>
        <w:snapToGrid w:val="0"/>
        <w:spacing w:before="50" w:beforeLines="50" w:line="360" w:lineRule="auto"/>
        <w:ind w:firstLine="0" w:firstLineChars="0"/>
        <w:jc w:val="center"/>
        <w:rPr>
          <w:rFonts w:hint="eastAsia" w:ascii="Times New Roman" w:hAnsi="Times New Roman" w:eastAsia="宋体" w:cs="Times New Roman"/>
          <w:b/>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color w:val="000000" w:themeColor="text1"/>
          <w:kern w:val="0"/>
          <w:sz w:val="21"/>
          <w:szCs w:val="21"/>
          <w:highlight w:val="none"/>
          <w:lang w:val="en-US" w:eastAsia="zh-CN" w:bidi="ar-SA"/>
          <w14:textFill>
            <w14:solidFill>
              <w14:schemeClr w14:val="tx1"/>
            </w14:solidFill>
          </w14:textFill>
        </w:rPr>
        <w:t>表3.4-1  地表水环境保护目标</w:t>
      </w:r>
    </w:p>
    <w:tbl>
      <w:tblPr>
        <w:tblStyle w:val="13"/>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4"/>
        <w:gridCol w:w="811"/>
        <w:gridCol w:w="1488"/>
        <w:gridCol w:w="919"/>
        <w:gridCol w:w="706"/>
        <w:gridCol w:w="987"/>
        <w:gridCol w:w="763"/>
        <w:gridCol w:w="587"/>
        <w:gridCol w:w="1843"/>
      </w:tblGrid>
      <w:tr w14:paraId="7979C8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8" w:type="pct"/>
            <w:vMerge w:val="restart"/>
            <w:tcBorders>
              <w:tl2br w:val="nil"/>
              <w:tr2bl w:val="nil"/>
            </w:tcBorders>
            <w:noWrap w:val="0"/>
            <w:vAlign w:val="center"/>
          </w:tcPr>
          <w:p w14:paraId="0A7445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t>环境要素</w:t>
            </w:r>
          </w:p>
        </w:tc>
        <w:tc>
          <w:tcPr>
            <w:tcW w:w="475" w:type="pct"/>
            <w:vMerge w:val="restart"/>
            <w:tcBorders>
              <w:tl2br w:val="nil"/>
              <w:tr2bl w:val="nil"/>
            </w:tcBorders>
            <w:noWrap w:val="0"/>
            <w:vAlign w:val="center"/>
          </w:tcPr>
          <w:p w14:paraId="1E900C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vertAlign w:val="baseline"/>
                <w:lang w:val="en-US" w:eastAsia="zh-CN"/>
                <w14:textFill>
                  <w14:solidFill>
                    <w14:schemeClr w14:val="tx1"/>
                  </w14:solidFill>
                </w14:textFill>
              </w:rPr>
              <w:t>水环境保护目标</w:t>
            </w:r>
          </w:p>
        </w:tc>
        <w:tc>
          <w:tcPr>
            <w:tcW w:w="872" w:type="pct"/>
            <w:vMerge w:val="restart"/>
            <w:tcBorders>
              <w:tl2br w:val="nil"/>
              <w:tr2bl w:val="nil"/>
            </w:tcBorders>
            <w:noWrap w:val="0"/>
            <w:vAlign w:val="center"/>
          </w:tcPr>
          <w:p w14:paraId="6817AA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vertAlign w:val="baseline"/>
                <w:lang w:val="en-US" w:eastAsia="zh-CN"/>
                <w14:textFill>
                  <w14:solidFill>
                    <w14:schemeClr w14:val="tx1"/>
                  </w14:solidFill>
                </w14:textFill>
              </w:rPr>
              <w:t>坐标</w:t>
            </w:r>
          </w:p>
        </w:tc>
        <w:tc>
          <w:tcPr>
            <w:tcW w:w="952" w:type="pct"/>
            <w:gridSpan w:val="2"/>
            <w:tcBorders>
              <w:tl2br w:val="nil"/>
              <w:tr2bl w:val="nil"/>
            </w:tcBorders>
            <w:noWrap w:val="0"/>
            <w:vAlign w:val="center"/>
          </w:tcPr>
          <w:p w14:paraId="281C095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vertAlign w:val="baseline"/>
                <w:lang w:val="en-US" w:eastAsia="zh-CN"/>
                <w14:textFill>
                  <w14:solidFill>
                    <w14:schemeClr w14:val="tx1"/>
                  </w14:solidFill>
                </w14:textFill>
              </w:rPr>
              <w:t>与建设项目</w:t>
            </w:r>
          </w:p>
        </w:tc>
        <w:tc>
          <w:tcPr>
            <w:tcW w:w="1026" w:type="pct"/>
            <w:gridSpan w:val="2"/>
            <w:tcBorders>
              <w:tl2br w:val="nil"/>
              <w:tr2bl w:val="nil"/>
            </w:tcBorders>
            <w:noWrap w:val="0"/>
            <w:vAlign w:val="center"/>
          </w:tcPr>
          <w:p w14:paraId="34901D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vertAlign w:val="baseline"/>
                <w:lang w:val="en-US" w:eastAsia="zh-CN"/>
                <w14:textFill>
                  <w14:solidFill>
                    <w14:schemeClr w14:val="tx1"/>
                  </w14:solidFill>
                </w14:textFill>
              </w:rPr>
              <w:t>与排污口</w:t>
            </w:r>
          </w:p>
        </w:tc>
        <w:tc>
          <w:tcPr>
            <w:tcW w:w="344" w:type="pct"/>
            <w:vMerge w:val="restart"/>
            <w:tcBorders>
              <w:tl2br w:val="nil"/>
              <w:tr2bl w:val="nil"/>
            </w:tcBorders>
            <w:noWrap w:val="0"/>
            <w:vAlign w:val="center"/>
          </w:tcPr>
          <w:p w14:paraId="37315C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t>环境特征</w:t>
            </w:r>
          </w:p>
        </w:tc>
        <w:tc>
          <w:tcPr>
            <w:tcW w:w="1080" w:type="pct"/>
            <w:vMerge w:val="restart"/>
            <w:tcBorders>
              <w:tl2br w:val="nil"/>
              <w:tr2bl w:val="nil"/>
            </w:tcBorders>
            <w:noWrap w:val="0"/>
            <w:vAlign w:val="center"/>
          </w:tcPr>
          <w:p w14:paraId="22AFC9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t>执行标准</w:t>
            </w:r>
          </w:p>
        </w:tc>
      </w:tr>
      <w:tr w14:paraId="344AD5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8" w:type="pct"/>
            <w:vMerge w:val="continue"/>
            <w:tcBorders>
              <w:tl2br w:val="nil"/>
              <w:tr2bl w:val="nil"/>
            </w:tcBorders>
            <w:noWrap w:val="0"/>
            <w:vAlign w:val="center"/>
          </w:tcPr>
          <w:p w14:paraId="7683FE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p>
        </w:tc>
        <w:tc>
          <w:tcPr>
            <w:tcW w:w="475" w:type="pct"/>
            <w:vMerge w:val="continue"/>
            <w:tcBorders>
              <w:tl2br w:val="nil"/>
              <w:tr2bl w:val="nil"/>
            </w:tcBorders>
            <w:noWrap w:val="0"/>
            <w:vAlign w:val="center"/>
          </w:tcPr>
          <w:p w14:paraId="0529DF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18"/>
                <w:szCs w:val="18"/>
                <w:highlight w:val="none"/>
                <w:vertAlign w:val="baseline"/>
                <w:lang w:val="en-US" w:eastAsia="zh-CN"/>
                <w14:textFill>
                  <w14:solidFill>
                    <w14:schemeClr w14:val="tx1"/>
                  </w14:solidFill>
                </w14:textFill>
              </w:rPr>
            </w:pPr>
          </w:p>
        </w:tc>
        <w:tc>
          <w:tcPr>
            <w:tcW w:w="872" w:type="pct"/>
            <w:vMerge w:val="continue"/>
            <w:tcBorders>
              <w:tl2br w:val="nil"/>
              <w:tr2bl w:val="nil"/>
            </w:tcBorders>
            <w:noWrap w:val="0"/>
            <w:vAlign w:val="center"/>
          </w:tcPr>
          <w:p w14:paraId="6B2A4A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18"/>
                <w:szCs w:val="18"/>
                <w:highlight w:val="none"/>
                <w:vertAlign w:val="baseline"/>
                <w:lang w:val="en-US" w:eastAsia="zh-CN"/>
                <w14:textFill>
                  <w14:solidFill>
                    <w14:schemeClr w14:val="tx1"/>
                  </w14:solidFill>
                </w14:textFill>
              </w:rPr>
            </w:pPr>
          </w:p>
        </w:tc>
        <w:tc>
          <w:tcPr>
            <w:tcW w:w="538" w:type="pct"/>
            <w:tcBorders>
              <w:tl2br w:val="nil"/>
              <w:tr2bl w:val="nil"/>
            </w:tcBorders>
            <w:noWrap w:val="0"/>
            <w:vAlign w:val="center"/>
          </w:tcPr>
          <w:p w14:paraId="45A629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t>相对位置（km）</w:t>
            </w:r>
          </w:p>
        </w:tc>
        <w:tc>
          <w:tcPr>
            <w:tcW w:w="413" w:type="pct"/>
            <w:tcBorders>
              <w:tl2br w:val="nil"/>
              <w:tr2bl w:val="nil"/>
            </w:tcBorders>
            <w:noWrap w:val="0"/>
            <w:vAlign w:val="center"/>
          </w:tcPr>
          <w:p w14:paraId="384804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vertAlign w:val="baseline"/>
                <w:lang w:val="en-US" w:eastAsia="zh-CN"/>
                <w14:textFill>
                  <w14:solidFill>
                    <w14:schemeClr w14:val="tx1"/>
                  </w14:solidFill>
                </w14:textFill>
              </w:rPr>
              <w:t>高差（m）</w:t>
            </w:r>
          </w:p>
        </w:tc>
        <w:tc>
          <w:tcPr>
            <w:tcW w:w="578" w:type="pct"/>
            <w:tcBorders>
              <w:tl2br w:val="nil"/>
              <w:tr2bl w:val="nil"/>
            </w:tcBorders>
            <w:noWrap w:val="0"/>
            <w:vAlign w:val="center"/>
          </w:tcPr>
          <w:p w14:paraId="19234E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vertAlign w:val="baseline"/>
                <w:lang w:val="en-US" w:eastAsia="zh-CN"/>
                <w14:textFill>
                  <w14:solidFill>
                    <w14:schemeClr w14:val="tx1"/>
                  </w14:solidFill>
                </w14:textFill>
              </w:rPr>
              <w:t>相对位置（km</w:t>
            </w:r>
            <w:r>
              <w:rPr>
                <w:rFonts w:hint="eastAsia" w:cs="Times New Roman"/>
                <w:color w:val="000000" w:themeColor="text1"/>
                <w:sz w:val="18"/>
                <w:szCs w:val="18"/>
                <w:highlight w:val="none"/>
                <w:vertAlign w:val="baseline"/>
                <w:lang w:val="en-US" w:eastAsia="zh-CN"/>
                <w14:textFill>
                  <w14:solidFill>
                    <w14:schemeClr w14:val="tx1"/>
                  </w14:solidFill>
                </w14:textFill>
              </w:rPr>
              <w:t>）</w:t>
            </w:r>
          </w:p>
        </w:tc>
        <w:tc>
          <w:tcPr>
            <w:tcW w:w="447" w:type="pct"/>
            <w:tcBorders>
              <w:tl2br w:val="nil"/>
              <w:tr2bl w:val="nil"/>
            </w:tcBorders>
            <w:noWrap w:val="0"/>
            <w:vAlign w:val="center"/>
          </w:tcPr>
          <w:p w14:paraId="7BC4E05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18"/>
                <w:szCs w:val="18"/>
                <w:highlight w:val="none"/>
                <w:vertAlign w:val="baseline"/>
                <w:lang w:val="en-US" w:eastAsia="zh-CN"/>
                <w14:textFill>
                  <w14:solidFill>
                    <w14:schemeClr w14:val="tx1"/>
                  </w14:solidFill>
                </w14:textFill>
              </w:rPr>
              <w:t>高差（m）</w:t>
            </w:r>
          </w:p>
        </w:tc>
        <w:tc>
          <w:tcPr>
            <w:tcW w:w="344" w:type="pct"/>
            <w:vMerge w:val="continue"/>
            <w:tcBorders>
              <w:tl2br w:val="nil"/>
              <w:tr2bl w:val="nil"/>
            </w:tcBorders>
            <w:noWrap w:val="0"/>
            <w:vAlign w:val="center"/>
          </w:tcPr>
          <w:p w14:paraId="0702DE9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p>
        </w:tc>
        <w:tc>
          <w:tcPr>
            <w:tcW w:w="1080" w:type="pct"/>
            <w:vMerge w:val="continue"/>
            <w:tcBorders>
              <w:tl2br w:val="nil"/>
              <w:tr2bl w:val="nil"/>
            </w:tcBorders>
            <w:noWrap w:val="0"/>
            <w:vAlign w:val="center"/>
          </w:tcPr>
          <w:p w14:paraId="1CB17EB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p>
        </w:tc>
      </w:tr>
      <w:tr w14:paraId="1F48EF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8" w:type="pct"/>
            <w:vMerge w:val="restart"/>
            <w:tcBorders>
              <w:tl2br w:val="nil"/>
              <w:tr2bl w:val="nil"/>
            </w:tcBorders>
            <w:noWrap w:val="0"/>
            <w:vAlign w:val="center"/>
          </w:tcPr>
          <w:p w14:paraId="5A4F79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地表水环境</w:t>
            </w:r>
          </w:p>
        </w:tc>
        <w:tc>
          <w:tcPr>
            <w:tcW w:w="475" w:type="pct"/>
            <w:tcBorders>
              <w:tl2br w:val="nil"/>
              <w:tr2bl w:val="nil"/>
            </w:tcBorders>
            <w:noWrap w:val="0"/>
            <w:vAlign w:val="center"/>
          </w:tcPr>
          <w:p w14:paraId="4762FE8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00" w:themeColor="text1"/>
                <w:kern w:val="2"/>
                <w:sz w:val="18"/>
                <w:szCs w:val="18"/>
                <w:highlight w:val="none"/>
                <w:u w:val="none"/>
                <w:lang w:val="en-US" w:eastAsia="zh-CN" w:bidi="ar-SA"/>
                <w14:textFill>
                  <w14:solidFill>
                    <w14:schemeClr w14:val="tx1"/>
                  </w14:solidFill>
                </w14:textFill>
              </w:rPr>
            </w:pP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二排干</w:t>
            </w:r>
          </w:p>
        </w:tc>
        <w:tc>
          <w:tcPr>
            <w:tcW w:w="872" w:type="pct"/>
            <w:tcBorders>
              <w:tl2br w:val="nil"/>
              <w:tr2bl w:val="nil"/>
            </w:tcBorders>
            <w:noWrap w:val="0"/>
            <w:vAlign w:val="center"/>
          </w:tcPr>
          <w:p w14:paraId="771DBD9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E</w:t>
            </w:r>
            <w:r>
              <w:rPr>
                <w:rFonts w:hint="default" w:ascii="Times New Roman" w:hAnsi="Times New Roman" w:cs="Times New Roman"/>
                <w:i w:val="0"/>
                <w:iCs w:val="0"/>
                <w:color w:val="000000" w:themeColor="text1"/>
                <w:kern w:val="0"/>
                <w:sz w:val="18"/>
                <w:szCs w:val="18"/>
                <w:highlight w:val="none"/>
                <w:u w:val="none"/>
                <w:lang w:val="en-US" w:eastAsia="zh-CN" w:bidi="ar"/>
                <w14:textFill>
                  <w14:solidFill>
                    <w14:schemeClr w14:val="tx1"/>
                  </w14:solidFill>
                </w14:textFill>
              </w:rPr>
              <w:t>107°05′12.58″</w:t>
            </w: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，N</w:t>
            </w:r>
            <w:r>
              <w:rPr>
                <w:rFonts w:hint="default" w:ascii="Times New Roman" w:hAnsi="Times New Roman" w:cs="Times New Roman"/>
                <w:i w:val="0"/>
                <w:iCs w:val="0"/>
                <w:color w:val="000000" w:themeColor="text1"/>
                <w:kern w:val="0"/>
                <w:sz w:val="18"/>
                <w:szCs w:val="18"/>
                <w:highlight w:val="none"/>
                <w:u w:val="none"/>
                <w:lang w:val="en-US" w:eastAsia="zh-CN" w:bidi="ar"/>
                <w14:textFill>
                  <w14:solidFill>
                    <w14:schemeClr w14:val="tx1"/>
                  </w14:solidFill>
                </w14:textFill>
              </w:rPr>
              <w:t>40°30′3.16″</w:t>
            </w:r>
          </w:p>
        </w:tc>
        <w:tc>
          <w:tcPr>
            <w:tcW w:w="538" w:type="pct"/>
            <w:tcBorders>
              <w:tl2br w:val="nil"/>
              <w:tr2bl w:val="nil"/>
            </w:tcBorders>
            <w:noWrap w:val="0"/>
            <w:vAlign w:val="center"/>
          </w:tcPr>
          <w:p w14:paraId="7D08071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00" w:themeColor="text1"/>
                <w:kern w:val="2"/>
                <w:sz w:val="18"/>
                <w:szCs w:val="18"/>
                <w:highlight w:val="none"/>
                <w:u w:val="none"/>
                <w:lang w:val="en-US" w:eastAsia="zh-CN" w:bidi="ar-SA"/>
                <w14:textFill>
                  <w14:solidFill>
                    <w14:schemeClr w14:val="tx1"/>
                  </w14:solidFill>
                </w14:textFill>
              </w:rPr>
            </w:pP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E</w:t>
            </w:r>
            <w:r>
              <w:rPr>
                <w:rFonts w:hint="default" w:ascii="Times New Roman" w:hAnsi="Times New Roman" w:cs="Times New Roman"/>
                <w:i w:val="0"/>
                <w:iCs w:val="0"/>
                <w:color w:val="000000" w:themeColor="text1"/>
                <w:kern w:val="0"/>
                <w:sz w:val="18"/>
                <w:szCs w:val="18"/>
                <w:highlight w:val="none"/>
                <w:u w:val="none"/>
                <w:lang w:val="en-US" w:eastAsia="zh-CN" w:bidi="ar"/>
                <w14:textFill>
                  <w14:solidFill>
                    <w14:schemeClr w14:val="tx1"/>
                  </w14:solidFill>
                </w14:textFill>
              </w:rPr>
              <w:t>/</w:t>
            </w: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3.07</w:t>
            </w:r>
          </w:p>
        </w:tc>
        <w:tc>
          <w:tcPr>
            <w:tcW w:w="413" w:type="pct"/>
            <w:tcBorders>
              <w:tl2br w:val="nil"/>
              <w:tr2bl w:val="nil"/>
            </w:tcBorders>
            <w:noWrap w:val="0"/>
            <w:vAlign w:val="center"/>
          </w:tcPr>
          <w:p w14:paraId="7599C4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1</w:t>
            </w:r>
          </w:p>
        </w:tc>
        <w:tc>
          <w:tcPr>
            <w:tcW w:w="578" w:type="pct"/>
            <w:tcBorders>
              <w:tl2br w:val="nil"/>
              <w:tr2bl w:val="nil"/>
            </w:tcBorders>
            <w:noWrap w:val="0"/>
            <w:vAlign w:val="center"/>
          </w:tcPr>
          <w:p w14:paraId="51633C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E</w:t>
            </w:r>
            <w:r>
              <w:rPr>
                <w:rFonts w:hint="default" w:ascii="Times New Roman" w:hAnsi="Times New Roman" w:cs="Times New Roman"/>
                <w:color w:val="000000" w:themeColor="text1"/>
                <w:sz w:val="18"/>
                <w:szCs w:val="18"/>
                <w:highlight w:val="none"/>
                <w:vertAlign w:val="baseline"/>
                <w:lang w:val="en-US" w:eastAsia="zh-CN"/>
                <w14:textFill>
                  <w14:solidFill>
                    <w14:schemeClr w14:val="tx1"/>
                  </w14:solidFill>
                </w14:textFill>
              </w:rPr>
              <w:t>/</w:t>
            </w:r>
            <w:r>
              <w:rPr>
                <w:rFonts w:hint="eastAsia" w:cs="Times New Roman"/>
                <w:color w:val="000000" w:themeColor="text1"/>
                <w:sz w:val="18"/>
                <w:szCs w:val="18"/>
                <w:highlight w:val="none"/>
                <w:vertAlign w:val="baseline"/>
                <w:lang w:val="en-US" w:eastAsia="zh-CN"/>
                <w14:textFill>
                  <w14:solidFill>
                    <w14:schemeClr w14:val="tx1"/>
                  </w14:solidFill>
                </w14:textFill>
              </w:rPr>
              <w:t>0.57</w:t>
            </w:r>
          </w:p>
        </w:tc>
        <w:tc>
          <w:tcPr>
            <w:tcW w:w="447" w:type="pct"/>
            <w:tcBorders>
              <w:tl2br w:val="nil"/>
              <w:tr2bl w:val="nil"/>
            </w:tcBorders>
            <w:noWrap w:val="0"/>
            <w:vAlign w:val="center"/>
          </w:tcPr>
          <w:p w14:paraId="03F3B2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-2.67</w:t>
            </w:r>
          </w:p>
        </w:tc>
        <w:tc>
          <w:tcPr>
            <w:tcW w:w="344" w:type="pct"/>
            <w:tcBorders>
              <w:tl2br w:val="nil"/>
              <w:tr2bl w:val="nil"/>
            </w:tcBorders>
            <w:noWrap w:val="0"/>
            <w:vAlign w:val="center"/>
          </w:tcPr>
          <w:p w14:paraId="43A405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人工渠道</w:t>
            </w:r>
          </w:p>
        </w:tc>
        <w:tc>
          <w:tcPr>
            <w:tcW w:w="1080" w:type="pct"/>
            <w:tcBorders>
              <w:tl2br w:val="nil"/>
              <w:tr2bl w:val="nil"/>
            </w:tcBorders>
            <w:noWrap w:val="0"/>
            <w:vAlign w:val="center"/>
          </w:tcPr>
          <w:p w14:paraId="4A69DB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《地表水环境质量标准》（GB3838-2002）中的</w:t>
            </w: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V</w:t>
            </w: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类水质标准</w:t>
            </w:r>
          </w:p>
        </w:tc>
      </w:tr>
      <w:tr w14:paraId="7C6091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8" w:type="pct"/>
            <w:vMerge w:val="continue"/>
            <w:tcBorders>
              <w:tl2br w:val="nil"/>
              <w:tr2bl w:val="nil"/>
            </w:tcBorders>
            <w:noWrap w:val="0"/>
            <w:vAlign w:val="center"/>
          </w:tcPr>
          <w:p w14:paraId="71C297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p>
        </w:tc>
        <w:tc>
          <w:tcPr>
            <w:tcW w:w="475" w:type="pct"/>
            <w:tcBorders>
              <w:tl2br w:val="nil"/>
              <w:tr2bl w:val="nil"/>
            </w:tcBorders>
            <w:noWrap w:val="0"/>
            <w:vAlign w:val="center"/>
          </w:tcPr>
          <w:p w14:paraId="5E7BB05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00" w:themeColor="text1"/>
                <w:kern w:val="2"/>
                <w:sz w:val="18"/>
                <w:szCs w:val="18"/>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2"/>
                <w:sz w:val="18"/>
                <w:szCs w:val="18"/>
                <w:highlight w:val="none"/>
                <w:u w:val="none"/>
                <w:lang w:val="en-US" w:eastAsia="zh-CN" w:bidi="ar-SA"/>
                <w14:textFill>
                  <w14:solidFill>
                    <w14:schemeClr w14:val="tx1"/>
                  </w14:solidFill>
                </w14:textFill>
              </w:rPr>
              <w:t>磴口县补隆淖尔镇饮用水水源地</w:t>
            </w:r>
          </w:p>
        </w:tc>
        <w:tc>
          <w:tcPr>
            <w:tcW w:w="872" w:type="pct"/>
            <w:tcBorders>
              <w:tl2br w:val="nil"/>
              <w:tr2bl w:val="nil"/>
            </w:tcBorders>
            <w:noWrap w:val="0"/>
            <w:vAlign w:val="center"/>
          </w:tcPr>
          <w:p w14:paraId="75BD3AC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E</w:t>
            </w: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 xml:space="preserve">107°05′9.49″, </w:t>
            </w:r>
            <w:r>
              <w:rPr>
                <w:rFonts w:hint="eastAsia" w:cs="Times New Roman"/>
                <w:i w:val="0"/>
                <w:iCs w:val="0"/>
                <w:color w:val="000000" w:themeColor="text1"/>
                <w:kern w:val="0"/>
                <w:sz w:val="18"/>
                <w:szCs w:val="18"/>
                <w:highlight w:val="none"/>
                <w:u w:val="none"/>
                <w:lang w:val="en-US" w:eastAsia="zh-CN" w:bidi="ar"/>
                <w14:textFill>
                  <w14:solidFill>
                    <w14:schemeClr w14:val="tx1"/>
                  </w14:solidFill>
                </w14:textFill>
              </w:rPr>
              <w:t>N</w:t>
            </w:r>
            <w:r>
              <w:rPr>
                <w:rFonts w:hint="default" w:ascii="Times New Roman" w:hAnsi="Times New Roman" w:eastAsia="宋体" w:cs="Times New Roman"/>
                <w:i w:val="0"/>
                <w:iCs w:val="0"/>
                <w:color w:val="000000" w:themeColor="text1"/>
                <w:kern w:val="0"/>
                <w:sz w:val="18"/>
                <w:szCs w:val="18"/>
                <w:highlight w:val="none"/>
                <w:u w:val="none"/>
                <w:lang w:val="en-US" w:eastAsia="zh-CN" w:bidi="ar"/>
                <w14:textFill>
                  <w14:solidFill>
                    <w14:schemeClr w14:val="tx1"/>
                  </w14:solidFill>
                </w14:textFill>
              </w:rPr>
              <w:t>40°31′19.21″</w:t>
            </w:r>
          </w:p>
        </w:tc>
        <w:tc>
          <w:tcPr>
            <w:tcW w:w="538" w:type="pct"/>
            <w:tcBorders>
              <w:tl2br w:val="nil"/>
              <w:tr2bl w:val="nil"/>
            </w:tcBorders>
            <w:noWrap w:val="0"/>
            <w:vAlign w:val="center"/>
          </w:tcPr>
          <w:p w14:paraId="2B87F33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00" w:themeColor="text1"/>
                <w:kern w:val="2"/>
                <w:sz w:val="18"/>
                <w:szCs w:val="18"/>
                <w:highlight w:val="none"/>
                <w:u w:val="none"/>
                <w:lang w:val="en-US" w:eastAsia="zh-CN" w:bidi="ar-SA"/>
                <w14:textFill>
                  <w14:solidFill>
                    <w14:schemeClr w14:val="tx1"/>
                  </w14:solidFill>
                </w14:textFill>
              </w:rPr>
            </w:pPr>
            <w:r>
              <w:rPr>
                <w:rFonts w:hint="eastAsia" w:cs="Times New Roman"/>
                <w:i w:val="0"/>
                <w:iCs w:val="0"/>
                <w:color w:val="000000" w:themeColor="text1"/>
                <w:kern w:val="2"/>
                <w:sz w:val="18"/>
                <w:szCs w:val="18"/>
                <w:highlight w:val="none"/>
                <w:u w:val="none"/>
                <w:lang w:val="en-US" w:eastAsia="zh-CN" w:bidi="ar-SA"/>
                <w14:textFill>
                  <w14:solidFill>
                    <w14:schemeClr w14:val="tx1"/>
                  </w14:solidFill>
                </w14:textFill>
              </w:rPr>
              <w:t>EN/13.83</w:t>
            </w:r>
          </w:p>
        </w:tc>
        <w:tc>
          <w:tcPr>
            <w:tcW w:w="413" w:type="pct"/>
            <w:tcBorders>
              <w:tl2br w:val="nil"/>
              <w:tr2bl w:val="nil"/>
            </w:tcBorders>
            <w:noWrap w:val="0"/>
            <w:vAlign w:val="center"/>
          </w:tcPr>
          <w:p w14:paraId="682423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4.63</w:t>
            </w:r>
          </w:p>
        </w:tc>
        <w:tc>
          <w:tcPr>
            <w:tcW w:w="578" w:type="pct"/>
            <w:tcBorders>
              <w:tl2br w:val="nil"/>
              <w:tr2bl w:val="nil"/>
            </w:tcBorders>
            <w:noWrap w:val="0"/>
            <w:vAlign w:val="center"/>
          </w:tcPr>
          <w:p w14:paraId="5AB450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EN/12.18</w:t>
            </w:r>
          </w:p>
        </w:tc>
        <w:tc>
          <w:tcPr>
            <w:tcW w:w="447" w:type="pct"/>
            <w:tcBorders>
              <w:tl2br w:val="nil"/>
              <w:tr2bl w:val="nil"/>
            </w:tcBorders>
            <w:noWrap w:val="0"/>
            <w:vAlign w:val="center"/>
          </w:tcPr>
          <w:p w14:paraId="7F5F8B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-0.37</w:t>
            </w:r>
          </w:p>
        </w:tc>
        <w:tc>
          <w:tcPr>
            <w:tcW w:w="344" w:type="pct"/>
            <w:tcBorders>
              <w:tl2br w:val="nil"/>
              <w:tr2bl w:val="nil"/>
            </w:tcBorders>
            <w:noWrap w:val="0"/>
            <w:vAlign w:val="center"/>
          </w:tcPr>
          <w:p w14:paraId="1142C0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饮用水水源地</w:t>
            </w:r>
          </w:p>
        </w:tc>
        <w:tc>
          <w:tcPr>
            <w:tcW w:w="1080" w:type="pct"/>
            <w:tcBorders>
              <w:tl2br w:val="nil"/>
              <w:tr2bl w:val="nil"/>
            </w:tcBorders>
            <w:noWrap w:val="0"/>
            <w:vAlign w:val="center"/>
          </w:tcPr>
          <w:p w14:paraId="1B91AD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highlight w:val="none"/>
                <w:vertAlign w:val="baseline"/>
                <w:lang w:val="en-US" w:eastAsia="zh-CN"/>
                <w14:textFill>
                  <w14:solidFill>
                    <w14:schemeClr w14:val="tx1"/>
                  </w14:solidFill>
                </w14:textFill>
              </w:rPr>
            </w:pPr>
            <w:r>
              <w:rPr>
                <w:rFonts w:hint="eastAsia" w:cs="Times New Roman"/>
                <w:color w:val="000000" w:themeColor="text1"/>
                <w:sz w:val="18"/>
                <w:szCs w:val="18"/>
                <w:highlight w:val="none"/>
                <w:vertAlign w:val="baseline"/>
                <w:lang w:val="en-US" w:eastAsia="zh-CN"/>
                <w14:textFill>
                  <w14:solidFill>
                    <w14:schemeClr w14:val="tx1"/>
                  </w14:solidFill>
                </w14:textFill>
              </w:rPr>
              <w:t>《地下水环境质量标准》（GB14848-2017）Ⅲ类水质标准</w:t>
            </w:r>
          </w:p>
        </w:tc>
      </w:tr>
    </w:tbl>
    <w:p w14:paraId="603BE1B5">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lang w:val="en-US" w:eastAsia="zh-CN"/>
          <w14:textFill>
            <w14:solidFill>
              <w14:schemeClr w14:val="tx1"/>
            </w14:solidFill>
          </w14:textFill>
        </w:rPr>
        <w:t>注：</w:t>
      </w:r>
      <w:r>
        <w:rPr>
          <w:rFonts w:hint="default" w:ascii="Calibri" w:hAnsi="Calibri" w:eastAsia="宋体" w:cs="Calibri"/>
          <w:b/>
          <w:bCs/>
          <w:color w:val="000000" w:themeColor="text1"/>
          <w:sz w:val="21"/>
          <w:szCs w:val="21"/>
          <w:highlight w:val="none"/>
          <w:lang w:val="en-US" w:eastAsia="zh-CN"/>
          <w14:textFill>
            <w14:solidFill>
              <w14:schemeClr w14:val="tx1"/>
            </w14:solidFill>
          </w14:textFill>
        </w:rPr>
        <w:t>①</w:t>
      </w:r>
      <w:r>
        <w:rPr>
          <w:rFonts w:hint="eastAsia" w:ascii="Times New Roman" w:hAnsi="Times New Roman" w:eastAsia="宋体" w:cs="Times New Roman"/>
          <w:b/>
          <w:bCs/>
          <w:color w:val="000000" w:themeColor="text1"/>
          <w:sz w:val="21"/>
          <w:szCs w:val="21"/>
          <w:highlight w:val="none"/>
          <w:lang w:val="en-US" w:eastAsia="zh-CN"/>
          <w14:textFill>
            <w14:solidFill>
              <w14:schemeClr w14:val="tx1"/>
            </w14:solidFill>
          </w14:textFill>
        </w:rPr>
        <w:t>高差为建设项目或排污口与保护目标之差。</w:t>
      </w:r>
      <w:r>
        <w:rPr>
          <w:rFonts w:hint="default" w:ascii="Calibri" w:hAnsi="Calibri" w:eastAsia="宋体" w:cs="Calibri"/>
          <w:b/>
          <w:bCs/>
          <w:color w:val="000000" w:themeColor="text1"/>
          <w:sz w:val="21"/>
          <w:szCs w:val="21"/>
          <w:highlight w:val="none"/>
          <w:lang w:val="en-US" w:eastAsia="zh-CN"/>
          <w14:textFill>
            <w14:solidFill>
              <w14:schemeClr w14:val="tx1"/>
            </w14:solidFill>
          </w14:textFill>
        </w:rPr>
        <w:t>②</w:t>
      </w:r>
      <w:r>
        <w:rPr>
          <w:rFonts w:hint="eastAsia" w:ascii="Calibri" w:hAnsi="Calibri" w:eastAsia="宋体" w:cs="Calibri"/>
          <w:b/>
          <w:bCs/>
          <w:color w:val="000000" w:themeColor="text1"/>
          <w:sz w:val="21"/>
          <w:szCs w:val="21"/>
          <w:highlight w:val="none"/>
          <w:lang w:val="en-US" w:eastAsia="zh-CN"/>
          <w14:textFill>
            <w14:solidFill>
              <w14:schemeClr w14:val="tx1"/>
            </w14:solidFill>
          </w14:textFill>
        </w:rPr>
        <w:t>相对位置均为直线距离。</w:t>
      </w:r>
    </w:p>
    <w:p w14:paraId="0C963F9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p>
    <w:p w14:paraId="54A3A00E">
      <w:pPr>
        <w:pStyle w:val="2"/>
        <w:bidi w:val="0"/>
        <w:rPr>
          <w:rFonts w:hint="eastAsia"/>
          <w:color w:val="000000" w:themeColor="text1"/>
          <w:highlight w:val="none"/>
          <w:lang w:val="en-US" w:eastAsia="zh-CN"/>
          <w14:textFill>
            <w14:solidFill>
              <w14:schemeClr w14:val="tx1"/>
            </w14:solidFill>
          </w14:textFill>
        </w:rPr>
      </w:pPr>
      <w:bookmarkStart w:id="98" w:name="_Toc22821"/>
      <w:r>
        <w:rPr>
          <w:rFonts w:hint="eastAsia"/>
          <w:color w:val="000000" w:themeColor="text1"/>
          <w:highlight w:val="none"/>
          <w:lang w:val="en-US" w:eastAsia="zh-CN"/>
          <w14:textFill>
            <w14:solidFill>
              <w14:schemeClr w14:val="tx1"/>
            </w14:solidFill>
          </w14:textFill>
        </w:rPr>
        <w:t>4区域污染源调查及地表水环境质量现状</w:t>
      </w:r>
      <w:bookmarkEnd w:id="98"/>
    </w:p>
    <w:p w14:paraId="6FEFAF46">
      <w:pPr>
        <w:pStyle w:val="3"/>
        <w:bidi w:val="0"/>
        <w:rPr>
          <w:rFonts w:hint="eastAsia"/>
          <w:color w:val="000000" w:themeColor="text1"/>
          <w:highlight w:val="none"/>
          <w:lang w:val="en-US" w:eastAsia="zh-CN"/>
          <w14:textFill>
            <w14:solidFill>
              <w14:schemeClr w14:val="tx1"/>
            </w14:solidFill>
          </w14:textFill>
        </w:rPr>
      </w:pPr>
      <w:bookmarkStart w:id="99" w:name="_Toc28523"/>
      <w:r>
        <w:rPr>
          <w:rFonts w:hint="eastAsia"/>
          <w:color w:val="000000" w:themeColor="text1"/>
          <w:highlight w:val="none"/>
          <w:lang w:val="en-US" w:eastAsia="zh-CN"/>
          <w14:textFill>
            <w14:solidFill>
              <w14:schemeClr w14:val="tx1"/>
            </w14:solidFill>
          </w14:textFill>
        </w:rPr>
        <w:t>4.1区域污染源调查</w:t>
      </w:r>
      <w:bookmarkEnd w:id="99"/>
    </w:p>
    <w:p w14:paraId="3E337FB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本项目位于内蒙古自治区巴彦淖尔市磴口县巴彦高勒镇污水处理厂，排污口位于二排干左岸明渠内。根据调查，评价范围内二排干无其他排污口，污染源主要为农业面源和生活污染源排放。</w:t>
      </w:r>
    </w:p>
    <w:p w14:paraId="2D44CA0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1、生活污染源</w:t>
      </w:r>
    </w:p>
    <w:p w14:paraId="7324C56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评价范围内生活污染源主要为沿线村庄居民生活产生的污水及少量生活垃圾污染。目前，该区域已建成完善的污水收集管网系统，所有村庄生活污水均通过管网集中收集后，统一输送至城镇污水处理厂进行处理，避免了生活污水随意排放对地表水环境的影响。</w:t>
      </w:r>
    </w:p>
    <w:p w14:paraId="0C97DDF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2、农业面源</w:t>
      </w:r>
    </w:p>
    <w:p w14:paraId="17F356E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评价范围部分河段两侧分布有大面积农田，农业生产活动是区域主要面源污染来源。种植过程中，农户为提升作物产量会施用化肥（以氮、磷类为主）和农药，在降雨径流冲刷、灌溉退水等情况下，未被作物充分吸收的氮素、磷素及少量农药残留，可能通过地表径流进入二排干，成为受纳水体的潜在污染负荷。畜禽养殖粪污以还田利用为主要处置方式，其环境影响已纳入农业灌溉退水相关分析范畴。</w:t>
      </w:r>
    </w:p>
    <w:p w14:paraId="08AE58AF">
      <w:pPr>
        <w:pStyle w:val="3"/>
        <w:bidi w:val="0"/>
        <w:rPr>
          <w:rFonts w:hint="eastAsia"/>
          <w:color w:val="000000" w:themeColor="text1"/>
          <w:highlight w:val="none"/>
          <w:lang w:val="en-US" w:eastAsia="zh-CN"/>
          <w14:textFill>
            <w14:solidFill>
              <w14:schemeClr w14:val="tx1"/>
            </w14:solidFill>
          </w14:textFill>
        </w:rPr>
      </w:pPr>
      <w:bookmarkStart w:id="100" w:name="_Toc25053"/>
      <w:r>
        <w:rPr>
          <w:rFonts w:hint="eastAsia"/>
          <w:color w:val="000000" w:themeColor="text1"/>
          <w:highlight w:val="none"/>
          <w:lang w:val="en-US" w:eastAsia="zh-CN"/>
          <w14:textFill>
            <w14:solidFill>
              <w14:schemeClr w14:val="tx1"/>
            </w14:solidFill>
          </w14:textFill>
        </w:rPr>
        <w:t>4.2地表水环境质量现状</w:t>
      </w:r>
      <w:bookmarkEnd w:id="100"/>
    </w:p>
    <w:p w14:paraId="1F748A9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为全面反映项目受纳水体二排干的地表水环境质量现状及变化趋势，本次评价优先采用国务院生态环境主管部门统一发布的连续三年（2023年-2025年）国家监测数据，监测因子涵盖pH、化学需氧量（COD）、氨氮（NH</w:t>
      </w:r>
      <w:r>
        <w:rPr>
          <w:rFonts w:hint="eastAsia"/>
          <w:color w:val="000000" w:themeColor="text1"/>
          <w:highlight w:val="none"/>
          <w:vertAlign w:val="sub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-N）、高锰酸盐指数、总磷（TP）、总氮（TN）等核心评价因子，数据来源权威、时效性强且覆盖完整，符合《环境影响评价技术导则 地表水环境》（HJ2.3-2018）中“一级、二级评价需调查受纳水体近3年水环境质量数据”的要求。</w:t>
      </w:r>
    </w:p>
    <w:p w14:paraId="736F7985">
      <w:pPr>
        <w:pStyle w:val="4"/>
        <w:bidi w:val="0"/>
        <w:rPr>
          <w:rFonts w:hint="default"/>
          <w:color w:val="000000" w:themeColor="text1"/>
          <w:highlight w:val="none"/>
          <w:lang w:val="en-US" w:eastAsia="zh-CN"/>
          <w14:textFill>
            <w14:solidFill>
              <w14:schemeClr w14:val="tx1"/>
            </w14:solidFill>
          </w14:textFill>
        </w:rPr>
      </w:pPr>
      <w:bookmarkStart w:id="101" w:name="_Toc20071"/>
      <w:bookmarkStart w:id="102" w:name="_Toc32662"/>
      <w:r>
        <w:rPr>
          <w:rFonts w:hint="eastAsia"/>
          <w:color w:val="000000" w:themeColor="text1"/>
          <w:highlight w:val="none"/>
          <w:lang w:val="en-US" w:eastAsia="zh-CN"/>
          <w14:textFill>
            <w14:solidFill>
              <w14:schemeClr w14:val="tx1"/>
            </w14:solidFill>
          </w14:textFill>
        </w:rPr>
        <w:t>4.2.1监测数据基本信息</w:t>
      </w:r>
      <w:bookmarkEnd w:id="101"/>
      <w:bookmarkEnd w:id="102"/>
    </w:p>
    <w:p w14:paraId="1E54161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1、监测因子</w:t>
      </w:r>
    </w:p>
    <w:p w14:paraId="493D5E4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本次地表水环境质量现状评价数据引用自巴彦淖尔市生态环境局磴口县分局提供的二排干汇入总排干口监测数据，监测因子涵盖pH、化学需氧量（COD）、氨氮（NH</w:t>
      </w:r>
      <w:r>
        <w:rPr>
          <w:rFonts w:hint="eastAsia"/>
          <w:color w:val="000000" w:themeColor="text1"/>
          <w:highlight w:val="none"/>
          <w:vertAlign w:val="sub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-N）、高锰酸盐指数、总磷（TP）、总氮（TN）。所选监测因子全面覆盖本项目重点关注的核心评价因子，符合《环境影响评价技术导则 地表水环境》（HJ2.3-2018）第5.1.2条“行业污染物排放标准中涉及的水污染物应作为评价因子”的规范要求。</w:t>
      </w:r>
    </w:p>
    <w:p w14:paraId="3037DD4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2、监测时期</w:t>
      </w:r>
    </w:p>
    <w:p w14:paraId="571624C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本次评价采用的</w:t>
      </w:r>
      <w:r>
        <w:rPr>
          <w:rFonts w:hint="eastAsia"/>
          <w:color w:val="000000" w:themeColor="text1"/>
          <w:highlight w:val="none"/>
          <w:lang w:val="en-US" w:eastAsia="zh-CN"/>
          <w14:textFill>
            <w14:solidFill>
              <w14:schemeClr w14:val="tx1"/>
            </w14:solidFill>
          </w14:textFill>
        </w:rPr>
        <w:t>二排干汇入总排干口</w:t>
      </w:r>
      <w:r>
        <w:rPr>
          <w:rFonts w:hint="default"/>
          <w:color w:val="000000" w:themeColor="text1"/>
          <w:highlight w:val="none"/>
          <w:lang w:val="en-US" w:eastAsia="zh-CN"/>
          <w14:textFill>
            <w14:solidFill>
              <w14:schemeClr w14:val="tx1"/>
            </w14:solidFill>
          </w14:textFill>
        </w:rPr>
        <w:t>连续三年（</w:t>
      </w:r>
      <w:r>
        <w:rPr>
          <w:rFonts w:hint="eastAsia"/>
          <w:color w:val="000000" w:themeColor="text1"/>
          <w:highlight w:val="none"/>
          <w:lang w:val="en-US" w:eastAsia="zh-CN"/>
          <w14:textFill>
            <w14:solidFill>
              <w14:schemeClr w14:val="tx1"/>
            </w14:solidFill>
          </w14:textFill>
        </w:rPr>
        <w:t>2023</w:t>
      </w:r>
      <w:r>
        <w:rPr>
          <w:rFonts w:hint="default"/>
          <w:color w:val="000000" w:themeColor="text1"/>
          <w:highlight w:val="none"/>
          <w:lang w:val="en-US" w:eastAsia="zh-CN"/>
          <w14:textFill>
            <w14:solidFill>
              <w14:schemeClr w14:val="tx1"/>
            </w14:solidFill>
          </w14:textFill>
        </w:rPr>
        <w:t>年-</w:t>
      </w:r>
      <w:r>
        <w:rPr>
          <w:rFonts w:hint="eastAsia"/>
          <w:color w:val="000000" w:themeColor="text1"/>
          <w:highlight w:val="none"/>
          <w:lang w:val="en-US" w:eastAsia="zh-CN"/>
          <w14:textFill>
            <w14:solidFill>
              <w14:schemeClr w14:val="tx1"/>
            </w14:solidFill>
          </w14:textFill>
        </w:rPr>
        <w:t>2025</w:t>
      </w:r>
      <w:r>
        <w:rPr>
          <w:rFonts w:hint="default"/>
          <w:color w:val="000000" w:themeColor="text1"/>
          <w:highlight w:val="none"/>
          <w:lang w:val="en-US" w:eastAsia="zh-CN"/>
          <w14:textFill>
            <w14:solidFill>
              <w14:schemeClr w14:val="tx1"/>
            </w14:solidFill>
          </w14:textFill>
        </w:rPr>
        <w:t>年）</w:t>
      </w:r>
      <w:r>
        <w:rPr>
          <w:rFonts w:hint="eastAsia"/>
          <w:color w:val="000000" w:themeColor="text1"/>
          <w:highlight w:val="none"/>
          <w:lang w:val="en-US" w:eastAsia="zh-CN"/>
          <w14:textFill>
            <w14:solidFill>
              <w14:schemeClr w14:val="tx1"/>
            </w14:solidFill>
          </w14:textFill>
        </w:rPr>
        <w:t>平均</w:t>
      </w:r>
      <w:r>
        <w:rPr>
          <w:rFonts w:hint="default"/>
          <w:color w:val="000000" w:themeColor="text1"/>
          <w:highlight w:val="none"/>
          <w:lang w:val="en-US" w:eastAsia="zh-CN"/>
          <w14:textFill>
            <w14:solidFill>
              <w14:schemeClr w14:val="tx1"/>
            </w14:solidFill>
          </w14:textFill>
        </w:rPr>
        <w:t>监测数据。</w:t>
      </w:r>
    </w:p>
    <w:p w14:paraId="1126FEFB">
      <w:pPr>
        <w:pStyle w:val="4"/>
        <w:bidi w:val="0"/>
        <w:rPr>
          <w:rFonts w:hint="eastAsia"/>
          <w:color w:val="000000" w:themeColor="text1"/>
          <w:highlight w:val="none"/>
          <w:lang w:val="en-US" w:eastAsia="zh-CN"/>
          <w14:textFill>
            <w14:solidFill>
              <w14:schemeClr w14:val="tx1"/>
            </w14:solidFill>
          </w14:textFill>
        </w:rPr>
      </w:pPr>
      <w:bookmarkStart w:id="103" w:name="_Toc25700"/>
      <w:bookmarkStart w:id="104" w:name="_Toc21016"/>
      <w:r>
        <w:rPr>
          <w:rFonts w:hint="eastAsia"/>
          <w:color w:val="000000" w:themeColor="text1"/>
          <w:highlight w:val="none"/>
          <w:lang w:val="en-US" w:eastAsia="zh-CN"/>
          <w14:textFill>
            <w14:solidFill>
              <w14:schemeClr w14:val="tx1"/>
            </w14:solidFill>
          </w14:textFill>
        </w:rPr>
        <w:t>4.2.2水质现状统计</w:t>
      </w:r>
      <w:bookmarkEnd w:id="103"/>
      <w:bookmarkEnd w:id="104"/>
    </w:p>
    <w:p w14:paraId="6D0487C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1、单项因子浓度统计与达标分析</w:t>
      </w:r>
    </w:p>
    <w:p w14:paraId="6DC1E7AC">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表4.2-1  浓度统计汇总表</w:t>
      </w:r>
    </w:p>
    <w:tbl>
      <w:tblPr>
        <w:tblStyle w:val="13"/>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70"/>
        <w:gridCol w:w="727"/>
        <w:gridCol w:w="1027"/>
        <w:gridCol w:w="934"/>
        <w:gridCol w:w="1016"/>
        <w:gridCol w:w="1777"/>
        <w:gridCol w:w="1477"/>
      </w:tblGrid>
      <w:tr w14:paraId="5D203A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70" w:type="dxa"/>
            <w:tcBorders>
              <w:tl2br w:val="nil"/>
              <w:tr2bl w:val="nil"/>
            </w:tcBorders>
            <w:vAlign w:val="center"/>
          </w:tcPr>
          <w:p w14:paraId="173E97A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监测因子</w:t>
            </w:r>
          </w:p>
        </w:tc>
        <w:tc>
          <w:tcPr>
            <w:tcW w:w="727" w:type="dxa"/>
            <w:tcBorders>
              <w:tl2br w:val="nil"/>
              <w:tr2bl w:val="nil"/>
            </w:tcBorders>
            <w:vAlign w:val="center"/>
          </w:tcPr>
          <w:p w14:paraId="0781B17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单位</w:t>
            </w:r>
          </w:p>
        </w:tc>
        <w:tc>
          <w:tcPr>
            <w:tcW w:w="1027" w:type="dxa"/>
            <w:tcBorders>
              <w:tl2br w:val="nil"/>
              <w:tr2bl w:val="nil"/>
            </w:tcBorders>
            <w:vAlign w:val="center"/>
          </w:tcPr>
          <w:p w14:paraId="5C6C610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2023年</w:t>
            </w:r>
          </w:p>
        </w:tc>
        <w:tc>
          <w:tcPr>
            <w:tcW w:w="934" w:type="dxa"/>
            <w:tcBorders>
              <w:tl2br w:val="nil"/>
              <w:tr2bl w:val="nil"/>
            </w:tcBorders>
            <w:vAlign w:val="center"/>
          </w:tcPr>
          <w:p w14:paraId="16050B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2024年</w:t>
            </w:r>
          </w:p>
        </w:tc>
        <w:tc>
          <w:tcPr>
            <w:tcW w:w="1016" w:type="dxa"/>
            <w:tcBorders>
              <w:tl2br w:val="nil"/>
              <w:tr2bl w:val="nil"/>
            </w:tcBorders>
            <w:vAlign w:val="center"/>
          </w:tcPr>
          <w:p w14:paraId="1514B20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2025年</w:t>
            </w:r>
          </w:p>
        </w:tc>
        <w:tc>
          <w:tcPr>
            <w:tcW w:w="1777" w:type="dxa"/>
            <w:tcBorders>
              <w:tl2br w:val="nil"/>
              <w:tr2bl w:val="nil"/>
            </w:tcBorders>
            <w:vAlign w:val="center"/>
          </w:tcPr>
          <w:p w14:paraId="73CA69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V类标准限值</w:t>
            </w:r>
          </w:p>
        </w:tc>
        <w:tc>
          <w:tcPr>
            <w:tcW w:w="1477" w:type="dxa"/>
            <w:tcBorders>
              <w:tl2br w:val="nil"/>
              <w:tr2bl w:val="nil"/>
            </w:tcBorders>
            <w:vAlign w:val="center"/>
          </w:tcPr>
          <w:p w14:paraId="527F91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3年浓度范围</w:t>
            </w:r>
          </w:p>
        </w:tc>
      </w:tr>
      <w:tr w14:paraId="5551FB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70" w:type="dxa"/>
            <w:tcBorders>
              <w:tl2br w:val="nil"/>
              <w:tr2bl w:val="nil"/>
            </w:tcBorders>
            <w:vAlign w:val="center"/>
          </w:tcPr>
          <w:p w14:paraId="50789B3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pH</w:t>
            </w:r>
          </w:p>
        </w:tc>
        <w:tc>
          <w:tcPr>
            <w:tcW w:w="727" w:type="dxa"/>
            <w:tcBorders>
              <w:tl2br w:val="nil"/>
              <w:tr2bl w:val="nil"/>
            </w:tcBorders>
            <w:vAlign w:val="center"/>
          </w:tcPr>
          <w:p w14:paraId="55720A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w:t>
            </w:r>
          </w:p>
        </w:tc>
        <w:tc>
          <w:tcPr>
            <w:tcW w:w="1027" w:type="dxa"/>
            <w:tcBorders>
              <w:tl2br w:val="nil"/>
              <w:tr2bl w:val="nil"/>
            </w:tcBorders>
            <w:vAlign w:val="center"/>
          </w:tcPr>
          <w:p w14:paraId="519937A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8.09</w:t>
            </w:r>
          </w:p>
        </w:tc>
        <w:tc>
          <w:tcPr>
            <w:tcW w:w="934" w:type="dxa"/>
            <w:tcBorders>
              <w:tl2br w:val="nil"/>
              <w:tr2bl w:val="nil"/>
            </w:tcBorders>
            <w:vAlign w:val="center"/>
          </w:tcPr>
          <w:p w14:paraId="59FD64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w:t>
            </w:r>
          </w:p>
        </w:tc>
        <w:tc>
          <w:tcPr>
            <w:tcW w:w="1016" w:type="dxa"/>
            <w:tcBorders>
              <w:tl2br w:val="nil"/>
              <w:tr2bl w:val="nil"/>
            </w:tcBorders>
            <w:vAlign w:val="center"/>
          </w:tcPr>
          <w:p w14:paraId="3865305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w:t>
            </w:r>
          </w:p>
        </w:tc>
        <w:tc>
          <w:tcPr>
            <w:tcW w:w="1777" w:type="dxa"/>
            <w:tcBorders>
              <w:tl2br w:val="nil"/>
              <w:tr2bl w:val="nil"/>
            </w:tcBorders>
            <w:vAlign w:val="center"/>
          </w:tcPr>
          <w:p w14:paraId="79E904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6-9</w:t>
            </w:r>
          </w:p>
        </w:tc>
        <w:tc>
          <w:tcPr>
            <w:tcW w:w="1477" w:type="dxa"/>
            <w:tcBorders>
              <w:tl2br w:val="nil"/>
              <w:tr2bl w:val="nil"/>
            </w:tcBorders>
            <w:vAlign w:val="center"/>
          </w:tcPr>
          <w:p w14:paraId="7CCD1A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8.09</w:t>
            </w:r>
          </w:p>
        </w:tc>
      </w:tr>
      <w:tr w14:paraId="16A068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70" w:type="dxa"/>
            <w:tcBorders>
              <w:tl2br w:val="nil"/>
              <w:tr2bl w:val="nil"/>
            </w:tcBorders>
            <w:vAlign w:val="center"/>
          </w:tcPr>
          <w:p w14:paraId="63BB0B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化学需氧量</w:t>
            </w:r>
          </w:p>
        </w:tc>
        <w:tc>
          <w:tcPr>
            <w:tcW w:w="727" w:type="dxa"/>
            <w:tcBorders>
              <w:tl2br w:val="nil"/>
              <w:tr2bl w:val="nil"/>
            </w:tcBorders>
            <w:vAlign w:val="center"/>
          </w:tcPr>
          <w:p w14:paraId="52F363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mg/L</w:t>
            </w:r>
          </w:p>
        </w:tc>
        <w:tc>
          <w:tcPr>
            <w:tcW w:w="1027" w:type="dxa"/>
            <w:tcBorders>
              <w:tl2br w:val="nil"/>
              <w:tr2bl w:val="nil"/>
            </w:tcBorders>
            <w:vAlign w:val="center"/>
          </w:tcPr>
          <w:p w14:paraId="68C0CE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14</w:t>
            </w:r>
          </w:p>
        </w:tc>
        <w:tc>
          <w:tcPr>
            <w:tcW w:w="934" w:type="dxa"/>
            <w:tcBorders>
              <w:tl2br w:val="nil"/>
              <w:tr2bl w:val="nil"/>
            </w:tcBorders>
            <w:vAlign w:val="center"/>
          </w:tcPr>
          <w:p w14:paraId="53F01E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38</w:t>
            </w:r>
          </w:p>
        </w:tc>
        <w:tc>
          <w:tcPr>
            <w:tcW w:w="1016" w:type="dxa"/>
            <w:tcBorders>
              <w:tl2br w:val="nil"/>
              <w:tr2bl w:val="nil"/>
            </w:tcBorders>
            <w:vAlign w:val="center"/>
          </w:tcPr>
          <w:p w14:paraId="632A3C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39</w:t>
            </w:r>
          </w:p>
        </w:tc>
        <w:tc>
          <w:tcPr>
            <w:tcW w:w="1777" w:type="dxa"/>
            <w:tcBorders>
              <w:tl2br w:val="nil"/>
              <w:tr2bl w:val="nil"/>
            </w:tcBorders>
            <w:vAlign w:val="center"/>
          </w:tcPr>
          <w:p w14:paraId="5322BC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≤40</w:t>
            </w:r>
          </w:p>
        </w:tc>
        <w:tc>
          <w:tcPr>
            <w:tcW w:w="1477" w:type="dxa"/>
            <w:tcBorders>
              <w:tl2br w:val="nil"/>
              <w:tr2bl w:val="nil"/>
            </w:tcBorders>
            <w:vAlign w:val="center"/>
          </w:tcPr>
          <w:p w14:paraId="6F4323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14-39</w:t>
            </w:r>
          </w:p>
        </w:tc>
      </w:tr>
      <w:tr w14:paraId="1DAFF0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1570" w:type="dxa"/>
            <w:tcBorders>
              <w:tl2br w:val="nil"/>
              <w:tr2bl w:val="nil"/>
            </w:tcBorders>
            <w:vAlign w:val="center"/>
          </w:tcPr>
          <w:p w14:paraId="073FBE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氨氮（NH</w:t>
            </w:r>
            <w:r>
              <w:rPr>
                <w:rFonts w:hint="default"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-N）</w:t>
            </w:r>
          </w:p>
        </w:tc>
        <w:tc>
          <w:tcPr>
            <w:tcW w:w="727" w:type="dxa"/>
            <w:tcBorders>
              <w:tl2br w:val="nil"/>
              <w:tr2bl w:val="nil"/>
            </w:tcBorders>
            <w:vAlign w:val="center"/>
          </w:tcPr>
          <w:p w14:paraId="2B8926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mg/L</w:t>
            </w:r>
          </w:p>
        </w:tc>
        <w:tc>
          <w:tcPr>
            <w:tcW w:w="1027" w:type="dxa"/>
            <w:tcBorders>
              <w:tl2br w:val="nil"/>
              <w:tr2bl w:val="nil"/>
            </w:tcBorders>
            <w:vAlign w:val="center"/>
          </w:tcPr>
          <w:p w14:paraId="015E46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0.146</w:t>
            </w:r>
          </w:p>
        </w:tc>
        <w:tc>
          <w:tcPr>
            <w:tcW w:w="934" w:type="dxa"/>
            <w:tcBorders>
              <w:tl2br w:val="nil"/>
              <w:tr2bl w:val="nil"/>
            </w:tcBorders>
            <w:vAlign w:val="center"/>
          </w:tcPr>
          <w:p w14:paraId="520731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0.680</w:t>
            </w:r>
          </w:p>
        </w:tc>
        <w:tc>
          <w:tcPr>
            <w:tcW w:w="1016" w:type="dxa"/>
            <w:tcBorders>
              <w:tl2br w:val="nil"/>
              <w:tr2bl w:val="nil"/>
            </w:tcBorders>
            <w:vAlign w:val="center"/>
          </w:tcPr>
          <w:p w14:paraId="0D6D0A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0.144</w:t>
            </w:r>
          </w:p>
        </w:tc>
        <w:tc>
          <w:tcPr>
            <w:tcW w:w="1777" w:type="dxa"/>
            <w:tcBorders>
              <w:tl2br w:val="nil"/>
              <w:tr2bl w:val="nil"/>
            </w:tcBorders>
            <w:vAlign w:val="center"/>
          </w:tcPr>
          <w:p w14:paraId="6D8420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≤2.0</w:t>
            </w:r>
          </w:p>
        </w:tc>
        <w:tc>
          <w:tcPr>
            <w:tcW w:w="1477" w:type="dxa"/>
            <w:tcBorders>
              <w:tl2br w:val="nil"/>
              <w:tr2bl w:val="nil"/>
            </w:tcBorders>
            <w:vAlign w:val="center"/>
          </w:tcPr>
          <w:p w14:paraId="724A78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0.144-0.680</w:t>
            </w:r>
          </w:p>
        </w:tc>
      </w:tr>
      <w:tr w14:paraId="69520B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70" w:type="dxa"/>
            <w:tcBorders>
              <w:tl2br w:val="nil"/>
              <w:tr2bl w:val="nil"/>
            </w:tcBorders>
            <w:vAlign w:val="center"/>
          </w:tcPr>
          <w:p w14:paraId="3594D2F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高锰酸盐指数</w:t>
            </w:r>
          </w:p>
        </w:tc>
        <w:tc>
          <w:tcPr>
            <w:tcW w:w="727" w:type="dxa"/>
            <w:tcBorders>
              <w:tl2br w:val="nil"/>
              <w:tr2bl w:val="nil"/>
            </w:tcBorders>
            <w:vAlign w:val="center"/>
          </w:tcPr>
          <w:p w14:paraId="60C8067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mg/L</w:t>
            </w:r>
          </w:p>
        </w:tc>
        <w:tc>
          <w:tcPr>
            <w:tcW w:w="1027" w:type="dxa"/>
            <w:tcBorders>
              <w:tl2br w:val="nil"/>
              <w:tr2bl w:val="nil"/>
            </w:tcBorders>
            <w:vAlign w:val="center"/>
          </w:tcPr>
          <w:p w14:paraId="490F52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5.55</w:t>
            </w:r>
          </w:p>
        </w:tc>
        <w:tc>
          <w:tcPr>
            <w:tcW w:w="934" w:type="dxa"/>
            <w:tcBorders>
              <w:tl2br w:val="nil"/>
              <w:tr2bl w:val="nil"/>
            </w:tcBorders>
            <w:vAlign w:val="center"/>
          </w:tcPr>
          <w:p w14:paraId="32408F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5.8</w:t>
            </w:r>
          </w:p>
        </w:tc>
        <w:tc>
          <w:tcPr>
            <w:tcW w:w="1016" w:type="dxa"/>
            <w:tcBorders>
              <w:tl2br w:val="nil"/>
              <w:tr2bl w:val="nil"/>
            </w:tcBorders>
            <w:vAlign w:val="center"/>
          </w:tcPr>
          <w:p w14:paraId="3B4F6D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6.66</w:t>
            </w:r>
          </w:p>
        </w:tc>
        <w:tc>
          <w:tcPr>
            <w:tcW w:w="1777" w:type="dxa"/>
            <w:tcBorders>
              <w:tl2br w:val="nil"/>
              <w:tr2bl w:val="nil"/>
            </w:tcBorders>
            <w:vAlign w:val="center"/>
          </w:tcPr>
          <w:p w14:paraId="7A1141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≤15</w:t>
            </w:r>
          </w:p>
        </w:tc>
        <w:tc>
          <w:tcPr>
            <w:tcW w:w="1477" w:type="dxa"/>
            <w:tcBorders>
              <w:tl2br w:val="nil"/>
              <w:tr2bl w:val="nil"/>
            </w:tcBorders>
            <w:vAlign w:val="center"/>
          </w:tcPr>
          <w:p w14:paraId="48DCBE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5.55-6.66</w:t>
            </w:r>
          </w:p>
        </w:tc>
      </w:tr>
      <w:tr w14:paraId="32EE86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70" w:type="dxa"/>
            <w:tcBorders>
              <w:tl2br w:val="nil"/>
              <w:tr2bl w:val="nil"/>
            </w:tcBorders>
            <w:vAlign w:val="center"/>
          </w:tcPr>
          <w:p w14:paraId="36499F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总磷（TP）</w:t>
            </w:r>
          </w:p>
        </w:tc>
        <w:tc>
          <w:tcPr>
            <w:tcW w:w="727" w:type="dxa"/>
            <w:tcBorders>
              <w:tl2br w:val="nil"/>
              <w:tr2bl w:val="nil"/>
            </w:tcBorders>
            <w:vAlign w:val="center"/>
          </w:tcPr>
          <w:p w14:paraId="4920CD4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mg/L</w:t>
            </w:r>
          </w:p>
        </w:tc>
        <w:tc>
          <w:tcPr>
            <w:tcW w:w="1027" w:type="dxa"/>
            <w:tcBorders>
              <w:tl2br w:val="nil"/>
              <w:tr2bl w:val="nil"/>
            </w:tcBorders>
            <w:vAlign w:val="center"/>
          </w:tcPr>
          <w:p w14:paraId="66DAF13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0.398</w:t>
            </w:r>
          </w:p>
        </w:tc>
        <w:tc>
          <w:tcPr>
            <w:tcW w:w="934" w:type="dxa"/>
            <w:tcBorders>
              <w:tl2br w:val="nil"/>
              <w:tr2bl w:val="nil"/>
            </w:tcBorders>
            <w:vAlign w:val="center"/>
          </w:tcPr>
          <w:p w14:paraId="64F339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0.12</w:t>
            </w:r>
          </w:p>
        </w:tc>
        <w:tc>
          <w:tcPr>
            <w:tcW w:w="1016" w:type="dxa"/>
            <w:tcBorders>
              <w:tl2br w:val="nil"/>
              <w:tr2bl w:val="nil"/>
            </w:tcBorders>
            <w:vAlign w:val="center"/>
          </w:tcPr>
          <w:p w14:paraId="607FBA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0.021</w:t>
            </w:r>
          </w:p>
        </w:tc>
        <w:tc>
          <w:tcPr>
            <w:tcW w:w="1777" w:type="dxa"/>
            <w:tcBorders>
              <w:tl2br w:val="nil"/>
              <w:tr2bl w:val="nil"/>
            </w:tcBorders>
            <w:vAlign w:val="center"/>
          </w:tcPr>
          <w:p w14:paraId="000110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≤0.4</w:t>
            </w:r>
          </w:p>
        </w:tc>
        <w:tc>
          <w:tcPr>
            <w:tcW w:w="1477" w:type="dxa"/>
            <w:tcBorders>
              <w:tl2br w:val="nil"/>
              <w:tr2bl w:val="nil"/>
            </w:tcBorders>
            <w:vAlign w:val="center"/>
          </w:tcPr>
          <w:p w14:paraId="65FE62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0.021-0.398</w:t>
            </w:r>
          </w:p>
        </w:tc>
      </w:tr>
      <w:tr w14:paraId="6BE756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1570" w:type="dxa"/>
            <w:tcBorders>
              <w:tl2br w:val="nil"/>
              <w:tr2bl w:val="nil"/>
            </w:tcBorders>
            <w:vAlign w:val="center"/>
          </w:tcPr>
          <w:p w14:paraId="6DDB1A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总氮（TN）</w:t>
            </w:r>
          </w:p>
        </w:tc>
        <w:tc>
          <w:tcPr>
            <w:tcW w:w="727" w:type="dxa"/>
            <w:tcBorders>
              <w:tl2br w:val="nil"/>
              <w:tr2bl w:val="nil"/>
            </w:tcBorders>
            <w:vAlign w:val="center"/>
          </w:tcPr>
          <w:p w14:paraId="2A0E79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mg/L</w:t>
            </w:r>
          </w:p>
        </w:tc>
        <w:tc>
          <w:tcPr>
            <w:tcW w:w="1027" w:type="dxa"/>
            <w:tcBorders>
              <w:tl2br w:val="nil"/>
              <w:tr2bl w:val="nil"/>
            </w:tcBorders>
            <w:vAlign w:val="center"/>
          </w:tcPr>
          <w:p w14:paraId="47808D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0.918</w:t>
            </w:r>
          </w:p>
        </w:tc>
        <w:tc>
          <w:tcPr>
            <w:tcW w:w="934" w:type="dxa"/>
            <w:tcBorders>
              <w:tl2br w:val="nil"/>
              <w:tr2bl w:val="nil"/>
            </w:tcBorders>
            <w:vAlign w:val="center"/>
          </w:tcPr>
          <w:p w14:paraId="594C045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1.37</w:t>
            </w:r>
          </w:p>
        </w:tc>
        <w:tc>
          <w:tcPr>
            <w:tcW w:w="1016" w:type="dxa"/>
            <w:tcBorders>
              <w:tl2br w:val="nil"/>
              <w:tr2bl w:val="nil"/>
            </w:tcBorders>
            <w:vAlign w:val="center"/>
          </w:tcPr>
          <w:p w14:paraId="604082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1.29</w:t>
            </w:r>
          </w:p>
        </w:tc>
        <w:tc>
          <w:tcPr>
            <w:tcW w:w="1777" w:type="dxa"/>
            <w:tcBorders>
              <w:tl2br w:val="nil"/>
              <w:tr2bl w:val="nil"/>
            </w:tcBorders>
            <w:vAlign w:val="center"/>
          </w:tcPr>
          <w:p w14:paraId="64750C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≤2.0</w:t>
            </w:r>
          </w:p>
        </w:tc>
        <w:tc>
          <w:tcPr>
            <w:tcW w:w="1477" w:type="dxa"/>
            <w:tcBorders>
              <w:tl2br w:val="nil"/>
              <w:tr2bl w:val="nil"/>
            </w:tcBorders>
            <w:vAlign w:val="center"/>
          </w:tcPr>
          <w:p w14:paraId="2A8C99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0.918-1.37</w:t>
            </w:r>
          </w:p>
        </w:tc>
      </w:tr>
    </w:tbl>
    <w:p w14:paraId="3006A0E6">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表4.2-2  单项污染指数核算</w:t>
      </w:r>
    </w:p>
    <w:tbl>
      <w:tblPr>
        <w:tblStyle w:val="13"/>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6"/>
        <w:gridCol w:w="1707"/>
        <w:gridCol w:w="1707"/>
      </w:tblGrid>
      <w:tr w14:paraId="2874AA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vAlign w:val="center"/>
          </w:tcPr>
          <w:p w14:paraId="0FF846B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监测因子</w:t>
            </w:r>
          </w:p>
        </w:tc>
        <w:tc>
          <w:tcPr>
            <w:tcW w:w="999" w:type="pct"/>
            <w:tcBorders>
              <w:tl2br w:val="nil"/>
              <w:tr2bl w:val="nil"/>
            </w:tcBorders>
            <w:vAlign w:val="center"/>
          </w:tcPr>
          <w:p w14:paraId="0C8F69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2023年S</w:t>
            </w:r>
            <w:r>
              <w:rPr>
                <w:rFonts w:hint="default"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ij</w:t>
            </w:r>
          </w:p>
        </w:tc>
        <w:tc>
          <w:tcPr>
            <w:tcW w:w="1000" w:type="pct"/>
            <w:tcBorders>
              <w:tl2br w:val="nil"/>
              <w:tr2bl w:val="nil"/>
            </w:tcBorders>
            <w:vAlign w:val="center"/>
          </w:tcPr>
          <w:p w14:paraId="5A8461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2024年S</w:t>
            </w:r>
            <w:r>
              <w:rPr>
                <w:rFonts w:hint="default"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ij</w:t>
            </w:r>
          </w:p>
        </w:tc>
        <w:tc>
          <w:tcPr>
            <w:tcW w:w="1000" w:type="pct"/>
            <w:tcBorders>
              <w:tl2br w:val="nil"/>
              <w:tr2bl w:val="nil"/>
            </w:tcBorders>
            <w:vAlign w:val="center"/>
          </w:tcPr>
          <w:p w14:paraId="55A3731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2025年S</w:t>
            </w:r>
            <w:r>
              <w:rPr>
                <w:rFonts w:hint="default"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ij</w:t>
            </w:r>
          </w:p>
        </w:tc>
        <w:tc>
          <w:tcPr>
            <w:tcW w:w="1000" w:type="pct"/>
            <w:tcBorders>
              <w:tl2br w:val="nil"/>
              <w:tr2bl w:val="nil"/>
            </w:tcBorders>
            <w:vAlign w:val="center"/>
          </w:tcPr>
          <w:p w14:paraId="112551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评价结果</w:t>
            </w:r>
          </w:p>
        </w:tc>
      </w:tr>
      <w:tr w14:paraId="20714A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shd w:val="clear" w:color="auto" w:fill="auto"/>
            <w:vAlign w:val="center"/>
          </w:tcPr>
          <w:p w14:paraId="7B1A24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pH</w:t>
            </w:r>
          </w:p>
        </w:tc>
        <w:tc>
          <w:tcPr>
            <w:tcW w:w="999" w:type="pct"/>
            <w:tcBorders>
              <w:tl2br w:val="nil"/>
              <w:tr2bl w:val="nil"/>
            </w:tcBorders>
            <w:vAlign w:val="center"/>
          </w:tcPr>
          <w:p w14:paraId="28B87E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0.55</w:t>
            </w:r>
          </w:p>
        </w:tc>
        <w:tc>
          <w:tcPr>
            <w:tcW w:w="1000" w:type="pct"/>
            <w:tcBorders>
              <w:tl2br w:val="nil"/>
              <w:tr2bl w:val="nil"/>
            </w:tcBorders>
            <w:vAlign w:val="center"/>
          </w:tcPr>
          <w:p w14:paraId="028458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w:t>
            </w:r>
          </w:p>
        </w:tc>
        <w:tc>
          <w:tcPr>
            <w:tcW w:w="1000" w:type="pct"/>
            <w:tcBorders>
              <w:tl2br w:val="nil"/>
              <w:tr2bl w:val="nil"/>
            </w:tcBorders>
            <w:vAlign w:val="center"/>
          </w:tcPr>
          <w:p w14:paraId="72D17F2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w:t>
            </w:r>
          </w:p>
        </w:tc>
        <w:tc>
          <w:tcPr>
            <w:tcW w:w="1000" w:type="pct"/>
            <w:tcBorders>
              <w:tl2br w:val="nil"/>
              <w:tr2bl w:val="nil"/>
            </w:tcBorders>
            <w:vAlign w:val="center"/>
          </w:tcPr>
          <w:p w14:paraId="73E574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符合Ⅴ类标准</w:t>
            </w:r>
          </w:p>
        </w:tc>
      </w:tr>
      <w:tr w14:paraId="52C88E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shd w:val="clear" w:color="auto" w:fill="auto"/>
            <w:vAlign w:val="center"/>
          </w:tcPr>
          <w:p w14:paraId="6644F28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化学需氧量</w:t>
            </w:r>
          </w:p>
        </w:tc>
        <w:tc>
          <w:tcPr>
            <w:tcW w:w="999" w:type="pct"/>
            <w:tcBorders>
              <w:tl2br w:val="nil"/>
              <w:tr2bl w:val="nil"/>
            </w:tcBorders>
            <w:vAlign w:val="center"/>
          </w:tcPr>
          <w:p w14:paraId="4B8D1B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0.35</w:t>
            </w:r>
          </w:p>
        </w:tc>
        <w:tc>
          <w:tcPr>
            <w:tcW w:w="1000" w:type="pct"/>
            <w:tcBorders>
              <w:tl2br w:val="nil"/>
              <w:tr2bl w:val="nil"/>
            </w:tcBorders>
            <w:vAlign w:val="center"/>
          </w:tcPr>
          <w:p w14:paraId="43190A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0.95</w:t>
            </w:r>
          </w:p>
        </w:tc>
        <w:tc>
          <w:tcPr>
            <w:tcW w:w="1000" w:type="pct"/>
            <w:tcBorders>
              <w:tl2br w:val="nil"/>
              <w:tr2bl w:val="nil"/>
            </w:tcBorders>
            <w:vAlign w:val="center"/>
          </w:tcPr>
          <w:p w14:paraId="3DAE0D2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0.98</w:t>
            </w:r>
          </w:p>
        </w:tc>
        <w:tc>
          <w:tcPr>
            <w:tcW w:w="1000" w:type="pct"/>
            <w:tcBorders>
              <w:tl2br w:val="nil"/>
              <w:tr2bl w:val="nil"/>
            </w:tcBorders>
            <w:vAlign w:val="center"/>
          </w:tcPr>
          <w:p w14:paraId="446C93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符合Ⅴ类标准</w:t>
            </w:r>
          </w:p>
        </w:tc>
      </w:tr>
      <w:tr w14:paraId="0DC4DB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shd w:val="clear" w:color="auto" w:fill="auto"/>
            <w:vAlign w:val="center"/>
          </w:tcPr>
          <w:p w14:paraId="2C4EAFB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氨氮（NH</w:t>
            </w:r>
            <w:r>
              <w:rPr>
                <w:rFonts w:hint="default"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-N）</w:t>
            </w:r>
          </w:p>
        </w:tc>
        <w:tc>
          <w:tcPr>
            <w:tcW w:w="999" w:type="pct"/>
            <w:tcBorders>
              <w:tl2br w:val="nil"/>
              <w:tr2bl w:val="nil"/>
            </w:tcBorders>
            <w:vAlign w:val="center"/>
          </w:tcPr>
          <w:p w14:paraId="2E8299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0.07</w:t>
            </w:r>
          </w:p>
        </w:tc>
        <w:tc>
          <w:tcPr>
            <w:tcW w:w="1000" w:type="pct"/>
            <w:tcBorders>
              <w:tl2br w:val="nil"/>
              <w:tr2bl w:val="nil"/>
            </w:tcBorders>
            <w:vAlign w:val="center"/>
          </w:tcPr>
          <w:p w14:paraId="6A257E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0.34</w:t>
            </w:r>
          </w:p>
        </w:tc>
        <w:tc>
          <w:tcPr>
            <w:tcW w:w="1000" w:type="pct"/>
            <w:tcBorders>
              <w:tl2br w:val="nil"/>
              <w:tr2bl w:val="nil"/>
            </w:tcBorders>
            <w:vAlign w:val="center"/>
          </w:tcPr>
          <w:p w14:paraId="38EA95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0.07</w:t>
            </w:r>
          </w:p>
        </w:tc>
        <w:tc>
          <w:tcPr>
            <w:tcW w:w="1000" w:type="pct"/>
            <w:tcBorders>
              <w:tl2br w:val="nil"/>
              <w:tr2bl w:val="nil"/>
            </w:tcBorders>
            <w:vAlign w:val="center"/>
          </w:tcPr>
          <w:p w14:paraId="33A533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符合Ⅴ类标准</w:t>
            </w:r>
          </w:p>
        </w:tc>
      </w:tr>
      <w:tr w14:paraId="5E3337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shd w:val="clear" w:color="auto" w:fill="auto"/>
            <w:vAlign w:val="center"/>
          </w:tcPr>
          <w:p w14:paraId="3C30C7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高锰酸盐指数</w:t>
            </w:r>
          </w:p>
        </w:tc>
        <w:tc>
          <w:tcPr>
            <w:tcW w:w="999" w:type="pct"/>
            <w:tcBorders>
              <w:tl2br w:val="nil"/>
              <w:tr2bl w:val="nil"/>
            </w:tcBorders>
            <w:vAlign w:val="center"/>
          </w:tcPr>
          <w:p w14:paraId="200C89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0.37</w:t>
            </w:r>
          </w:p>
        </w:tc>
        <w:tc>
          <w:tcPr>
            <w:tcW w:w="1000" w:type="pct"/>
            <w:tcBorders>
              <w:tl2br w:val="nil"/>
              <w:tr2bl w:val="nil"/>
            </w:tcBorders>
            <w:vAlign w:val="center"/>
          </w:tcPr>
          <w:p w14:paraId="42BA9F5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0.39</w:t>
            </w:r>
          </w:p>
        </w:tc>
        <w:tc>
          <w:tcPr>
            <w:tcW w:w="1000" w:type="pct"/>
            <w:tcBorders>
              <w:tl2br w:val="nil"/>
              <w:tr2bl w:val="nil"/>
            </w:tcBorders>
            <w:vAlign w:val="center"/>
          </w:tcPr>
          <w:p w14:paraId="43A271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0.44</w:t>
            </w:r>
          </w:p>
        </w:tc>
        <w:tc>
          <w:tcPr>
            <w:tcW w:w="1000" w:type="pct"/>
            <w:tcBorders>
              <w:tl2br w:val="nil"/>
              <w:tr2bl w:val="nil"/>
            </w:tcBorders>
            <w:vAlign w:val="center"/>
          </w:tcPr>
          <w:p w14:paraId="47B913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符合Ⅴ类标准</w:t>
            </w:r>
          </w:p>
        </w:tc>
      </w:tr>
      <w:tr w14:paraId="05D12E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999" w:type="pct"/>
            <w:tcBorders>
              <w:tl2br w:val="nil"/>
              <w:tr2bl w:val="nil"/>
            </w:tcBorders>
            <w:shd w:val="clear" w:color="auto" w:fill="auto"/>
            <w:vAlign w:val="center"/>
          </w:tcPr>
          <w:p w14:paraId="6DA894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总磷（TP）</w:t>
            </w:r>
          </w:p>
        </w:tc>
        <w:tc>
          <w:tcPr>
            <w:tcW w:w="999" w:type="pct"/>
            <w:tcBorders>
              <w:tl2br w:val="nil"/>
              <w:tr2bl w:val="nil"/>
            </w:tcBorders>
            <w:vAlign w:val="center"/>
          </w:tcPr>
          <w:p w14:paraId="64549A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0.99</w:t>
            </w:r>
          </w:p>
        </w:tc>
        <w:tc>
          <w:tcPr>
            <w:tcW w:w="1000" w:type="pct"/>
            <w:tcBorders>
              <w:tl2br w:val="nil"/>
              <w:tr2bl w:val="nil"/>
            </w:tcBorders>
            <w:vAlign w:val="center"/>
          </w:tcPr>
          <w:p w14:paraId="06FFB07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0.30</w:t>
            </w:r>
          </w:p>
        </w:tc>
        <w:tc>
          <w:tcPr>
            <w:tcW w:w="1000" w:type="pct"/>
            <w:tcBorders>
              <w:tl2br w:val="nil"/>
              <w:tr2bl w:val="nil"/>
            </w:tcBorders>
            <w:vAlign w:val="center"/>
          </w:tcPr>
          <w:p w14:paraId="1C2AF8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0.05</w:t>
            </w:r>
          </w:p>
        </w:tc>
        <w:tc>
          <w:tcPr>
            <w:tcW w:w="1000" w:type="pct"/>
            <w:tcBorders>
              <w:tl2br w:val="nil"/>
              <w:tr2bl w:val="nil"/>
            </w:tcBorders>
            <w:vAlign w:val="center"/>
          </w:tcPr>
          <w:p w14:paraId="4C73CC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符合Ⅴ类标准</w:t>
            </w:r>
          </w:p>
        </w:tc>
      </w:tr>
      <w:tr w14:paraId="769AC2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shd w:val="clear" w:color="auto" w:fill="auto"/>
            <w:vAlign w:val="center"/>
          </w:tcPr>
          <w:p w14:paraId="5D5075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总氮（TN）</w:t>
            </w:r>
          </w:p>
        </w:tc>
        <w:tc>
          <w:tcPr>
            <w:tcW w:w="999" w:type="pct"/>
            <w:tcBorders>
              <w:tl2br w:val="nil"/>
              <w:tr2bl w:val="nil"/>
            </w:tcBorders>
            <w:vAlign w:val="center"/>
          </w:tcPr>
          <w:p w14:paraId="6C9B5F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0.46</w:t>
            </w:r>
          </w:p>
        </w:tc>
        <w:tc>
          <w:tcPr>
            <w:tcW w:w="1000" w:type="pct"/>
            <w:tcBorders>
              <w:tl2br w:val="nil"/>
              <w:tr2bl w:val="nil"/>
            </w:tcBorders>
            <w:vAlign w:val="center"/>
          </w:tcPr>
          <w:p w14:paraId="42AC870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0.69</w:t>
            </w:r>
          </w:p>
        </w:tc>
        <w:tc>
          <w:tcPr>
            <w:tcW w:w="1000" w:type="pct"/>
            <w:tcBorders>
              <w:tl2br w:val="nil"/>
              <w:tr2bl w:val="nil"/>
            </w:tcBorders>
            <w:vAlign w:val="center"/>
          </w:tcPr>
          <w:p w14:paraId="20DB11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0.65</w:t>
            </w:r>
          </w:p>
        </w:tc>
        <w:tc>
          <w:tcPr>
            <w:tcW w:w="1000" w:type="pct"/>
            <w:tcBorders>
              <w:tl2br w:val="nil"/>
              <w:tr2bl w:val="nil"/>
            </w:tcBorders>
            <w:vAlign w:val="center"/>
          </w:tcPr>
          <w:p w14:paraId="27F2A5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符合Ⅴ类标准</w:t>
            </w:r>
          </w:p>
        </w:tc>
      </w:tr>
    </w:tbl>
    <w:p w14:paraId="7A535EF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p>
    <w:p w14:paraId="505EF5E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2、结论</w:t>
      </w:r>
    </w:p>
    <w:p w14:paraId="2B61C6C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根据监测结果，二排干汇入总排干口断面地表水环境质量满足《地表水环境质量标准》（GB3838-2002）Ⅴ类标准要求，水环境功能区达标。</w:t>
      </w:r>
    </w:p>
    <w:p w14:paraId="0D8B85EF">
      <w:pPr>
        <w:pStyle w:val="4"/>
        <w:bidi w:val="0"/>
        <w:rPr>
          <w:rFonts w:hint="default"/>
          <w:color w:val="000000" w:themeColor="text1"/>
          <w:highlight w:val="none"/>
          <w:lang w:val="en-US" w:eastAsia="zh-CN"/>
          <w14:textFill>
            <w14:solidFill>
              <w14:schemeClr w14:val="tx1"/>
            </w14:solidFill>
          </w14:textFill>
        </w:rPr>
      </w:pPr>
      <w:bookmarkStart w:id="105" w:name="_Toc521"/>
      <w:bookmarkStart w:id="106" w:name="_Toc27723"/>
      <w:r>
        <w:rPr>
          <w:rFonts w:hint="eastAsia"/>
          <w:color w:val="000000" w:themeColor="text1"/>
          <w:highlight w:val="none"/>
          <w:lang w:val="en-US" w:eastAsia="zh-CN"/>
          <w14:textFill>
            <w14:solidFill>
              <w14:schemeClr w14:val="tx1"/>
            </w14:solidFill>
          </w14:textFill>
        </w:rPr>
        <w:t>4.2.3水质变化趋势分析</w:t>
      </w:r>
      <w:bookmarkEnd w:id="105"/>
      <w:bookmarkEnd w:id="106"/>
    </w:p>
    <w:p w14:paraId="62D68B1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二排干连续三年（2023年-2025年）监测数据，各核心水质因子变化趋势如下：化学需氧量（COD）呈逐年小幅上升趋势；高锰酸盐指数呈缓慢上升趋势；总磷（TP）呈显著下降趋势；总氮（TN）呈2023年至2024年小幅上升、2024年至2025年略有回落的波动上升趋势；氨氮（NH</w:t>
      </w:r>
      <w:r>
        <w:rPr>
          <w:rFonts w:hint="eastAsia"/>
          <w:color w:val="000000" w:themeColor="text1"/>
          <w:highlight w:val="none"/>
          <w:vertAlign w:val="sub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-N）2024年出现峰值后回落至2023年相近水平，整体无明显持续变化趋势；pH仅2023年有监测数据（8.09），2024年、2025年无相关数据，暂无法判定其变化趋势。</w:t>
      </w:r>
    </w:p>
    <w:p w14:paraId="1F3E083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实施后，污水厂尾水经人工湿地深度净化再排入二排干，可显著削减COD、高锰酸盐指数、总氮、氨氮等污染物入河量，有利于遏制二排干COD、高锰酸盐指数逐年上升态势，并进一步巩固总磷持续下降的改善趋势，同时平抑总氮、氨氮波动，减轻水体污染负荷，提升二排干水环境质量稳定性，对区域水生态环境改善具有明显正面效益。</w:t>
      </w:r>
    </w:p>
    <w:p w14:paraId="2466CF9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p>
    <w:p w14:paraId="79037C7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p>
    <w:p w14:paraId="75CFDF6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p>
    <w:p w14:paraId="735604AA">
      <w:pPr>
        <w:pStyle w:val="2"/>
        <w:bidi w:val="0"/>
        <w:rPr>
          <w:rFonts w:hint="default"/>
          <w:color w:val="000000" w:themeColor="text1"/>
          <w:highlight w:val="none"/>
          <w:lang w:val="en-US" w:eastAsia="zh-CN"/>
          <w14:textFill>
            <w14:solidFill>
              <w14:schemeClr w14:val="tx1"/>
            </w14:solidFill>
          </w14:textFill>
        </w:rPr>
      </w:pPr>
      <w:bookmarkStart w:id="107" w:name="_Toc13509"/>
      <w:bookmarkStart w:id="108" w:name="_Toc27250"/>
      <w:bookmarkStart w:id="109" w:name="_Toc16921"/>
      <w:bookmarkStart w:id="110" w:name="_Toc27220"/>
      <w:bookmarkStart w:id="111" w:name="_Toc9611"/>
      <w:bookmarkStart w:id="112" w:name="_Toc22796"/>
      <w:r>
        <w:rPr>
          <w:rFonts w:hint="default"/>
          <w:color w:val="000000" w:themeColor="text1"/>
          <w:highlight w:val="none"/>
          <w:lang w:val="en-US" w:eastAsia="zh-CN"/>
          <w14:textFill>
            <w14:solidFill>
              <w14:schemeClr w14:val="tx1"/>
            </w14:solidFill>
          </w14:textFill>
        </w:rPr>
        <w:t>5地表水环境影响预测与评价</w:t>
      </w:r>
      <w:bookmarkEnd w:id="107"/>
      <w:bookmarkEnd w:id="108"/>
      <w:bookmarkEnd w:id="109"/>
      <w:bookmarkEnd w:id="110"/>
      <w:bookmarkEnd w:id="111"/>
      <w:bookmarkEnd w:id="112"/>
    </w:p>
    <w:p w14:paraId="2C7CFADA">
      <w:pPr>
        <w:pStyle w:val="3"/>
        <w:bidi w:val="0"/>
        <w:rPr>
          <w:rFonts w:hint="eastAsia"/>
          <w:color w:val="000000" w:themeColor="text1"/>
          <w:highlight w:val="none"/>
          <w:lang w:val="en-US" w:eastAsia="zh-CN"/>
          <w14:textFill>
            <w14:solidFill>
              <w14:schemeClr w14:val="tx1"/>
            </w14:solidFill>
          </w14:textFill>
        </w:rPr>
      </w:pPr>
      <w:bookmarkStart w:id="113" w:name="_Toc5374"/>
      <w:r>
        <w:rPr>
          <w:rFonts w:hint="eastAsia"/>
          <w:color w:val="000000" w:themeColor="text1"/>
          <w:highlight w:val="none"/>
          <w:lang w:val="en-US" w:eastAsia="zh-CN"/>
          <w14:textFill>
            <w14:solidFill>
              <w14:schemeClr w14:val="tx1"/>
            </w14:solidFill>
          </w14:textFill>
        </w:rPr>
        <w:t>5.1污水排放量</w:t>
      </w:r>
      <w:bookmarkEnd w:id="113"/>
    </w:p>
    <w:p w14:paraId="4E69A19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为磴口县巴彦高勒镇污水处理厂一期升级改造项目，改造后，污水处理规模由现状15000m³/d提升至30000m³/d，新增处理规模15000m³/d。根据项目设计方案，处理达标后的尾水分为两部分处置：一部分接入中水厂进行深度处理后资源化回用（回用方向包括工业用水、市政杂用水等），另一部分经人工湿地净化后通过现有入河排污口排入二排干。</w:t>
      </w:r>
    </w:p>
    <w:p w14:paraId="284FAB1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鉴于目前中水回用规模需结合后续用水企业的实际需求确定，暂无法明确回用与外排的具体比例，为确保环境影响评价的严谨性，按最不利原则假定新增15000m³/d处理水量全部外排。项目总外排规模最终以实际回用情况动态调整，但本次环评按15000m³/d外排规模开展影响分析，外排尾水水质稳定达到《城镇污水处理厂污染物排放标准》（GB18918-2002）（含2006年、2025年修改单）一级A标准，经人工湿地进一步净化后满足《地表水环境质量标准》（GB3838-2002）V类标准要求。</w:t>
      </w:r>
    </w:p>
    <w:p w14:paraId="504E942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排放方式为连续排放，排放路径清晰：尾水先经厂区处理达标后进入人工湿地，待处理后通过DN500mm玻璃钢管（总长2.5km）输送至入河排污口，再经约565m明渠排入二排干，最终随二排干汇入总排干，符合区域排水系统规划要求。</w:t>
      </w:r>
    </w:p>
    <w:p w14:paraId="1815FE4E">
      <w:pPr>
        <w:pStyle w:val="3"/>
        <w:bidi w:val="0"/>
        <w:rPr>
          <w:rFonts w:hint="eastAsia"/>
          <w:color w:val="000000" w:themeColor="text1"/>
          <w:highlight w:val="none"/>
          <w:lang w:val="en-US" w:eastAsia="zh-CN"/>
          <w14:textFill>
            <w14:solidFill>
              <w14:schemeClr w14:val="tx1"/>
            </w14:solidFill>
          </w14:textFill>
        </w:rPr>
      </w:pPr>
      <w:bookmarkStart w:id="114" w:name="_Toc18074"/>
      <w:r>
        <w:rPr>
          <w:rFonts w:hint="eastAsia"/>
          <w:color w:val="000000" w:themeColor="text1"/>
          <w:highlight w:val="none"/>
          <w:lang w:val="en-US" w:eastAsia="zh-CN"/>
          <w14:textFill>
            <w14:solidFill>
              <w14:schemeClr w14:val="tx1"/>
            </w14:solidFill>
          </w14:textFill>
        </w:rPr>
        <w:t>5.2污染物排放量</w:t>
      </w:r>
      <w:bookmarkEnd w:id="114"/>
    </w:p>
    <w:p w14:paraId="4ED9AA6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ascii="Times New Roman" w:eastAsia="宋体"/>
          <w:color w:val="000000" w:themeColor="text1"/>
          <w:highlight w:val="none"/>
          <w:lang w:val="en-US" w:eastAsia="zh-CN"/>
          <w14:textFill>
            <w14:solidFill>
              <w14:schemeClr w14:val="tx1"/>
            </w14:solidFill>
          </w14:textFill>
        </w:rPr>
        <w:t>最不利情况下污染物排放情况见下表。</w:t>
      </w:r>
    </w:p>
    <w:p w14:paraId="6F771509">
      <w:pPr>
        <w:widowControl w:val="0"/>
        <w:autoSpaceDE w:val="0"/>
        <w:autoSpaceDN w:val="0"/>
        <w:bidi w:val="0"/>
        <w:adjustRightInd w:val="0"/>
        <w:snapToGrid w:val="0"/>
        <w:spacing w:before="50" w:beforeLines="50" w:line="360" w:lineRule="auto"/>
        <w:ind w:firstLine="0" w:firstLineChars="0"/>
        <w:jc w:val="center"/>
        <w:rPr>
          <w:rFonts w:hint="default" w:ascii="Times New Roman" w:hAnsi="Times New Roman" w:eastAsia="宋体" w:cs="Times New Roman"/>
          <w:b/>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color w:val="000000" w:themeColor="text1"/>
          <w:kern w:val="0"/>
          <w:sz w:val="21"/>
          <w:szCs w:val="21"/>
          <w:highlight w:val="none"/>
          <w:lang w:val="en-US" w:eastAsia="zh-CN" w:bidi="ar-SA"/>
          <w14:textFill>
            <w14:solidFill>
              <w14:schemeClr w14:val="tx1"/>
            </w14:solidFill>
          </w14:textFill>
        </w:rPr>
        <w:t>表5.2-1  主要污染物排放总量</w:t>
      </w:r>
    </w:p>
    <w:tbl>
      <w:tblPr>
        <w:tblStyle w:val="12"/>
        <w:tblW w:w="0" w:type="auto"/>
        <w:tblInd w:w="96"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09"/>
        <w:gridCol w:w="1133"/>
        <w:gridCol w:w="1865"/>
        <w:gridCol w:w="1955"/>
        <w:gridCol w:w="1402"/>
        <w:gridCol w:w="1340"/>
      </w:tblGrid>
      <w:tr w14:paraId="0BB61F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9" w:type="dxa"/>
            <w:tcBorders>
              <w:tl2br w:val="nil"/>
              <w:tr2bl w:val="nil"/>
            </w:tcBorders>
            <w:noWrap w:val="0"/>
            <w:vAlign w:val="center"/>
          </w:tcPr>
          <w:p w14:paraId="6CE1C4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序号</w:t>
            </w:r>
          </w:p>
        </w:tc>
        <w:tc>
          <w:tcPr>
            <w:tcW w:w="1133" w:type="dxa"/>
            <w:tcBorders>
              <w:tl2br w:val="nil"/>
              <w:tr2bl w:val="nil"/>
            </w:tcBorders>
            <w:noWrap w:val="0"/>
            <w:vAlign w:val="center"/>
          </w:tcPr>
          <w:p w14:paraId="41179A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控制项目</w:t>
            </w:r>
          </w:p>
        </w:tc>
        <w:tc>
          <w:tcPr>
            <w:tcW w:w="1865" w:type="dxa"/>
            <w:tcBorders>
              <w:tl2br w:val="nil"/>
              <w:tr2bl w:val="nil"/>
            </w:tcBorders>
            <w:noWrap w:val="0"/>
            <w:vAlign w:val="center"/>
          </w:tcPr>
          <w:p w14:paraId="7E3724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出水水质（mg/L）</w:t>
            </w:r>
          </w:p>
        </w:tc>
        <w:tc>
          <w:tcPr>
            <w:tcW w:w="1955" w:type="dxa"/>
            <w:tcBorders>
              <w:tl2br w:val="nil"/>
              <w:tr2bl w:val="nil"/>
            </w:tcBorders>
            <w:noWrap w:val="0"/>
            <w:vAlign w:val="center"/>
          </w:tcPr>
          <w:p w14:paraId="4D710B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排水量（万m</w:t>
            </w:r>
            <w:r>
              <w:rPr>
                <w:rFonts w:hint="default" w:ascii="Times New Roman" w:hAnsi="Times New Roman" w:eastAsia="宋体" w:cs="Times New Roman"/>
                <w:color w:val="000000" w:themeColor="text1"/>
                <w:spacing w:val="0"/>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/a）</w:t>
            </w:r>
          </w:p>
        </w:tc>
        <w:tc>
          <w:tcPr>
            <w:tcW w:w="1402" w:type="dxa"/>
            <w:tcBorders>
              <w:tl2br w:val="nil"/>
              <w:tr2bl w:val="nil"/>
            </w:tcBorders>
            <w:noWrap w:val="0"/>
            <w:vAlign w:val="center"/>
          </w:tcPr>
          <w:p w14:paraId="771DE1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年排放量（t/a）</w:t>
            </w:r>
          </w:p>
        </w:tc>
        <w:tc>
          <w:tcPr>
            <w:tcW w:w="1340" w:type="dxa"/>
            <w:tcBorders>
              <w:tl2br w:val="nil"/>
              <w:tr2bl w:val="nil"/>
            </w:tcBorders>
            <w:noWrap w:val="0"/>
            <w:vAlign w:val="center"/>
          </w:tcPr>
          <w:p w14:paraId="0A56EE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日排放量（t/d）</w:t>
            </w:r>
          </w:p>
        </w:tc>
      </w:tr>
      <w:tr w14:paraId="2FFF8C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9" w:type="dxa"/>
            <w:tcBorders>
              <w:tl2br w:val="nil"/>
              <w:tr2bl w:val="nil"/>
            </w:tcBorders>
            <w:noWrap w:val="0"/>
            <w:vAlign w:val="center"/>
          </w:tcPr>
          <w:p w14:paraId="3180C7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t>1</w:t>
            </w:r>
          </w:p>
        </w:tc>
        <w:tc>
          <w:tcPr>
            <w:tcW w:w="1133" w:type="dxa"/>
            <w:tcBorders>
              <w:tl2br w:val="nil"/>
              <w:tr2bl w:val="nil"/>
            </w:tcBorders>
            <w:noWrap w:val="0"/>
            <w:vAlign w:val="center"/>
          </w:tcPr>
          <w:p w14:paraId="0CD33B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COD</w:t>
            </w:r>
          </w:p>
        </w:tc>
        <w:tc>
          <w:tcPr>
            <w:tcW w:w="1865" w:type="dxa"/>
            <w:tcBorders>
              <w:tl2br w:val="nil"/>
              <w:tr2bl w:val="nil"/>
            </w:tcBorders>
            <w:noWrap w:val="0"/>
            <w:vAlign w:val="center"/>
          </w:tcPr>
          <w:p w14:paraId="5A83D0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50</w:t>
            </w:r>
          </w:p>
        </w:tc>
        <w:tc>
          <w:tcPr>
            <w:tcW w:w="1955" w:type="dxa"/>
            <w:vMerge w:val="restart"/>
            <w:tcBorders>
              <w:tl2br w:val="nil"/>
              <w:tr2bl w:val="nil"/>
            </w:tcBorders>
            <w:noWrap w:val="0"/>
            <w:vAlign w:val="center"/>
          </w:tcPr>
          <w:p w14:paraId="472613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cs="Times New Roman"/>
                <w:b w:val="0"/>
                <w:bCs/>
                <w:color w:val="000000" w:themeColor="text1"/>
                <w:spacing w:val="0"/>
                <w:sz w:val="21"/>
                <w:szCs w:val="21"/>
                <w:highlight w:val="none"/>
                <w:lang w:val="en-US" w:eastAsia="zh-CN"/>
                <w14:textFill>
                  <w14:solidFill>
                    <w14:schemeClr w14:val="tx1"/>
                  </w14:solidFill>
                </w14:textFill>
              </w:rPr>
              <w:t>547.5</w:t>
            </w:r>
          </w:p>
        </w:tc>
        <w:tc>
          <w:tcPr>
            <w:tcW w:w="1402" w:type="dxa"/>
            <w:tcBorders>
              <w:tl2br w:val="nil"/>
              <w:tr2bl w:val="nil"/>
            </w:tcBorders>
            <w:noWrap w:val="0"/>
            <w:vAlign w:val="center"/>
          </w:tcPr>
          <w:p w14:paraId="21420E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cs="Times New Roman"/>
                <w:b w:val="0"/>
                <w:bCs/>
                <w:color w:val="000000" w:themeColor="text1"/>
                <w:spacing w:val="0"/>
                <w:sz w:val="21"/>
                <w:szCs w:val="21"/>
                <w:highlight w:val="none"/>
                <w:lang w:val="en-US" w:eastAsia="zh-CN"/>
                <w14:textFill>
                  <w14:solidFill>
                    <w14:schemeClr w14:val="tx1"/>
                  </w14:solidFill>
                </w14:textFill>
              </w:rPr>
              <w:t>273.75</w:t>
            </w:r>
          </w:p>
        </w:tc>
        <w:tc>
          <w:tcPr>
            <w:tcW w:w="1340" w:type="dxa"/>
            <w:tcBorders>
              <w:tl2br w:val="nil"/>
              <w:tr2bl w:val="nil"/>
            </w:tcBorders>
            <w:noWrap w:val="0"/>
            <w:vAlign w:val="center"/>
          </w:tcPr>
          <w:p w14:paraId="6534F2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cs="Times New Roman"/>
                <w:b w:val="0"/>
                <w:bCs/>
                <w:color w:val="000000" w:themeColor="text1"/>
                <w:spacing w:val="0"/>
                <w:sz w:val="21"/>
                <w:szCs w:val="21"/>
                <w:highlight w:val="none"/>
                <w:lang w:val="en-US" w:eastAsia="zh-CN"/>
                <w14:textFill>
                  <w14:solidFill>
                    <w14:schemeClr w14:val="tx1"/>
                  </w14:solidFill>
                </w14:textFill>
              </w:rPr>
              <w:t>0.75</w:t>
            </w:r>
          </w:p>
        </w:tc>
      </w:tr>
      <w:tr w14:paraId="20AFB6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9" w:type="dxa"/>
            <w:tcBorders>
              <w:tl2br w:val="nil"/>
              <w:tr2bl w:val="nil"/>
            </w:tcBorders>
            <w:noWrap w:val="0"/>
            <w:vAlign w:val="center"/>
          </w:tcPr>
          <w:p w14:paraId="44E1302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t>2</w:t>
            </w:r>
          </w:p>
        </w:tc>
        <w:tc>
          <w:tcPr>
            <w:tcW w:w="1133" w:type="dxa"/>
            <w:tcBorders>
              <w:tl2br w:val="nil"/>
              <w:tr2bl w:val="nil"/>
            </w:tcBorders>
            <w:noWrap w:val="0"/>
            <w:vAlign w:val="center"/>
          </w:tcPr>
          <w:p w14:paraId="34107D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NH</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-N</w:t>
            </w:r>
          </w:p>
        </w:tc>
        <w:tc>
          <w:tcPr>
            <w:tcW w:w="1865" w:type="dxa"/>
            <w:tcBorders>
              <w:tl2br w:val="nil"/>
              <w:tr2bl w:val="nil"/>
            </w:tcBorders>
            <w:noWrap w:val="0"/>
            <w:vAlign w:val="center"/>
          </w:tcPr>
          <w:p w14:paraId="038BF5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5</w:t>
            </w:r>
          </w:p>
        </w:tc>
        <w:tc>
          <w:tcPr>
            <w:tcW w:w="1955" w:type="dxa"/>
            <w:vMerge w:val="continue"/>
            <w:tcBorders>
              <w:tl2br w:val="nil"/>
              <w:tr2bl w:val="nil"/>
            </w:tcBorders>
            <w:noWrap w:val="0"/>
            <w:vAlign w:val="center"/>
          </w:tcPr>
          <w:p w14:paraId="1A25574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pPr>
          </w:p>
        </w:tc>
        <w:tc>
          <w:tcPr>
            <w:tcW w:w="1402" w:type="dxa"/>
            <w:tcBorders>
              <w:tl2br w:val="nil"/>
              <w:tr2bl w:val="nil"/>
            </w:tcBorders>
            <w:noWrap w:val="0"/>
            <w:vAlign w:val="center"/>
          </w:tcPr>
          <w:p w14:paraId="222758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cs="Times New Roman"/>
                <w:b w:val="0"/>
                <w:bCs/>
                <w:color w:val="000000" w:themeColor="text1"/>
                <w:spacing w:val="0"/>
                <w:sz w:val="21"/>
                <w:szCs w:val="21"/>
                <w:highlight w:val="none"/>
                <w:lang w:val="en-US" w:eastAsia="zh-CN"/>
                <w14:textFill>
                  <w14:solidFill>
                    <w14:schemeClr w14:val="tx1"/>
                  </w14:solidFill>
                </w14:textFill>
              </w:rPr>
              <w:t>27.38</w:t>
            </w:r>
          </w:p>
        </w:tc>
        <w:tc>
          <w:tcPr>
            <w:tcW w:w="1340" w:type="dxa"/>
            <w:tcBorders>
              <w:tl2br w:val="nil"/>
              <w:tr2bl w:val="nil"/>
            </w:tcBorders>
            <w:noWrap w:val="0"/>
            <w:vAlign w:val="center"/>
          </w:tcPr>
          <w:p w14:paraId="4414F57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cs="Times New Roman"/>
                <w:b w:val="0"/>
                <w:bCs/>
                <w:color w:val="000000" w:themeColor="text1"/>
                <w:spacing w:val="0"/>
                <w:sz w:val="21"/>
                <w:szCs w:val="21"/>
                <w:highlight w:val="none"/>
                <w:lang w:val="en-US" w:eastAsia="zh-CN"/>
                <w14:textFill>
                  <w14:solidFill>
                    <w14:schemeClr w14:val="tx1"/>
                  </w14:solidFill>
                </w14:textFill>
              </w:rPr>
              <w:t>0.075</w:t>
            </w:r>
          </w:p>
        </w:tc>
      </w:tr>
      <w:tr w14:paraId="20F594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9" w:type="dxa"/>
            <w:tcBorders>
              <w:tl2br w:val="nil"/>
              <w:tr2bl w:val="nil"/>
            </w:tcBorders>
            <w:noWrap w:val="0"/>
            <w:vAlign w:val="center"/>
          </w:tcPr>
          <w:p w14:paraId="794F96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t>3</w:t>
            </w:r>
          </w:p>
        </w:tc>
        <w:tc>
          <w:tcPr>
            <w:tcW w:w="1133" w:type="dxa"/>
            <w:tcBorders>
              <w:tl2br w:val="nil"/>
              <w:tr2bl w:val="nil"/>
            </w:tcBorders>
            <w:noWrap w:val="0"/>
            <w:vAlign w:val="center"/>
          </w:tcPr>
          <w:p w14:paraId="295C8D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BOD</w:t>
            </w:r>
            <w:r>
              <w:rPr>
                <w:rFonts w:hint="eastAsia"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5</w:t>
            </w:r>
          </w:p>
        </w:tc>
        <w:tc>
          <w:tcPr>
            <w:tcW w:w="1865" w:type="dxa"/>
            <w:tcBorders>
              <w:tl2br w:val="nil"/>
              <w:tr2bl w:val="nil"/>
            </w:tcBorders>
            <w:noWrap w:val="0"/>
            <w:vAlign w:val="center"/>
          </w:tcPr>
          <w:p w14:paraId="214A13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10</w:t>
            </w:r>
          </w:p>
        </w:tc>
        <w:tc>
          <w:tcPr>
            <w:tcW w:w="1955" w:type="dxa"/>
            <w:vMerge w:val="continue"/>
            <w:tcBorders>
              <w:tl2br w:val="nil"/>
              <w:tr2bl w:val="nil"/>
            </w:tcBorders>
            <w:noWrap w:val="0"/>
            <w:vAlign w:val="center"/>
          </w:tcPr>
          <w:p w14:paraId="21F7DE2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pPr>
          </w:p>
        </w:tc>
        <w:tc>
          <w:tcPr>
            <w:tcW w:w="1402" w:type="dxa"/>
            <w:tcBorders>
              <w:tl2br w:val="nil"/>
              <w:tr2bl w:val="nil"/>
            </w:tcBorders>
            <w:noWrap w:val="0"/>
            <w:vAlign w:val="center"/>
          </w:tcPr>
          <w:p w14:paraId="4CFC6B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cs="Times New Roman"/>
                <w:b w:val="0"/>
                <w:bCs/>
                <w:color w:val="000000" w:themeColor="text1"/>
                <w:spacing w:val="0"/>
                <w:sz w:val="21"/>
                <w:szCs w:val="21"/>
                <w:highlight w:val="none"/>
                <w:lang w:val="en-US" w:eastAsia="zh-CN"/>
                <w14:textFill>
                  <w14:solidFill>
                    <w14:schemeClr w14:val="tx1"/>
                  </w14:solidFill>
                </w14:textFill>
              </w:rPr>
              <w:t>54.75</w:t>
            </w:r>
          </w:p>
        </w:tc>
        <w:tc>
          <w:tcPr>
            <w:tcW w:w="1340" w:type="dxa"/>
            <w:tcBorders>
              <w:tl2br w:val="nil"/>
              <w:tr2bl w:val="nil"/>
            </w:tcBorders>
            <w:noWrap w:val="0"/>
            <w:vAlign w:val="center"/>
          </w:tcPr>
          <w:p w14:paraId="30CF31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cs="Times New Roman"/>
                <w:b w:val="0"/>
                <w:bCs/>
                <w:color w:val="000000" w:themeColor="text1"/>
                <w:spacing w:val="0"/>
                <w:sz w:val="21"/>
                <w:szCs w:val="21"/>
                <w:highlight w:val="none"/>
                <w:lang w:val="en-US" w:eastAsia="zh-CN"/>
                <w14:textFill>
                  <w14:solidFill>
                    <w14:schemeClr w14:val="tx1"/>
                  </w14:solidFill>
                </w14:textFill>
              </w:rPr>
              <w:t>0.15</w:t>
            </w:r>
          </w:p>
        </w:tc>
      </w:tr>
      <w:tr w14:paraId="3E4401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9" w:type="dxa"/>
            <w:tcBorders>
              <w:tl2br w:val="nil"/>
              <w:tr2bl w:val="nil"/>
            </w:tcBorders>
            <w:noWrap w:val="0"/>
            <w:vAlign w:val="center"/>
          </w:tcPr>
          <w:p w14:paraId="676720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t>4</w:t>
            </w:r>
          </w:p>
        </w:tc>
        <w:tc>
          <w:tcPr>
            <w:tcW w:w="1133" w:type="dxa"/>
            <w:tcBorders>
              <w:tl2br w:val="nil"/>
              <w:tr2bl w:val="nil"/>
            </w:tcBorders>
            <w:noWrap w:val="0"/>
            <w:vAlign w:val="center"/>
          </w:tcPr>
          <w:p w14:paraId="38A8AA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SS</w:t>
            </w:r>
          </w:p>
        </w:tc>
        <w:tc>
          <w:tcPr>
            <w:tcW w:w="1865" w:type="dxa"/>
            <w:tcBorders>
              <w:tl2br w:val="nil"/>
              <w:tr2bl w:val="nil"/>
            </w:tcBorders>
            <w:noWrap w:val="0"/>
            <w:vAlign w:val="center"/>
          </w:tcPr>
          <w:p w14:paraId="56A0BE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50</w:t>
            </w:r>
          </w:p>
        </w:tc>
        <w:tc>
          <w:tcPr>
            <w:tcW w:w="1955" w:type="dxa"/>
            <w:vMerge w:val="continue"/>
            <w:tcBorders>
              <w:tl2br w:val="nil"/>
              <w:tr2bl w:val="nil"/>
            </w:tcBorders>
            <w:noWrap w:val="0"/>
            <w:vAlign w:val="center"/>
          </w:tcPr>
          <w:p w14:paraId="61A520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pPr>
          </w:p>
        </w:tc>
        <w:tc>
          <w:tcPr>
            <w:tcW w:w="1402" w:type="dxa"/>
            <w:tcBorders>
              <w:tl2br w:val="nil"/>
              <w:tr2bl w:val="nil"/>
            </w:tcBorders>
            <w:noWrap w:val="0"/>
            <w:vAlign w:val="center"/>
          </w:tcPr>
          <w:p w14:paraId="23451B8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cs="Times New Roman"/>
                <w:b w:val="0"/>
                <w:bCs/>
                <w:color w:val="000000" w:themeColor="text1"/>
                <w:spacing w:val="0"/>
                <w:sz w:val="21"/>
                <w:szCs w:val="21"/>
                <w:highlight w:val="none"/>
                <w:lang w:val="en-US" w:eastAsia="zh-CN"/>
                <w14:textFill>
                  <w14:solidFill>
                    <w14:schemeClr w14:val="tx1"/>
                  </w14:solidFill>
                </w14:textFill>
              </w:rPr>
              <w:t>273.75</w:t>
            </w:r>
          </w:p>
        </w:tc>
        <w:tc>
          <w:tcPr>
            <w:tcW w:w="1340" w:type="dxa"/>
            <w:tcBorders>
              <w:tl2br w:val="nil"/>
              <w:tr2bl w:val="nil"/>
            </w:tcBorders>
            <w:noWrap w:val="0"/>
            <w:vAlign w:val="center"/>
          </w:tcPr>
          <w:p w14:paraId="55E7BB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cs="Times New Roman"/>
                <w:b w:val="0"/>
                <w:bCs/>
                <w:color w:val="000000" w:themeColor="text1"/>
                <w:spacing w:val="0"/>
                <w:sz w:val="21"/>
                <w:szCs w:val="21"/>
                <w:highlight w:val="none"/>
                <w:lang w:val="en-US" w:eastAsia="zh-CN"/>
                <w14:textFill>
                  <w14:solidFill>
                    <w14:schemeClr w14:val="tx1"/>
                  </w14:solidFill>
                </w14:textFill>
              </w:rPr>
              <w:t>0.75</w:t>
            </w:r>
          </w:p>
        </w:tc>
      </w:tr>
      <w:tr w14:paraId="34B1B4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9" w:type="dxa"/>
            <w:tcBorders>
              <w:tl2br w:val="nil"/>
              <w:tr2bl w:val="nil"/>
            </w:tcBorders>
            <w:noWrap w:val="0"/>
            <w:vAlign w:val="center"/>
          </w:tcPr>
          <w:p w14:paraId="7C5E72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t>5</w:t>
            </w:r>
          </w:p>
        </w:tc>
        <w:tc>
          <w:tcPr>
            <w:tcW w:w="1133" w:type="dxa"/>
            <w:tcBorders>
              <w:tl2br w:val="nil"/>
              <w:tr2bl w:val="nil"/>
            </w:tcBorders>
            <w:noWrap w:val="0"/>
            <w:vAlign w:val="center"/>
          </w:tcPr>
          <w:p w14:paraId="79E0F1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总磷</w:t>
            </w:r>
          </w:p>
        </w:tc>
        <w:tc>
          <w:tcPr>
            <w:tcW w:w="1865" w:type="dxa"/>
            <w:tcBorders>
              <w:tl2br w:val="nil"/>
              <w:tr2bl w:val="nil"/>
            </w:tcBorders>
            <w:noWrap w:val="0"/>
            <w:vAlign w:val="center"/>
          </w:tcPr>
          <w:p w14:paraId="6692E2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w:t>
            </w:r>
            <w:r>
              <w:rPr>
                <w:rFonts w:hint="eastAsia" w:cs="Times New Roman"/>
                <w:color w:val="000000" w:themeColor="text1"/>
                <w:sz w:val="21"/>
                <w:szCs w:val="21"/>
                <w:highlight w:val="none"/>
                <w:vertAlign w:val="baseline"/>
                <w:lang w:val="en-US" w:eastAsia="zh-CN"/>
                <w14:textFill>
                  <w14:solidFill>
                    <w14:schemeClr w14:val="tx1"/>
                  </w14:solidFill>
                </w14:textFill>
              </w:rPr>
              <w:t>.5</w:t>
            </w:r>
          </w:p>
        </w:tc>
        <w:tc>
          <w:tcPr>
            <w:tcW w:w="1955" w:type="dxa"/>
            <w:vMerge w:val="continue"/>
            <w:tcBorders>
              <w:tl2br w:val="nil"/>
              <w:tr2bl w:val="nil"/>
            </w:tcBorders>
            <w:noWrap w:val="0"/>
            <w:vAlign w:val="center"/>
          </w:tcPr>
          <w:p w14:paraId="1728E1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pPr>
          </w:p>
        </w:tc>
        <w:tc>
          <w:tcPr>
            <w:tcW w:w="1402" w:type="dxa"/>
            <w:tcBorders>
              <w:tl2br w:val="nil"/>
              <w:tr2bl w:val="nil"/>
            </w:tcBorders>
            <w:noWrap w:val="0"/>
            <w:vAlign w:val="center"/>
          </w:tcPr>
          <w:p w14:paraId="74031CD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cs="Times New Roman"/>
                <w:b w:val="0"/>
                <w:bCs/>
                <w:color w:val="000000" w:themeColor="text1"/>
                <w:spacing w:val="0"/>
                <w:sz w:val="21"/>
                <w:szCs w:val="21"/>
                <w:highlight w:val="none"/>
                <w:lang w:val="en-US" w:eastAsia="zh-CN"/>
                <w14:textFill>
                  <w14:solidFill>
                    <w14:schemeClr w14:val="tx1"/>
                  </w14:solidFill>
                </w14:textFill>
              </w:rPr>
              <w:t>2.74</w:t>
            </w:r>
          </w:p>
        </w:tc>
        <w:tc>
          <w:tcPr>
            <w:tcW w:w="1340" w:type="dxa"/>
            <w:tcBorders>
              <w:tl2br w:val="nil"/>
              <w:tr2bl w:val="nil"/>
            </w:tcBorders>
            <w:noWrap w:val="0"/>
            <w:vAlign w:val="center"/>
          </w:tcPr>
          <w:p w14:paraId="2D4300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cs="Times New Roman"/>
                <w:b w:val="0"/>
                <w:bCs/>
                <w:color w:val="000000" w:themeColor="text1"/>
                <w:spacing w:val="0"/>
                <w:sz w:val="21"/>
                <w:szCs w:val="21"/>
                <w:highlight w:val="none"/>
                <w:lang w:val="en-US" w:eastAsia="zh-CN"/>
                <w14:textFill>
                  <w14:solidFill>
                    <w14:schemeClr w14:val="tx1"/>
                  </w14:solidFill>
                </w14:textFill>
              </w:rPr>
              <w:t>0.0075</w:t>
            </w:r>
          </w:p>
        </w:tc>
      </w:tr>
      <w:tr w14:paraId="6B41BE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9" w:type="dxa"/>
            <w:tcBorders>
              <w:tl2br w:val="nil"/>
              <w:tr2bl w:val="nil"/>
            </w:tcBorders>
            <w:noWrap w:val="0"/>
            <w:vAlign w:val="center"/>
          </w:tcPr>
          <w:p w14:paraId="7530829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t>6</w:t>
            </w:r>
          </w:p>
        </w:tc>
        <w:tc>
          <w:tcPr>
            <w:tcW w:w="1133" w:type="dxa"/>
            <w:tcBorders>
              <w:tl2br w:val="nil"/>
              <w:tr2bl w:val="nil"/>
            </w:tcBorders>
            <w:noWrap w:val="0"/>
            <w:vAlign w:val="center"/>
          </w:tcPr>
          <w:p w14:paraId="6BA0E34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总氮</w:t>
            </w:r>
          </w:p>
        </w:tc>
        <w:tc>
          <w:tcPr>
            <w:tcW w:w="1865" w:type="dxa"/>
            <w:tcBorders>
              <w:tl2br w:val="nil"/>
              <w:tr2bl w:val="nil"/>
            </w:tcBorders>
            <w:noWrap w:val="0"/>
            <w:vAlign w:val="center"/>
          </w:tcPr>
          <w:p w14:paraId="409850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r>
              <w:rPr>
                <w:rFonts w:hint="eastAsia" w:cs="Times New Roman"/>
                <w:color w:val="000000" w:themeColor="text1"/>
                <w:sz w:val="21"/>
                <w:szCs w:val="21"/>
                <w:highlight w:val="none"/>
                <w:vertAlign w:val="baseline"/>
                <w:lang w:val="en-US" w:eastAsia="zh-CN"/>
                <w14:textFill>
                  <w14:solidFill>
                    <w14:schemeClr w14:val="tx1"/>
                  </w14:solidFill>
                </w14:textFill>
              </w:rPr>
              <w:t>5</w:t>
            </w:r>
          </w:p>
        </w:tc>
        <w:tc>
          <w:tcPr>
            <w:tcW w:w="1955" w:type="dxa"/>
            <w:vMerge w:val="continue"/>
            <w:tcBorders>
              <w:tl2br w:val="nil"/>
              <w:tr2bl w:val="nil"/>
            </w:tcBorders>
            <w:noWrap w:val="0"/>
            <w:vAlign w:val="center"/>
          </w:tcPr>
          <w:p w14:paraId="4F318F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14:textFill>
                  <w14:solidFill>
                    <w14:schemeClr w14:val="tx1"/>
                  </w14:solidFill>
                </w14:textFill>
              </w:rPr>
            </w:pPr>
          </w:p>
        </w:tc>
        <w:tc>
          <w:tcPr>
            <w:tcW w:w="1402" w:type="dxa"/>
            <w:tcBorders>
              <w:tl2br w:val="nil"/>
              <w:tr2bl w:val="nil"/>
            </w:tcBorders>
            <w:noWrap w:val="0"/>
            <w:vAlign w:val="center"/>
          </w:tcPr>
          <w:p w14:paraId="1D29FF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cs="Times New Roman"/>
                <w:b w:val="0"/>
                <w:bCs/>
                <w:color w:val="000000" w:themeColor="text1"/>
                <w:spacing w:val="0"/>
                <w:sz w:val="21"/>
                <w:szCs w:val="21"/>
                <w:highlight w:val="none"/>
                <w:lang w:val="en-US" w:eastAsia="zh-CN"/>
                <w14:textFill>
                  <w14:solidFill>
                    <w14:schemeClr w14:val="tx1"/>
                  </w14:solidFill>
                </w14:textFill>
              </w:rPr>
              <w:t>82.13</w:t>
            </w:r>
          </w:p>
        </w:tc>
        <w:tc>
          <w:tcPr>
            <w:tcW w:w="1340" w:type="dxa"/>
            <w:tcBorders>
              <w:tl2br w:val="nil"/>
              <w:tr2bl w:val="nil"/>
            </w:tcBorders>
            <w:noWrap w:val="0"/>
            <w:vAlign w:val="center"/>
          </w:tcPr>
          <w:p w14:paraId="48A769A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cs="Times New Roman"/>
                <w:b w:val="0"/>
                <w:bCs/>
                <w:color w:val="000000" w:themeColor="text1"/>
                <w:spacing w:val="0"/>
                <w:sz w:val="21"/>
                <w:szCs w:val="21"/>
                <w:highlight w:val="none"/>
                <w:lang w:val="en-US" w:eastAsia="zh-CN"/>
                <w14:textFill>
                  <w14:solidFill>
                    <w14:schemeClr w14:val="tx1"/>
                  </w14:solidFill>
                </w14:textFill>
              </w:rPr>
              <w:t>0.225</w:t>
            </w:r>
          </w:p>
        </w:tc>
      </w:tr>
    </w:tbl>
    <w:p w14:paraId="61EC8C9B">
      <w:pPr>
        <w:rPr>
          <w:color w:val="000000" w:themeColor="text1"/>
          <w:highlight w:val="none"/>
          <w14:textFill>
            <w14:solidFill>
              <w14:schemeClr w14:val="tx1"/>
            </w14:solidFill>
          </w14:textFill>
        </w:rPr>
      </w:pPr>
    </w:p>
    <w:p w14:paraId="5262DAB2">
      <w:pPr>
        <w:pStyle w:val="3"/>
        <w:bidi w:val="0"/>
        <w:rPr>
          <w:rFonts w:hint="eastAsia"/>
          <w:color w:val="000000" w:themeColor="text1"/>
          <w:highlight w:val="none"/>
          <w:lang w:val="en-US" w:eastAsia="zh-CN"/>
          <w14:textFill>
            <w14:solidFill>
              <w14:schemeClr w14:val="tx1"/>
            </w14:solidFill>
          </w14:textFill>
        </w:rPr>
      </w:pPr>
      <w:bookmarkStart w:id="115" w:name="_Toc32040"/>
      <w:r>
        <w:rPr>
          <w:rFonts w:hint="eastAsia"/>
          <w:color w:val="000000" w:themeColor="text1"/>
          <w:highlight w:val="none"/>
          <w:lang w:val="en-US" w:eastAsia="zh-CN"/>
          <w14:textFill>
            <w14:solidFill>
              <w14:schemeClr w14:val="tx1"/>
            </w14:solidFill>
          </w14:textFill>
        </w:rPr>
        <w:t>5.2对二排干的地表水环境影响预测</w:t>
      </w:r>
      <w:bookmarkEnd w:id="115"/>
    </w:p>
    <w:p w14:paraId="0CE51CA1">
      <w:pPr>
        <w:pStyle w:val="4"/>
        <w:bidi w:val="0"/>
        <w:rPr>
          <w:rFonts w:hint="eastAsia"/>
          <w:color w:val="000000" w:themeColor="text1"/>
          <w:highlight w:val="none"/>
          <w:lang w:val="en-US" w:eastAsia="zh-CN"/>
          <w14:textFill>
            <w14:solidFill>
              <w14:schemeClr w14:val="tx1"/>
            </w14:solidFill>
          </w14:textFill>
        </w:rPr>
      </w:pPr>
      <w:bookmarkStart w:id="116" w:name="_Toc5836"/>
      <w:bookmarkStart w:id="117" w:name="_Toc2612"/>
      <w:r>
        <w:rPr>
          <w:rFonts w:hint="eastAsia"/>
          <w:color w:val="000000" w:themeColor="text1"/>
          <w:highlight w:val="none"/>
          <w:lang w:val="en-US" w:eastAsia="zh-CN"/>
          <w14:textFill>
            <w14:solidFill>
              <w14:schemeClr w14:val="tx1"/>
            </w14:solidFill>
          </w14:textFill>
        </w:rPr>
        <w:t>5.2.1预测时段、预测因子</w:t>
      </w:r>
      <w:bookmarkEnd w:id="116"/>
      <w:bookmarkEnd w:id="117"/>
    </w:p>
    <w:p w14:paraId="2799AFD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评价预测时段为枯水期，考虑本项目污染因子的特征和河流的水质现状，预测因子选择COD、NH</w:t>
      </w:r>
      <w:r>
        <w:rPr>
          <w:rFonts w:hint="eastAsia"/>
          <w:color w:val="000000" w:themeColor="text1"/>
          <w:highlight w:val="none"/>
          <w:vertAlign w:val="sub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-N、TP。</w:t>
      </w:r>
    </w:p>
    <w:p w14:paraId="752BE46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尾水为城镇生活污水+部分是食品加工企业废水经生化处理后排放，水温与受纳水体（二排干）水温基本一致，无明显温升/温降，不会造成热污染或低温水影响，因此未进行水温的环境影响分析。</w:t>
      </w:r>
    </w:p>
    <w:p w14:paraId="0B28A317">
      <w:pPr>
        <w:pStyle w:val="4"/>
        <w:bidi w:val="0"/>
        <w:rPr>
          <w:rFonts w:hint="eastAsia"/>
          <w:color w:val="000000" w:themeColor="text1"/>
          <w:highlight w:val="none"/>
          <w:lang w:val="en-US" w:eastAsia="zh-CN"/>
          <w14:textFill>
            <w14:solidFill>
              <w14:schemeClr w14:val="tx1"/>
            </w14:solidFill>
          </w14:textFill>
        </w:rPr>
      </w:pPr>
      <w:bookmarkStart w:id="118" w:name="_Toc29611"/>
      <w:bookmarkStart w:id="119" w:name="_Toc7329"/>
      <w:r>
        <w:rPr>
          <w:rFonts w:hint="eastAsia"/>
          <w:color w:val="000000" w:themeColor="text1"/>
          <w:highlight w:val="none"/>
          <w:lang w:val="en-US" w:eastAsia="zh-CN"/>
          <w14:textFill>
            <w14:solidFill>
              <w14:schemeClr w14:val="tx1"/>
            </w14:solidFill>
          </w14:textFill>
        </w:rPr>
        <w:t>5.2.2预测内容</w:t>
      </w:r>
      <w:bookmarkEnd w:id="118"/>
      <w:bookmarkEnd w:id="119"/>
    </w:p>
    <w:p w14:paraId="451E3A2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根据正常排放情况时污染物的排放量及源强，计算污染物在预测河段各断面不同位置的净增值。</w:t>
      </w:r>
    </w:p>
    <w:p w14:paraId="4D11014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根据事故排放情况（处理设施运行完全失效状态）时污染物的排放量，计算污染物在预测河段各断面不同位置的净增值，以此反映在不同情况下污染物对水环境的污染贡献程度，确定影响范围。</w:t>
      </w:r>
    </w:p>
    <w:p w14:paraId="51E00A7C">
      <w:pPr>
        <w:pStyle w:val="4"/>
        <w:bidi w:val="0"/>
        <w:rPr>
          <w:rFonts w:hint="eastAsia"/>
          <w:color w:val="000000" w:themeColor="text1"/>
          <w:highlight w:val="none"/>
          <w:lang w:val="en-US" w:eastAsia="zh-CN"/>
          <w14:textFill>
            <w14:solidFill>
              <w14:schemeClr w14:val="tx1"/>
            </w14:solidFill>
          </w14:textFill>
        </w:rPr>
      </w:pPr>
      <w:bookmarkStart w:id="120" w:name="_Toc29219"/>
      <w:bookmarkStart w:id="121" w:name="_Toc31391"/>
      <w:r>
        <w:rPr>
          <w:rFonts w:hint="eastAsia"/>
          <w:color w:val="000000" w:themeColor="text1"/>
          <w:highlight w:val="none"/>
          <w:lang w:val="en-US" w:eastAsia="zh-CN"/>
          <w14:textFill>
            <w14:solidFill>
              <w14:schemeClr w14:val="tx1"/>
            </w14:solidFill>
          </w14:textFill>
        </w:rPr>
        <w:t>5.2.3污水源强</w:t>
      </w:r>
      <w:bookmarkEnd w:id="120"/>
      <w:bookmarkEnd w:id="121"/>
    </w:p>
    <w:p w14:paraId="63A671C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本项目一期工程扩建完成后，一期扩建部分污水处理规模1.5万m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/d，尾水部分回用于工业用水、市政杂用水等，其余部分经尾水经管道排入人工湿地，最终进入二排干，考虑到中水回用规模后续需根据用水企业实际情况确定，本次评价按照1.5万m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/d最大尾水排放量进行预测。</w:t>
      </w:r>
    </w:p>
    <w:p w14:paraId="3BD1F944">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表5.2-2  废水排放源强</w:t>
      </w:r>
    </w:p>
    <w:tbl>
      <w:tblPr>
        <w:tblStyle w:val="13"/>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46"/>
        <w:gridCol w:w="1062"/>
        <w:gridCol w:w="2038"/>
        <w:gridCol w:w="2090"/>
        <w:gridCol w:w="2090"/>
      </w:tblGrid>
      <w:tr w14:paraId="2EEFC2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46" w:type="dxa"/>
            <w:vMerge w:val="restart"/>
            <w:tcBorders>
              <w:tl2br w:val="nil"/>
              <w:tr2bl w:val="nil"/>
            </w:tcBorders>
            <w:vAlign w:val="center"/>
          </w:tcPr>
          <w:p w14:paraId="5DFACF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规模</w:t>
            </w:r>
          </w:p>
        </w:tc>
        <w:tc>
          <w:tcPr>
            <w:tcW w:w="1062" w:type="dxa"/>
            <w:vMerge w:val="restart"/>
            <w:tcBorders>
              <w:tl2br w:val="nil"/>
              <w:tr2bl w:val="nil"/>
            </w:tcBorders>
            <w:vAlign w:val="center"/>
          </w:tcPr>
          <w:p w14:paraId="46118B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预测因子</w:t>
            </w:r>
          </w:p>
        </w:tc>
        <w:tc>
          <w:tcPr>
            <w:tcW w:w="4128" w:type="dxa"/>
            <w:gridSpan w:val="2"/>
            <w:tcBorders>
              <w:tl2br w:val="nil"/>
              <w:tr2bl w:val="nil"/>
            </w:tcBorders>
            <w:vAlign w:val="center"/>
          </w:tcPr>
          <w:p w14:paraId="56A564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正常排放浓度（mg/L）</w:t>
            </w:r>
          </w:p>
        </w:tc>
        <w:tc>
          <w:tcPr>
            <w:tcW w:w="2090" w:type="dxa"/>
            <w:vMerge w:val="restart"/>
            <w:tcBorders>
              <w:tl2br w:val="nil"/>
              <w:tr2bl w:val="nil"/>
            </w:tcBorders>
            <w:vAlign w:val="center"/>
          </w:tcPr>
          <w:p w14:paraId="255306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非正常工况</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排放浓度（mg/L）</w:t>
            </w:r>
          </w:p>
        </w:tc>
      </w:tr>
      <w:tr w14:paraId="2F1E9B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46" w:type="dxa"/>
            <w:vMerge w:val="continue"/>
            <w:tcBorders>
              <w:tl2br w:val="nil"/>
              <w:tr2bl w:val="nil"/>
            </w:tcBorders>
            <w:vAlign w:val="center"/>
          </w:tcPr>
          <w:p w14:paraId="66BAEF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1062" w:type="dxa"/>
            <w:vMerge w:val="continue"/>
            <w:tcBorders>
              <w:tl2br w:val="nil"/>
              <w:tr2bl w:val="nil"/>
            </w:tcBorders>
            <w:vAlign w:val="center"/>
          </w:tcPr>
          <w:p w14:paraId="6F7664B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2038" w:type="dxa"/>
            <w:tcBorders>
              <w:tl2br w:val="nil"/>
              <w:tr2bl w:val="nil"/>
            </w:tcBorders>
            <w:vAlign w:val="center"/>
          </w:tcPr>
          <w:p w14:paraId="4B7D8D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一期工程出水</w:t>
            </w:r>
          </w:p>
        </w:tc>
        <w:tc>
          <w:tcPr>
            <w:tcW w:w="2090" w:type="dxa"/>
            <w:tcBorders>
              <w:tl2br w:val="nil"/>
              <w:tr2bl w:val="nil"/>
            </w:tcBorders>
            <w:vAlign w:val="center"/>
          </w:tcPr>
          <w:p w14:paraId="560846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人工湿地出水</w:t>
            </w:r>
          </w:p>
        </w:tc>
        <w:tc>
          <w:tcPr>
            <w:tcW w:w="2090" w:type="dxa"/>
            <w:vMerge w:val="continue"/>
            <w:tcBorders>
              <w:tl2br w:val="nil"/>
              <w:tr2bl w:val="nil"/>
            </w:tcBorders>
            <w:vAlign w:val="center"/>
          </w:tcPr>
          <w:p w14:paraId="0DDC9B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36EFDF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46" w:type="dxa"/>
            <w:vMerge w:val="restart"/>
            <w:tcBorders>
              <w:tl2br w:val="nil"/>
              <w:tr2bl w:val="nil"/>
            </w:tcBorders>
            <w:vAlign w:val="center"/>
          </w:tcPr>
          <w:p w14:paraId="1C3F93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1.5万m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/d（即547.5万m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/a）</w:t>
            </w:r>
          </w:p>
        </w:tc>
        <w:tc>
          <w:tcPr>
            <w:tcW w:w="1062" w:type="dxa"/>
            <w:tcBorders>
              <w:tl2br w:val="nil"/>
              <w:tr2bl w:val="nil"/>
            </w:tcBorders>
            <w:vAlign w:val="center"/>
          </w:tcPr>
          <w:p w14:paraId="75EE34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COD</w:t>
            </w:r>
          </w:p>
        </w:tc>
        <w:tc>
          <w:tcPr>
            <w:tcW w:w="2038" w:type="dxa"/>
            <w:tcBorders>
              <w:tl2br w:val="nil"/>
              <w:tr2bl w:val="nil"/>
            </w:tcBorders>
            <w:vAlign w:val="center"/>
          </w:tcPr>
          <w:p w14:paraId="468A0FB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50</w:t>
            </w:r>
          </w:p>
        </w:tc>
        <w:tc>
          <w:tcPr>
            <w:tcW w:w="2090" w:type="dxa"/>
            <w:tcBorders>
              <w:tl2br w:val="nil"/>
              <w:tr2bl w:val="nil"/>
            </w:tcBorders>
            <w:vAlign w:val="center"/>
          </w:tcPr>
          <w:p w14:paraId="1557E75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40</w:t>
            </w:r>
          </w:p>
        </w:tc>
        <w:tc>
          <w:tcPr>
            <w:tcW w:w="2090" w:type="dxa"/>
            <w:tcBorders>
              <w:tl2br w:val="nil"/>
              <w:tr2bl w:val="nil"/>
            </w:tcBorders>
            <w:vAlign w:val="center"/>
          </w:tcPr>
          <w:p w14:paraId="5E98A5D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500</w:t>
            </w:r>
          </w:p>
        </w:tc>
      </w:tr>
      <w:tr w14:paraId="4883D2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46" w:type="dxa"/>
            <w:vMerge w:val="continue"/>
            <w:tcBorders>
              <w:tl2br w:val="nil"/>
              <w:tr2bl w:val="nil"/>
            </w:tcBorders>
            <w:vAlign w:val="center"/>
          </w:tcPr>
          <w:p w14:paraId="4C9C00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1062" w:type="dxa"/>
            <w:tcBorders>
              <w:tl2br w:val="nil"/>
              <w:tr2bl w:val="nil"/>
            </w:tcBorders>
            <w:vAlign w:val="center"/>
          </w:tcPr>
          <w:p w14:paraId="06EFF1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NH</w:t>
            </w:r>
            <w:r>
              <w:rPr>
                <w:rFonts w:hint="default"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-N</w:t>
            </w:r>
          </w:p>
        </w:tc>
        <w:tc>
          <w:tcPr>
            <w:tcW w:w="2038" w:type="dxa"/>
            <w:tcBorders>
              <w:tl2br w:val="nil"/>
              <w:tr2bl w:val="nil"/>
            </w:tcBorders>
            <w:vAlign w:val="center"/>
          </w:tcPr>
          <w:p w14:paraId="2F29A8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5</w:t>
            </w:r>
          </w:p>
        </w:tc>
        <w:tc>
          <w:tcPr>
            <w:tcW w:w="2090" w:type="dxa"/>
            <w:tcBorders>
              <w:tl2br w:val="nil"/>
              <w:tr2bl w:val="nil"/>
            </w:tcBorders>
            <w:vAlign w:val="center"/>
          </w:tcPr>
          <w:p w14:paraId="1A8CF0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w:t>
            </w:r>
          </w:p>
        </w:tc>
        <w:tc>
          <w:tcPr>
            <w:tcW w:w="2090" w:type="dxa"/>
            <w:tcBorders>
              <w:tl2br w:val="nil"/>
              <w:tr2bl w:val="nil"/>
            </w:tcBorders>
            <w:vAlign w:val="center"/>
          </w:tcPr>
          <w:p w14:paraId="2866AF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45</w:t>
            </w:r>
          </w:p>
        </w:tc>
      </w:tr>
      <w:tr w14:paraId="0C16DE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46" w:type="dxa"/>
            <w:vMerge w:val="continue"/>
            <w:tcBorders>
              <w:tl2br w:val="nil"/>
              <w:tr2bl w:val="nil"/>
            </w:tcBorders>
            <w:vAlign w:val="center"/>
          </w:tcPr>
          <w:p w14:paraId="18843D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1062" w:type="dxa"/>
            <w:tcBorders>
              <w:tl2br w:val="nil"/>
              <w:tr2bl w:val="nil"/>
            </w:tcBorders>
            <w:vAlign w:val="center"/>
          </w:tcPr>
          <w:p w14:paraId="1B4223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TP</w:t>
            </w:r>
          </w:p>
        </w:tc>
        <w:tc>
          <w:tcPr>
            <w:tcW w:w="2038" w:type="dxa"/>
            <w:tcBorders>
              <w:tl2br w:val="nil"/>
              <w:tr2bl w:val="nil"/>
            </w:tcBorders>
            <w:vAlign w:val="center"/>
          </w:tcPr>
          <w:p w14:paraId="1140763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0.5</w:t>
            </w:r>
          </w:p>
        </w:tc>
        <w:tc>
          <w:tcPr>
            <w:tcW w:w="2090" w:type="dxa"/>
            <w:tcBorders>
              <w:tl2br w:val="nil"/>
              <w:tr2bl w:val="nil"/>
            </w:tcBorders>
            <w:vAlign w:val="center"/>
          </w:tcPr>
          <w:p w14:paraId="7DF2CA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0.4</w:t>
            </w:r>
          </w:p>
        </w:tc>
        <w:tc>
          <w:tcPr>
            <w:tcW w:w="2090" w:type="dxa"/>
            <w:tcBorders>
              <w:tl2br w:val="nil"/>
              <w:tr2bl w:val="nil"/>
            </w:tcBorders>
            <w:vAlign w:val="center"/>
          </w:tcPr>
          <w:p w14:paraId="3CD070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8</w:t>
            </w:r>
          </w:p>
        </w:tc>
      </w:tr>
    </w:tbl>
    <w:p w14:paraId="78F7E35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p>
    <w:p w14:paraId="72C1E87D">
      <w:pPr>
        <w:pStyle w:val="4"/>
        <w:bidi w:val="0"/>
        <w:rPr>
          <w:rFonts w:hint="eastAsia"/>
          <w:color w:val="000000" w:themeColor="text1"/>
          <w:highlight w:val="none"/>
          <w:lang w:val="en-US" w:eastAsia="zh-CN"/>
          <w14:textFill>
            <w14:solidFill>
              <w14:schemeClr w14:val="tx1"/>
            </w14:solidFill>
          </w14:textFill>
        </w:rPr>
      </w:pPr>
      <w:bookmarkStart w:id="122" w:name="_Toc30583"/>
      <w:bookmarkStart w:id="123" w:name="_Toc31804"/>
      <w:r>
        <w:rPr>
          <w:rFonts w:hint="eastAsia"/>
          <w:color w:val="000000" w:themeColor="text1"/>
          <w:highlight w:val="none"/>
          <w:lang w:val="en-US" w:eastAsia="zh-CN"/>
          <w14:textFill>
            <w14:solidFill>
              <w14:schemeClr w14:val="tx1"/>
            </w14:solidFill>
          </w14:textFill>
        </w:rPr>
        <w:t>5.2.4预测范围</w:t>
      </w:r>
      <w:bookmarkEnd w:id="122"/>
      <w:bookmarkEnd w:id="123"/>
    </w:p>
    <w:p w14:paraId="09C033A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入河排污口至二排干</w:t>
      </w:r>
      <w:r>
        <w:rPr>
          <w:rFonts w:hint="eastAsia"/>
          <w:color w:val="000000" w:themeColor="text1"/>
          <w:highlight w:val="none"/>
          <w:lang w:val="en-US" w:eastAsia="zh-CN"/>
          <w14:textFill>
            <w14:solidFill>
              <w14:schemeClr w14:val="tx1"/>
            </w14:solidFill>
          </w14:textFill>
        </w:rPr>
        <w:t>磴口与杭后交界处</w:t>
      </w:r>
      <w:r>
        <w:rPr>
          <w:rFonts w:hint="default"/>
          <w:color w:val="000000" w:themeColor="text1"/>
          <w:highlight w:val="none"/>
          <w:lang w:val="en-US" w:eastAsia="zh-CN"/>
          <w14:textFill>
            <w14:solidFill>
              <w14:schemeClr w14:val="tx1"/>
            </w14:solidFill>
          </w14:textFill>
        </w:rPr>
        <w:t>的完整河段，全长28.61km</w:t>
      </w:r>
      <w:r>
        <w:rPr>
          <w:rFonts w:hint="eastAsia"/>
          <w:color w:val="000000" w:themeColor="text1"/>
          <w:highlight w:val="none"/>
          <w:lang w:val="en-US" w:eastAsia="zh-CN"/>
          <w14:textFill>
            <w14:solidFill>
              <w14:schemeClr w14:val="tx1"/>
            </w14:solidFill>
          </w14:textFill>
        </w:rPr>
        <w:t>。</w:t>
      </w:r>
    </w:p>
    <w:p w14:paraId="2AD6B762">
      <w:pPr>
        <w:pStyle w:val="4"/>
        <w:bidi w:val="0"/>
        <w:rPr>
          <w:rFonts w:hint="default"/>
          <w:color w:val="000000" w:themeColor="text1"/>
          <w:highlight w:val="none"/>
          <w:lang w:val="en-US" w:eastAsia="zh-CN"/>
          <w14:textFill>
            <w14:solidFill>
              <w14:schemeClr w14:val="tx1"/>
            </w14:solidFill>
          </w14:textFill>
        </w:rPr>
      </w:pPr>
      <w:bookmarkStart w:id="124" w:name="_Toc18623"/>
      <w:bookmarkStart w:id="125" w:name="_Toc9831"/>
      <w:r>
        <w:rPr>
          <w:rFonts w:hint="eastAsia"/>
          <w:color w:val="000000" w:themeColor="text1"/>
          <w:highlight w:val="none"/>
          <w:lang w:val="en-US" w:eastAsia="zh-CN"/>
          <w14:textFill>
            <w14:solidFill>
              <w14:schemeClr w14:val="tx1"/>
            </w14:solidFill>
          </w14:textFill>
        </w:rPr>
        <w:t>5.2.5预测模型</w:t>
      </w:r>
      <w:bookmarkEnd w:id="124"/>
      <w:bookmarkEnd w:id="125"/>
    </w:p>
    <w:p w14:paraId="532FE7B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根据《水域纳污能力计算规程》（GB/T25173-2010），按计算河段的多年平均流量Q将计算河段划分为3种类型：Q≥150m</w:t>
      </w:r>
      <w:r>
        <w:rPr>
          <w:rFonts w:hint="eastAsia"/>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/s的为大型河段、15m</w:t>
      </w:r>
      <w:r>
        <w:rPr>
          <w:rFonts w:hint="eastAsia"/>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/s&lt;Q&lt;150m</w:t>
      </w:r>
      <w:r>
        <w:rPr>
          <w:rFonts w:hint="eastAsia"/>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/s的为中型河段、Q≤15m</w:t>
      </w:r>
      <w:r>
        <w:rPr>
          <w:rFonts w:hint="eastAsia"/>
          <w:color w:val="000000" w:themeColor="text1"/>
          <w:highlight w:val="none"/>
          <w:vertAlign w:val="super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/s的为小型河段。</w:t>
      </w:r>
    </w:p>
    <w:p w14:paraId="0239BB4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本项目纳污河流为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二排干</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，最终进入</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总排干</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根据《水域纳污能力计算规程》（GB/T25173-2010）的规定，其属于小型河流；对于中、小型河流，可认为污染物在河段横断面上均匀混合，对于污染物浓度沿程的变化，可采用纵向一维水质模型对本项目入河排污口排水情况进行模拟。计算一维水质模型方程如下：</w:t>
      </w:r>
    </w:p>
    <w:p w14:paraId="59503AE9">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eastAsia="宋体"/>
          <w:color w:val="000000" w:themeColor="text1"/>
          <w:sz w:val="24"/>
          <w:szCs w:val="24"/>
          <w:highlight w:val="none"/>
          <w14:textFill>
            <w14:solidFill>
              <w14:schemeClr w14:val="tx1"/>
            </w14:solidFill>
          </w14:textFill>
        </w:rPr>
      </w:pPr>
      <w:r>
        <w:rPr>
          <w:rFonts w:hint="eastAsia" w:eastAsia="宋体"/>
          <w:color w:val="000000" w:themeColor="text1"/>
          <w:sz w:val="24"/>
          <w:szCs w:val="24"/>
          <w:highlight w:val="none"/>
          <w:lang w:val="en-US" w:eastAsia="zh-CN"/>
          <w14:textFill>
            <w14:solidFill>
              <w14:schemeClr w14:val="tx1"/>
            </w14:solidFill>
          </w14:textFill>
        </w:rPr>
        <w:t>1、一</w:t>
      </w:r>
      <w:r>
        <w:rPr>
          <w:rFonts w:hint="eastAsia" w:eastAsia="宋体"/>
          <w:color w:val="000000" w:themeColor="text1"/>
          <w:sz w:val="24"/>
          <w:szCs w:val="24"/>
          <w:highlight w:val="none"/>
          <w14:textFill>
            <w14:solidFill>
              <w14:schemeClr w14:val="tx1"/>
            </w14:solidFill>
          </w14:textFill>
        </w:rPr>
        <w:t>维连续稳定排放预测模</w:t>
      </w:r>
      <w:r>
        <w:rPr>
          <w:rFonts w:hint="eastAsia" w:ascii="宋体" w:hAnsi="宋体" w:cs="宋体"/>
          <w:color w:val="000000" w:themeColor="text1"/>
          <w:spacing w:val="0"/>
          <w:kern w:val="0"/>
          <w:sz w:val="24"/>
          <w:szCs w:val="24"/>
          <w:highlight w:val="none"/>
          <w:lang w:bidi="ar"/>
          <w14:textFill>
            <w14:solidFill>
              <w14:schemeClr w14:val="tx1"/>
            </w14:solidFill>
          </w14:textFill>
        </w:rPr>
        <w:t>型方程</w:t>
      </w:r>
    </w:p>
    <w:p w14:paraId="65CDF299">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drawing>
          <wp:anchor distT="0" distB="0" distL="114300" distR="114300" simplePos="0" relativeHeight="251659264" behindDoc="0" locked="0" layoutInCell="1" allowOverlap="1">
            <wp:simplePos x="0" y="0"/>
            <wp:positionH relativeFrom="column">
              <wp:posOffset>3329940</wp:posOffset>
            </wp:positionH>
            <wp:positionV relativeFrom="paragraph">
              <wp:posOffset>496570</wp:posOffset>
            </wp:positionV>
            <wp:extent cx="286385" cy="474980"/>
            <wp:effectExtent l="0" t="0" r="0" b="1270"/>
            <wp:wrapNone/>
            <wp:docPr id="13" name="图片 2" descr="16506190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descr="1650619035(1)"/>
                    <pic:cNvPicPr>
                      <a:picLocks noChangeAspect="1"/>
                    </pic:cNvPicPr>
                  </pic:nvPicPr>
                  <pic:blipFill>
                    <a:blip r:embed="rId46">
                      <a:lum bright="-35999"/>
                    </a:blip>
                    <a:stretch>
                      <a:fillRect/>
                    </a:stretch>
                  </pic:blipFill>
                  <pic:spPr>
                    <a:xfrm>
                      <a:off x="0" y="0"/>
                      <a:ext cx="286385" cy="474980"/>
                    </a:xfrm>
                    <a:prstGeom prst="rect">
                      <a:avLst/>
                    </a:prstGeom>
                    <a:noFill/>
                    <a:ln>
                      <a:noFill/>
                    </a:ln>
                  </pic:spPr>
                </pic:pic>
              </a:graphicData>
            </a:graphic>
          </wp:anchor>
        </w:drawing>
      </w:r>
      <w:r>
        <w:rPr>
          <w:rFonts w:hint="eastAsia"/>
          <w:color w:val="000000" w:themeColor="text1"/>
          <w:sz w:val="24"/>
          <w:szCs w:val="24"/>
          <w:highlight w:val="none"/>
          <w14:textFill>
            <w14:solidFill>
              <w14:schemeClr w14:val="tx1"/>
            </w14:solidFill>
          </w14:textFill>
        </w:rPr>
        <w:drawing>
          <wp:inline distT="0" distB="0" distL="114300" distR="114300">
            <wp:extent cx="1756410" cy="470535"/>
            <wp:effectExtent l="0" t="0" r="15240" b="5715"/>
            <wp:docPr id="9" name="图片 1" descr="1650619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1650619026(1)"/>
                    <pic:cNvPicPr>
                      <a:picLocks noChangeAspect="1"/>
                    </pic:cNvPicPr>
                  </pic:nvPicPr>
                  <pic:blipFill>
                    <a:blip r:embed="rId47">
                      <a:lum bright="-41992" contrast="17998"/>
                    </a:blip>
                    <a:stretch>
                      <a:fillRect/>
                    </a:stretch>
                  </pic:blipFill>
                  <pic:spPr>
                    <a:xfrm>
                      <a:off x="0" y="0"/>
                      <a:ext cx="1756410" cy="470535"/>
                    </a:xfrm>
                    <a:prstGeom prst="rect">
                      <a:avLst/>
                    </a:prstGeom>
                    <a:noFill/>
                    <a:ln>
                      <a:noFill/>
                    </a:ln>
                  </pic:spPr>
                </pic:pic>
              </a:graphicData>
            </a:graphic>
          </wp:inline>
        </w:drawing>
      </w:r>
    </w:p>
    <w:p w14:paraId="0B1DAEB5">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eastAsia"/>
          <w:color w:val="000000" w:themeColor="text1"/>
          <w:spacing w:val="0"/>
          <w:sz w:val="24"/>
          <w:szCs w:val="24"/>
          <w:highlight w:val="none"/>
          <w14:textFill>
            <w14:solidFill>
              <w14:schemeClr w14:val="tx1"/>
            </w14:solidFill>
          </w14:textFill>
        </w:rPr>
      </w:pPr>
      <w:r>
        <w:rPr>
          <w:rFonts w:hint="eastAsia"/>
          <w:color w:val="000000" w:themeColor="text1"/>
          <w:spacing w:val="0"/>
          <w:sz w:val="24"/>
          <w:szCs w:val="24"/>
          <w:highlight w:val="none"/>
          <w14:textFill>
            <w14:solidFill>
              <w14:schemeClr w14:val="tx1"/>
            </w14:solidFill>
          </w14:textFill>
        </w:rPr>
        <w:t>如果浓度已达稳态平衡，不再随时间变化，即   =0，可得：</w:t>
      </w:r>
    </w:p>
    <w:p w14:paraId="45F6560F">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drawing>
          <wp:inline distT="0" distB="0" distL="114300" distR="114300">
            <wp:extent cx="2577465" cy="1200785"/>
            <wp:effectExtent l="0" t="0" r="13335" b="18415"/>
            <wp:docPr id="14" name="图片 2" descr="1650619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1650619043(1)"/>
                    <pic:cNvPicPr>
                      <a:picLocks noChangeAspect="1"/>
                    </pic:cNvPicPr>
                  </pic:nvPicPr>
                  <pic:blipFill>
                    <a:blip r:embed="rId48">
                      <a:lum bright="-29996" contrast="17998"/>
                    </a:blip>
                    <a:stretch>
                      <a:fillRect/>
                    </a:stretch>
                  </pic:blipFill>
                  <pic:spPr>
                    <a:xfrm>
                      <a:off x="0" y="0"/>
                      <a:ext cx="2577465" cy="1200785"/>
                    </a:xfrm>
                    <a:prstGeom prst="rect">
                      <a:avLst/>
                    </a:prstGeom>
                    <a:noFill/>
                    <a:ln>
                      <a:noFill/>
                    </a:ln>
                  </pic:spPr>
                </pic:pic>
              </a:graphicData>
            </a:graphic>
          </wp:inline>
        </w:drawing>
      </w:r>
    </w:p>
    <w:p w14:paraId="5F9F5688">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eastAsia"/>
          <w:color w:val="000000" w:themeColor="text1"/>
          <w:spacing w:val="0"/>
          <w:sz w:val="24"/>
          <w:szCs w:val="24"/>
          <w:highlight w:val="none"/>
          <w14:textFill>
            <w14:solidFill>
              <w14:schemeClr w14:val="tx1"/>
            </w14:solidFill>
          </w14:textFill>
        </w:rPr>
      </w:pPr>
      <w:r>
        <w:rPr>
          <w:rFonts w:hint="eastAsia"/>
          <w:color w:val="000000" w:themeColor="text1"/>
          <w:spacing w:val="0"/>
          <w:sz w:val="24"/>
          <w:szCs w:val="24"/>
          <w:highlight w:val="none"/>
          <w14:textFill>
            <w14:solidFill>
              <w14:schemeClr w14:val="tx1"/>
            </w14:solidFill>
          </w14:textFill>
        </w:rPr>
        <w:t>不考虑弥散作用，则简化为：</w:t>
      </w:r>
    </w:p>
    <w:p w14:paraId="607535C7">
      <w:pPr>
        <w:keepNext w:val="0"/>
        <w:keepLines w:val="0"/>
        <w:pageBreakBefore w:val="0"/>
        <w:widowControl w:val="0"/>
        <w:tabs>
          <w:tab w:val="left" w:pos="-213"/>
        </w:tabs>
        <w:kinsoku/>
        <w:wordWrap/>
        <w:overflowPunct/>
        <w:topLinePunct w:val="0"/>
        <w:autoSpaceDE/>
        <w:autoSpaceDN/>
        <w:bidi w:val="0"/>
        <w:adjustRightInd w:val="0"/>
        <w:snapToGrid w:val="0"/>
        <w:spacing w:line="360" w:lineRule="auto"/>
        <w:ind w:firstLine="0" w:firstLineChars="0"/>
        <w:jc w:val="center"/>
        <w:textAlignment w:val="auto"/>
        <w:rPr>
          <w:color w:val="000000" w:themeColor="text1"/>
          <w:spacing w:val="0"/>
          <w:sz w:val="24"/>
          <w:szCs w:val="24"/>
          <w:highlight w:val="none"/>
          <w14:textFill>
            <w14:solidFill>
              <w14:schemeClr w14:val="tx1"/>
            </w14:solidFill>
          </w14:textFill>
        </w:rPr>
      </w:pPr>
      <w:r>
        <w:rPr>
          <w:color w:val="000000" w:themeColor="text1"/>
          <w:spacing w:val="0"/>
          <w:sz w:val="24"/>
          <w:szCs w:val="24"/>
          <w:highlight w:val="none"/>
          <w14:textFill>
            <w14:solidFill>
              <w14:schemeClr w14:val="tx1"/>
            </w14:solidFill>
          </w14:textFill>
        </w:rPr>
        <w:drawing>
          <wp:inline distT="0" distB="0" distL="114300" distR="114300">
            <wp:extent cx="1530350" cy="584835"/>
            <wp:effectExtent l="0" t="0" r="12700" b="0"/>
            <wp:docPr id="12" name="图片 3" descr="1650619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descr="1650619049(1)"/>
                    <pic:cNvPicPr>
                      <a:picLocks noChangeAspect="1"/>
                    </pic:cNvPicPr>
                  </pic:nvPicPr>
                  <pic:blipFill>
                    <a:blip r:embed="rId49">
                      <a:lum bright="-23996" contrast="23999"/>
                    </a:blip>
                    <a:stretch>
                      <a:fillRect/>
                    </a:stretch>
                  </pic:blipFill>
                  <pic:spPr>
                    <a:xfrm>
                      <a:off x="0" y="0"/>
                      <a:ext cx="1530350" cy="584835"/>
                    </a:xfrm>
                    <a:prstGeom prst="rect">
                      <a:avLst/>
                    </a:prstGeom>
                    <a:noFill/>
                    <a:ln>
                      <a:noFill/>
                    </a:ln>
                  </pic:spPr>
                </pic:pic>
              </a:graphicData>
            </a:graphic>
          </wp:inline>
        </w:drawing>
      </w:r>
    </w:p>
    <w:p w14:paraId="2DC5A4CB">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eastAsia"/>
          <w:color w:val="000000" w:themeColor="text1"/>
          <w:spacing w:val="0"/>
          <w:sz w:val="24"/>
          <w:szCs w:val="24"/>
          <w:highlight w:val="none"/>
          <w14:textFill>
            <w14:solidFill>
              <w14:schemeClr w14:val="tx1"/>
            </w14:solidFill>
          </w14:textFill>
        </w:rPr>
      </w:pPr>
      <w:r>
        <w:rPr>
          <w:rFonts w:hint="eastAsia"/>
          <w:color w:val="000000" w:themeColor="text1"/>
          <w:spacing w:val="0"/>
          <w:sz w:val="24"/>
          <w:szCs w:val="24"/>
          <w:highlight w:val="none"/>
          <w14:textFill>
            <w14:solidFill>
              <w14:schemeClr w14:val="tx1"/>
            </w14:solidFill>
          </w14:textFill>
        </w:rPr>
        <w:t>式中：Cx</w:t>
      </w:r>
      <w:r>
        <w:rPr>
          <w:color w:val="000000" w:themeColor="text1"/>
          <w:spacing w:val="0"/>
          <w:sz w:val="24"/>
          <w:szCs w:val="24"/>
          <w:highlight w:val="none"/>
          <w14:textFill>
            <w14:solidFill>
              <w14:schemeClr w14:val="tx1"/>
            </w14:solidFill>
          </w14:textFill>
        </w:rPr>
        <w:t>—</w:t>
      </w:r>
      <w:r>
        <w:rPr>
          <w:rFonts w:hint="eastAsia"/>
          <w:color w:val="000000" w:themeColor="text1"/>
          <w:spacing w:val="0"/>
          <w:sz w:val="24"/>
          <w:szCs w:val="24"/>
          <w:highlight w:val="none"/>
          <w14:textFill>
            <w14:solidFill>
              <w14:schemeClr w14:val="tx1"/>
            </w14:solidFill>
          </w14:textFill>
        </w:rPr>
        <w:t>为流经x距离后的污染物浓度，mg/L；</w:t>
      </w:r>
    </w:p>
    <w:p w14:paraId="0D8F22AB">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color w:val="000000" w:themeColor="text1"/>
          <w:spacing w:val="0"/>
          <w:sz w:val="24"/>
          <w:szCs w:val="24"/>
          <w:highlight w:val="none"/>
          <w14:textFill>
            <w14:solidFill>
              <w14:schemeClr w14:val="tx1"/>
            </w14:solidFill>
          </w14:textFill>
        </w:rPr>
      </w:pPr>
      <w:r>
        <w:rPr>
          <w:rFonts w:hint="eastAsia"/>
          <w:color w:val="000000" w:themeColor="text1"/>
          <w:spacing w:val="0"/>
          <w:sz w:val="24"/>
          <w:szCs w:val="24"/>
          <w:highlight w:val="none"/>
          <w14:textFill>
            <w14:solidFill>
              <w14:schemeClr w14:val="tx1"/>
            </w14:solidFill>
          </w14:textFill>
        </w:rPr>
        <w:t>K</w:t>
      </w:r>
      <w:r>
        <w:rPr>
          <w:color w:val="000000" w:themeColor="text1"/>
          <w:spacing w:val="0"/>
          <w:sz w:val="24"/>
          <w:szCs w:val="24"/>
          <w:highlight w:val="none"/>
          <w14:textFill>
            <w14:solidFill>
              <w14:schemeClr w14:val="tx1"/>
            </w14:solidFill>
          </w14:textFill>
        </w:rPr>
        <w:t>—</w:t>
      </w:r>
      <w:r>
        <w:rPr>
          <w:rFonts w:hint="eastAsia"/>
          <w:color w:val="000000" w:themeColor="text1"/>
          <w:spacing w:val="0"/>
          <w:sz w:val="24"/>
          <w:szCs w:val="24"/>
          <w:highlight w:val="none"/>
          <w14:textFill>
            <w14:solidFill>
              <w14:schemeClr w14:val="tx1"/>
            </w14:solidFill>
          </w14:textFill>
        </w:rPr>
        <w:t>为</w:t>
      </w:r>
      <w:r>
        <w:rPr>
          <w:color w:val="000000" w:themeColor="text1"/>
          <w:spacing w:val="0"/>
          <w:sz w:val="24"/>
          <w:szCs w:val="24"/>
          <w:highlight w:val="none"/>
          <w14:textFill>
            <w14:solidFill>
              <w14:schemeClr w14:val="tx1"/>
            </w14:solidFill>
          </w14:textFill>
        </w:rPr>
        <w:t>污染物综合</w:t>
      </w:r>
      <w:r>
        <w:rPr>
          <w:rFonts w:hint="eastAsia"/>
          <w:color w:val="000000" w:themeColor="text1"/>
          <w:spacing w:val="0"/>
          <w:sz w:val="24"/>
          <w:szCs w:val="24"/>
          <w:highlight w:val="none"/>
          <w14:textFill>
            <w14:solidFill>
              <w14:schemeClr w14:val="tx1"/>
            </w14:solidFill>
          </w14:textFill>
        </w:rPr>
        <w:t>衰减</w:t>
      </w:r>
      <w:r>
        <w:rPr>
          <w:color w:val="000000" w:themeColor="text1"/>
          <w:spacing w:val="0"/>
          <w:sz w:val="24"/>
          <w:szCs w:val="24"/>
          <w:highlight w:val="none"/>
          <w14:textFill>
            <w14:solidFill>
              <w14:schemeClr w14:val="tx1"/>
            </w14:solidFill>
          </w14:textFill>
        </w:rPr>
        <w:t>系数，</w:t>
      </w:r>
      <w:r>
        <w:rPr>
          <w:rFonts w:hint="eastAsia"/>
          <w:color w:val="000000" w:themeColor="text1"/>
          <w:spacing w:val="0"/>
          <w:sz w:val="24"/>
          <w:szCs w:val="24"/>
          <w:highlight w:val="none"/>
          <w14:textFill>
            <w14:solidFill>
              <w14:schemeClr w14:val="tx1"/>
            </w14:solidFill>
          </w14:textFill>
        </w:rPr>
        <w:t>l</w:t>
      </w:r>
      <w:r>
        <w:rPr>
          <w:color w:val="000000" w:themeColor="text1"/>
          <w:spacing w:val="0"/>
          <w:sz w:val="24"/>
          <w:szCs w:val="24"/>
          <w:highlight w:val="none"/>
          <w14:textFill>
            <w14:solidFill>
              <w14:schemeClr w14:val="tx1"/>
            </w14:solidFill>
          </w14:textFill>
        </w:rPr>
        <w:t>/</w:t>
      </w:r>
      <w:r>
        <w:rPr>
          <w:rFonts w:hint="eastAsia"/>
          <w:color w:val="000000" w:themeColor="text1"/>
          <w:spacing w:val="0"/>
          <w:sz w:val="24"/>
          <w:szCs w:val="24"/>
          <w:highlight w:val="none"/>
          <w14:textFill>
            <w14:solidFill>
              <w14:schemeClr w14:val="tx1"/>
            </w14:solidFill>
          </w14:textFill>
        </w:rPr>
        <w:t>s</w:t>
      </w:r>
      <w:r>
        <w:rPr>
          <w:color w:val="000000" w:themeColor="text1"/>
          <w:spacing w:val="0"/>
          <w:sz w:val="24"/>
          <w:szCs w:val="24"/>
          <w:highlight w:val="none"/>
          <w14:textFill>
            <w14:solidFill>
              <w14:schemeClr w14:val="tx1"/>
            </w14:solidFill>
          </w14:textFill>
        </w:rPr>
        <w:t>；</w:t>
      </w:r>
    </w:p>
    <w:p w14:paraId="54E4F57A">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color w:val="000000" w:themeColor="text1"/>
          <w:spacing w:val="0"/>
          <w:sz w:val="24"/>
          <w:szCs w:val="24"/>
          <w:highlight w:val="none"/>
          <w14:textFill>
            <w14:solidFill>
              <w14:schemeClr w14:val="tx1"/>
            </w14:solidFill>
          </w14:textFill>
        </w:rPr>
      </w:pPr>
      <w:r>
        <w:rPr>
          <w:rFonts w:hint="eastAsia"/>
          <w:color w:val="000000" w:themeColor="text1"/>
          <w:spacing w:val="0"/>
          <w:sz w:val="24"/>
          <w:szCs w:val="24"/>
          <w:highlight w:val="none"/>
          <w14:textFill>
            <w14:solidFill>
              <w14:schemeClr w14:val="tx1"/>
            </w14:solidFill>
          </w14:textFill>
        </w:rPr>
        <w:t>x</w:t>
      </w:r>
      <w:r>
        <w:rPr>
          <w:color w:val="000000" w:themeColor="text1"/>
          <w:spacing w:val="0"/>
          <w:sz w:val="24"/>
          <w:szCs w:val="24"/>
          <w:highlight w:val="none"/>
          <w14:textFill>
            <w14:solidFill>
              <w14:schemeClr w14:val="tx1"/>
            </w14:solidFill>
          </w14:textFill>
        </w:rPr>
        <w:t>—</w:t>
      </w:r>
      <w:r>
        <w:rPr>
          <w:rFonts w:hint="eastAsia"/>
          <w:color w:val="000000" w:themeColor="text1"/>
          <w:spacing w:val="0"/>
          <w:sz w:val="24"/>
          <w:szCs w:val="24"/>
          <w:highlight w:val="none"/>
          <w14:textFill>
            <w14:solidFill>
              <w14:schemeClr w14:val="tx1"/>
            </w14:solidFill>
          </w14:textFill>
        </w:rPr>
        <w:t>为沿河段的</w:t>
      </w:r>
      <w:r>
        <w:rPr>
          <w:color w:val="000000" w:themeColor="text1"/>
          <w:spacing w:val="0"/>
          <w:sz w:val="24"/>
          <w:szCs w:val="24"/>
          <w:highlight w:val="none"/>
          <w14:textFill>
            <w14:solidFill>
              <w14:schemeClr w14:val="tx1"/>
            </w14:solidFill>
          </w14:textFill>
        </w:rPr>
        <w:t>纵向距离，m；</w:t>
      </w:r>
    </w:p>
    <w:p w14:paraId="7C415004">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color w:val="000000" w:themeColor="text1"/>
          <w:spacing w:val="0"/>
          <w:sz w:val="24"/>
          <w:szCs w:val="24"/>
          <w:highlight w:val="none"/>
          <w14:textFill>
            <w14:solidFill>
              <w14:schemeClr w14:val="tx1"/>
            </w14:solidFill>
          </w14:textFill>
        </w:rPr>
      </w:pPr>
      <w:r>
        <w:rPr>
          <w:color w:val="000000" w:themeColor="text1"/>
          <w:spacing w:val="0"/>
          <w:sz w:val="24"/>
          <w:szCs w:val="24"/>
          <w:highlight w:val="none"/>
          <w14:textFill>
            <w14:solidFill>
              <w14:schemeClr w14:val="tx1"/>
            </w14:solidFill>
          </w14:textFill>
        </w:rPr>
        <w:t>μ—</w:t>
      </w:r>
      <w:r>
        <w:rPr>
          <w:rFonts w:hint="eastAsia"/>
          <w:color w:val="000000" w:themeColor="text1"/>
          <w:spacing w:val="0"/>
          <w:sz w:val="24"/>
          <w:szCs w:val="24"/>
          <w:highlight w:val="none"/>
          <w14:textFill>
            <w14:solidFill>
              <w14:schemeClr w14:val="tx1"/>
            </w14:solidFill>
          </w14:textFill>
        </w:rPr>
        <w:t>为设计流量下河道断面的</w:t>
      </w:r>
      <w:r>
        <w:rPr>
          <w:color w:val="000000" w:themeColor="text1"/>
          <w:spacing w:val="0"/>
          <w:sz w:val="24"/>
          <w:szCs w:val="24"/>
          <w:highlight w:val="none"/>
          <w14:textFill>
            <w14:solidFill>
              <w14:schemeClr w14:val="tx1"/>
            </w14:solidFill>
          </w14:textFill>
        </w:rPr>
        <w:t>平均流速，m/s</w:t>
      </w:r>
      <w:r>
        <w:rPr>
          <w:rFonts w:hint="eastAsia"/>
          <w:color w:val="000000" w:themeColor="text1"/>
          <w:spacing w:val="0"/>
          <w:sz w:val="24"/>
          <w:szCs w:val="24"/>
          <w:highlight w:val="none"/>
          <w14:textFill>
            <w14:solidFill>
              <w14:schemeClr w14:val="tx1"/>
            </w14:solidFill>
          </w14:textFill>
        </w:rPr>
        <w:t>；</w:t>
      </w:r>
    </w:p>
    <w:p w14:paraId="624E666A">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hint="eastAsia"/>
          <w:color w:val="000000" w:themeColor="text1"/>
          <w:spacing w:val="0"/>
          <w:sz w:val="24"/>
          <w:szCs w:val="24"/>
          <w:highlight w:val="none"/>
          <w14:textFill>
            <w14:solidFill>
              <w14:schemeClr w14:val="tx1"/>
            </w14:solidFill>
          </w14:textFill>
        </w:rPr>
      </w:pPr>
      <w:r>
        <w:rPr>
          <w:rFonts w:hint="eastAsia"/>
          <w:color w:val="000000" w:themeColor="text1"/>
          <w:spacing w:val="0"/>
          <w:sz w:val="24"/>
          <w:szCs w:val="24"/>
          <w:highlight w:val="none"/>
          <w14:textFill>
            <w14:solidFill>
              <w14:schemeClr w14:val="tx1"/>
            </w14:solidFill>
          </w14:textFill>
        </w:rPr>
        <w:t>C</w:t>
      </w:r>
      <w:r>
        <w:rPr>
          <w:rFonts w:hint="eastAsia"/>
          <w:color w:val="000000" w:themeColor="text1"/>
          <w:spacing w:val="0"/>
          <w:sz w:val="24"/>
          <w:szCs w:val="24"/>
          <w:highlight w:val="none"/>
          <w:vertAlign w:val="subscript"/>
          <w14:textFill>
            <w14:solidFill>
              <w14:schemeClr w14:val="tx1"/>
            </w14:solidFill>
          </w14:textFill>
        </w:rPr>
        <w:t>0</w:t>
      </w:r>
      <w:r>
        <w:rPr>
          <w:color w:val="000000" w:themeColor="text1"/>
          <w:spacing w:val="0"/>
          <w:sz w:val="24"/>
          <w:szCs w:val="24"/>
          <w:highlight w:val="none"/>
          <w14:textFill>
            <w14:solidFill>
              <w14:schemeClr w14:val="tx1"/>
            </w14:solidFill>
          </w14:textFill>
        </w:rPr>
        <w:t>—</w:t>
      </w:r>
      <w:r>
        <w:rPr>
          <w:rFonts w:hint="eastAsia"/>
          <w:color w:val="000000" w:themeColor="text1"/>
          <w:spacing w:val="0"/>
          <w:sz w:val="24"/>
          <w:szCs w:val="24"/>
          <w:highlight w:val="none"/>
          <w14:textFill>
            <w14:solidFill>
              <w14:schemeClr w14:val="tx1"/>
            </w14:solidFill>
          </w14:textFill>
        </w:rPr>
        <w:t>为初始断面的污染物浓度，mg/L；</w:t>
      </w:r>
    </w:p>
    <w:p w14:paraId="29D5D8F2">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hint="eastAsia"/>
          <w:color w:val="000000" w:themeColor="text1"/>
          <w:spacing w:val="0"/>
          <w:sz w:val="24"/>
          <w:szCs w:val="24"/>
          <w:highlight w:val="none"/>
          <w14:textFill>
            <w14:solidFill>
              <w14:schemeClr w14:val="tx1"/>
            </w14:solidFill>
          </w14:textFill>
        </w:rPr>
      </w:pPr>
      <w:r>
        <w:rPr>
          <w:rFonts w:hint="eastAsia"/>
          <w:color w:val="000000" w:themeColor="text1"/>
          <w:spacing w:val="0"/>
          <w:sz w:val="24"/>
          <w:szCs w:val="24"/>
          <w:highlight w:val="none"/>
          <w14:textFill>
            <w14:solidFill>
              <w14:schemeClr w14:val="tx1"/>
            </w14:solidFill>
          </w14:textFill>
        </w:rPr>
        <w:t>Qp、Cp</w:t>
      </w:r>
      <w:r>
        <w:rPr>
          <w:color w:val="000000" w:themeColor="text1"/>
          <w:spacing w:val="0"/>
          <w:sz w:val="24"/>
          <w:szCs w:val="24"/>
          <w:highlight w:val="none"/>
          <w14:textFill>
            <w14:solidFill>
              <w14:schemeClr w14:val="tx1"/>
            </w14:solidFill>
          </w14:textFill>
        </w:rPr>
        <w:t>—</w:t>
      </w:r>
      <w:r>
        <w:rPr>
          <w:rFonts w:hint="eastAsia"/>
          <w:color w:val="000000" w:themeColor="text1"/>
          <w:spacing w:val="0"/>
          <w:sz w:val="24"/>
          <w:szCs w:val="24"/>
          <w:highlight w:val="none"/>
          <w14:textFill>
            <w14:solidFill>
              <w14:schemeClr w14:val="tx1"/>
            </w14:solidFill>
          </w14:textFill>
        </w:rPr>
        <w:t>分别为废污水排放流量和排放浓度，m</w:t>
      </w:r>
      <w:r>
        <w:rPr>
          <w:rFonts w:hint="eastAsia"/>
          <w:color w:val="000000" w:themeColor="text1"/>
          <w:spacing w:val="0"/>
          <w:sz w:val="24"/>
          <w:szCs w:val="24"/>
          <w:highlight w:val="none"/>
          <w:vertAlign w:val="superscript"/>
          <w14:textFill>
            <w14:solidFill>
              <w14:schemeClr w14:val="tx1"/>
            </w14:solidFill>
          </w14:textFill>
        </w:rPr>
        <w:t>3</w:t>
      </w:r>
      <w:r>
        <w:rPr>
          <w:rFonts w:hint="eastAsia"/>
          <w:color w:val="000000" w:themeColor="text1"/>
          <w:spacing w:val="0"/>
          <w:sz w:val="24"/>
          <w:szCs w:val="24"/>
          <w:highlight w:val="none"/>
          <w14:textFill>
            <w14:solidFill>
              <w14:schemeClr w14:val="tx1"/>
            </w14:solidFill>
          </w14:textFill>
        </w:rPr>
        <w:t>/s、mg/L；</w:t>
      </w:r>
    </w:p>
    <w:p w14:paraId="3E5EDFE5">
      <w:pPr>
        <w:keepNext w:val="0"/>
        <w:keepLines w:val="0"/>
        <w:pageBreakBefore w:val="0"/>
        <w:widowControl w:val="0"/>
        <w:kinsoku/>
        <w:wordWrap/>
        <w:overflowPunct/>
        <w:topLinePunct w:val="0"/>
        <w:autoSpaceDE/>
        <w:autoSpaceDN/>
        <w:bidi w:val="0"/>
        <w:adjustRightInd w:val="0"/>
        <w:snapToGrid w:val="0"/>
        <w:ind w:firstLine="1200" w:firstLineChars="5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spacing w:val="0"/>
          <w:sz w:val="24"/>
          <w:szCs w:val="24"/>
          <w:highlight w:val="none"/>
          <w14:textFill>
            <w14:solidFill>
              <w14:schemeClr w14:val="tx1"/>
            </w14:solidFill>
          </w14:textFill>
        </w:rPr>
        <w:t>Q</w:t>
      </w:r>
      <w:r>
        <w:rPr>
          <w:color w:val="000000" w:themeColor="text1"/>
          <w:spacing w:val="0"/>
          <w:sz w:val="24"/>
          <w:szCs w:val="24"/>
          <w:highlight w:val="none"/>
          <w14:textFill>
            <w14:solidFill>
              <w14:schemeClr w14:val="tx1"/>
            </w14:solidFill>
          </w14:textFill>
        </w:rPr>
        <w:t>—</w:t>
      </w:r>
      <w:r>
        <w:rPr>
          <w:rFonts w:hint="eastAsia"/>
          <w:color w:val="000000" w:themeColor="text1"/>
          <w:spacing w:val="0"/>
          <w:sz w:val="24"/>
          <w:szCs w:val="24"/>
          <w:highlight w:val="none"/>
          <w14:textFill>
            <w14:solidFill>
              <w14:schemeClr w14:val="tx1"/>
            </w14:solidFill>
          </w14:textFill>
        </w:rPr>
        <w:t>为初始断面河水流量，m</w:t>
      </w:r>
      <w:r>
        <w:rPr>
          <w:rFonts w:hint="eastAsia"/>
          <w:color w:val="000000" w:themeColor="text1"/>
          <w:spacing w:val="0"/>
          <w:sz w:val="24"/>
          <w:szCs w:val="24"/>
          <w:highlight w:val="none"/>
          <w:vertAlign w:val="superscript"/>
          <w14:textFill>
            <w14:solidFill>
              <w14:schemeClr w14:val="tx1"/>
            </w14:solidFill>
          </w14:textFill>
        </w:rPr>
        <w:t>3</w:t>
      </w:r>
      <w:r>
        <w:rPr>
          <w:rFonts w:hint="eastAsia"/>
          <w:color w:val="000000" w:themeColor="text1"/>
          <w:spacing w:val="0"/>
          <w:sz w:val="24"/>
          <w:szCs w:val="24"/>
          <w:highlight w:val="none"/>
          <w14:textFill>
            <w14:solidFill>
              <w14:schemeClr w14:val="tx1"/>
            </w14:solidFill>
          </w14:textFill>
        </w:rPr>
        <w:t>/s。</w:t>
      </w:r>
    </w:p>
    <w:p w14:paraId="676706A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2、设计条件及计算参数的选择</w:t>
      </w:r>
    </w:p>
    <w:p w14:paraId="48E0796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模型参数的确定是建模工作的核心内容，可靠的参数是模拟成败的关键。因此在选择模型方程之后，还要适当选择模型中的参数，得到与实测资料最佳拟合的模型参数。本次采用枯水期进行预测。</w:t>
      </w:r>
    </w:p>
    <w:p w14:paraId="2A1C020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（1）污染物降解系数K</w:t>
      </w:r>
    </w:p>
    <w:p w14:paraId="2F1CE7B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污染物综合降解系数K是反映污染物沿程变化的综合系数，污染物降解、沉降等物化过程，在河流水质模型中可通过污染物综合降解系数来反映它，既体现了污染物自身的变化，也体现了环境对污染物的影响。降解系数因河流流速、水质状况等有所差异。</w:t>
      </w:r>
    </w:p>
    <w:p w14:paraId="27A91E06">
      <w:pPr>
        <w:keepNext w:val="0"/>
        <w:keepLines w:val="0"/>
        <w:pageBreakBefore w:val="0"/>
        <w:widowControl w:val="0"/>
        <w:tabs>
          <w:tab w:val="left" w:pos="0"/>
        </w:tabs>
        <w:kinsoku/>
        <w:wordWrap/>
        <w:overflowPunct/>
        <w:topLinePunct w:val="0"/>
        <w:autoSpaceDE/>
        <w:autoSpaceDN/>
        <w:bidi w:val="0"/>
        <w:adjustRightInd w:val="0"/>
        <w:snapToGrid w:val="0"/>
        <w:spacing w:after="0"/>
        <w:ind w:left="0" w:leftChars="0" w:firstLine="480" w:firstLineChars="20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本次报告参照《河流污染总量控制分析》（郎子龙等〔J〕地下水.2015.09）相关研究成果，针对污染物衰减系数的确定，可分别采用实测资料和经验公式推求的方法，对于有实测资料情况下，利用二断面法计算﹔对于无实测资料情况下</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根据河流流域基本情况相似性，可采用经验公式推求。由于本项目缺乏实测资料，衰减系数采用经验公式确定</w:t>
      </w:r>
      <w:r>
        <w:rPr>
          <w:rFonts w:hint="eastAsia" w:cs="Times New Roman"/>
          <w:color w:val="000000" w:themeColor="text1"/>
          <w:highlight w:val="none"/>
          <w:lang w:val="en-US" w:eastAsia="zh-CN"/>
          <w14:textFill>
            <w14:solidFill>
              <w14:schemeClr w14:val="tx1"/>
            </w14:solidFill>
          </w14:textFill>
        </w:rPr>
        <w:t>：</w:t>
      </w:r>
    </w:p>
    <w:p w14:paraId="7EA9D0F7">
      <w:pPr>
        <w:keepNext w:val="0"/>
        <w:keepLines w:val="0"/>
        <w:pageBreakBefore w:val="0"/>
        <w:widowControl w:val="0"/>
        <w:tabs>
          <w:tab w:val="left" w:pos="0"/>
        </w:tabs>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K=0.066+0.5u</w:t>
      </w:r>
    </w:p>
    <w:p w14:paraId="76A7EE92">
      <w:pPr>
        <w:keepNext w:val="0"/>
        <w:keepLines w:val="0"/>
        <w:pageBreakBefore w:val="0"/>
        <w:widowControl w:val="0"/>
        <w:tabs>
          <w:tab w:val="left" w:pos="0"/>
        </w:tabs>
        <w:kinsoku/>
        <w:wordWrap/>
        <w:overflowPunct/>
        <w:topLinePunct w:val="0"/>
        <w:autoSpaceDE/>
        <w:autoSpaceDN/>
        <w:bidi w:val="0"/>
        <w:adjustRightInd w:val="0"/>
        <w:snapToGrid w:val="0"/>
        <w:spacing w:after="0"/>
        <w:ind w:left="0" w:leftChars="0" w:firstLine="480" w:firstLineChars="20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式中</w:t>
      </w:r>
      <w:r>
        <w:rPr>
          <w:rFonts w:hint="eastAsia" w:ascii="Times New Roman" w:hAnsi="Times New Roman"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u为河段河流流速﹐项目排污口所处</w:t>
      </w:r>
      <w:r>
        <w:rPr>
          <w:rFonts w:hint="eastAsia" w:ascii="Times New Roman" w:hAnsi="Times New Roman" w:cs="Times New Roman"/>
          <w:color w:val="000000" w:themeColor="text1"/>
          <w:highlight w:val="none"/>
          <w:lang w:val="en-US" w:eastAsia="zh-CN"/>
          <w14:textFill>
            <w14:solidFill>
              <w14:schemeClr w14:val="tx1"/>
            </w14:solidFill>
          </w14:textFill>
        </w:rPr>
        <w:t>二</w:t>
      </w:r>
      <w:r>
        <w:rPr>
          <w:rFonts w:hint="default" w:ascii="Times New Roman" w:hAnsi="Times New Roman" w:cs="Times New Roman"/>
          <w:color w:val="000000" w:themeColor="text1"/>
          <w:highlight w:val="none"/>
          <w:lang w:val="en-US" w:eastAsia="zh-CN"/>
          <w14:textFill>
            <w14:solidFill>
              <w14:schemeClr w14:val="tx1"/>
            </w14:solidFill>
          </w14:textFill>
        </w:rPr>
        <w:t>排干流速约</w:t>
      </w:r>
      <w:r>
        <w:rPr>
          <w:rFonts w:hint="eastAsia" w:ascii="Times New Roman" w:hAnsi="Times New Roman" w:cs="Times New Roman"/>
          <w:color w:val="000000" w:themeColor="text1"/>
          <w:highlight w:val="none"/>
          <w:lang w:val="en-US" w:eastAsia="zh-CN"/>
          <w14:textFill>
            <w14:solidFill>
              <w14:schemeClr w14:val="tx1"/>
            </w14:solidFill>
          </w14:textFill>
        </w:rPr>
        <w:t>0.02</w:t>
      </w:r>
      <w:r>
        <w:rPr>
          <w:rFonts w:hint="default" w:ascii="Times New Roman" w:hAnsi="Times New Roman" w:cs="Times New Roman"/>
          <w:color w:val="000000" w:themeColor="text1"/>
          <w:highlight w:val="none"/>
          <w:lang w:val="en-US" w:eastAsia="zh-CN"/>
          <w14:textFill>
            <w14:solidFill>
              <w14:schemeClr w14:val="tx1"/>
            </w14:solidFill>
          </w14:textFill>
        </w:rPr>
        <w:t>m/s。计算后k=0.</w:t>
      </w:r>
      <w:r>
        <w:rPr>
          <w:rFonts w:hint="eastAsia" w:ascii="Times New Roman" w:hAnsi="Times New Roman" w:cs="Times New Roman"/>
          <w:color w:val="000000" w:themeColor="text1"/>
          <w:highlight w:val="none"/>
          <w:lang w:val="en-US" w:eastAsia="zh-CN"/>
          <w14:textFill>
            <w14:solidFill>
              <w14:schemeClr w14:val="tx1"/>
            </w14:solidFill>
          </w14:textFill>
        </w:rPr>
        <w:t>076</w:t>
      </w:r>
      <w:r>
        <w:rPr>
          <w:rFonts w:hint="default" w:ascii="Times New Roman" w:hAnsi="Times New Roman" w:cs="Times New Roman"/>
          <w:color w:val="000000" w:themeColor="text1"/>
          <w:highlight w:val="none"/>
          <w:lang w:val="en-US" w:eastAsia="zh-CN"/>
          <w14:textFill>
            <w14:solidFill>
              <w14:schemeClr w14:val="tx1"/>
            </w14:solidFill>
          </w14:textFill>
        </w:rPr>
        <w:t>/d。</w:t>
      </w:r>
    </w:p>
    <w:p w14:paraId="0F40FB63">
      <w:pPr>
        <w:ind w:firstLine="480" w:firstLineChars="20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污染物降解系数K采用一般河流相似性采用经验公式推求而得</w:t>
      </w:r>
      <w:r>
        <w:rPr>
          <w:rFonts w:hint="eastAsia"/>
          <w:color w:val="000000" w:themeColor="text1"/>
          <w:highlight w:val="none"/>
          <w:lang w:val="en-US" w:eastAsia="zh-CN"/>
          <w14:textFill>
            <w14:solidFill>
              <w14:schemeClr w14:val="tx1"/>
            </w14:solidFill>
          </w14:textFill>
        </w:rPr>
        <w:t>0.076</w:t>
      </w:r>
      <w:r>
        <w:rPr>
          <w:rFonts w:hint="default"/>
          <w:color w:val="000000" w:themeColor="text1"/>
          <w:highlight w:val="none"/>
          <w:lang w:val="en-US" w:eastAsia="zh-CN"/>
          <w14:textFill>
            <w14:solidFill>
              <w14:schemeClr w14:val="tx1"/>
            </w14:solidFill>
          </w14:textFill>
        </w:rPr>
        <w:t>/d，而排干沟不同于一般河流，河道内微生物种类稀少，且水体水质为V类水，水质相对一般河流较劣，该降解系数不适用于排干沟，排干沟降解系数理应更低。所以本次对污染物降解系数K进行修正。本次采用多次试算的方法，通过不断调整污染物降解系数K，直到模拟结果与实测值相符，从而求得修正后的污染物降解系数K。经试算，CODcr、NH</w:t>
      </w:r>
      <w:r>
        <w:rPr>
          <w:rFonts w:hint="eastAsia"/>
          <w:color w:val="000000" w:themeColor="text1"/>
          <w:highlight w:val="none"/>
          <w:vertAlign w:val="subscript"/>
          <w:lang w:val="en-US" w:eastAsia="zh-CN"/>
          <w14:textFill>
            <w14:solidFill>
              <w14:schemeClr w14:val="tx1"/>
            </w14:solidFill>
          </w14:textFill>
        </w:rPr>
        <w:t>3</w:t>
      </w:r>
      <w:r>
        <w:rPr>
          <w:rFonts w:hint="default"/>
          <w:color w:val="000000" w:themeColor="text1"/>
          <w:highlight w:val="none"/>
          <w:lang w:val="en-US" w:eastAsia="zh-CN"/>
          <w14:textFill>
            <w14:solidFill>
              <w14:schemeClr w14:val="tx1"/>
            </w14:solidFill>
          </w14:textFill>
        </w:rPr>
        <w:t>-N和TP的降解系数分别为0.</w:t>
      </w:r>
      <w:r>
        <w:rPr>
          <w:rFonts w:hint="eastAsia"/>
          <w:color w:val="000000" w:themeColor="text1"/>
          <w:highlight w:val="none"/>
          <w:lang w:val="en-US" w:eastAsia="zh-CN"/>
          <w14:textFill>
            <w14:solidFill>
              <w14:schemeClr w14:val="tx1"/>
            </w14:solidFill>
          </w14:textFill>
        </w:rPr>
        <w:t>1</w:t>
      </w:r>
      <w:r>
        <w:rPr>
          <w:rFonts w:hint="default"/>
          <w:color w:val="000000" w:themeColor="text1"/>
          <w:highlight w:val="none"/>
          <w:lang w:val="en-US" w:eastAsia="zh-CN"/>
          <w14:textFill>
            <w14:solidFill>
              <w14:schemeClr w14:val="tx1"/>
            </w14:solidFill>
          </w14:textFill>
        </w:rPr>
        <w:t>/d、0.</w:t>
      </w:r>
      <w:r>
        <w:rPr>
          <w:rFonts w:hint="eastAsia"/>
          <w:color w:val="000000" w:themeColor="text1"/>
          <w:highlight w:val="none"/>
          <w:lang w:val="en-US" w:eastAsia="zh-CN"/>
          <w14:textFill>
            <w14:solidFill>
              <w14:schemeClr w14:val="tx1"/>
            </w14:solidFill>
          </w14:textFill>
        </w:rPr>
        <w:t>1</w:t>
      </w:r>
      <w:r>
        <w:rPr>
          <w:rFonts w:hint="default"/>
          <w:color w:val="000000" w:themeColor="text1"/>
          <w:highlight w:val="none"/>
          <w:lang w:val="en-US" w:eastAsia="zh-CN"/>
          <w14:textFill>
            <w14:solidFill>
              <w14:schemeClr w14:val="tx1"/>
            </w14:solidFill>
          </w14:textFill>
        </w:rPr>
        <w:t>/d、0.</w:t>
      </w:r>
      <w:r>
        <w:rPr>
          <w:rFonts w:hint="eastAsia"/>
          <w:color w:val="000000" w:themeColor="text1"/>
          <w:highlight w:val="none"/>
          <w:lang w:val="en-US" w:eastAsia="zh-CN"/>
          <w14:textFill>
            <w14:solidFill>
              <w14:schemeClr w14:val="tx1"/>
            </w14:solidFill>
          </w14:textFill>
        </w:rPr>
        <w:t>12</w:t>
      </w:r>
      <w:r>
        <w:rPr>
          <w:rFonts w:hint="default"/>
          <w:color w:val="000000" w:themeColor="text1"/>
          <w:highlight w:val="none"/>
          <w:lang w:val="en-US" w:eastAsia="zh-CN"/>
          <w14:textFill>
            <w14:solidFill>
              <w14:schemeClr w14:val="tx1"/>
            </w14:solidFill>
          </w14:textFill>
        </w:rPr>
        <w:t>/d。</w:t>
      </w:r>
    </w:p>
    <w:p w14:paraId="7BA3B6A9">
      <w:pPr>
        <w:pStyle w:val="20"/>
        <w:bidi w:val="0"/>
        <w:rPr>
          <w:color w:val="000000" w:themeColor="text1"/>
          <w:highlight w:val="none"/>
          <w:lang w:eastAsia="en-US"/>
          <w14:textFill>
            <w14:solidFill>
              <w14:schemeClr w14:val="tx1"/>
            </w14:solidFill>
          </w14:textFill>
        </w:rPr>
      </w:pPr>
      <w:r>
        <w:rPr>
          <w:color w:val="000000" w:themeColor="text1"/>
          <w:highlight w:val="none"/>
          <w:lang w:eastAsia="en-US"/>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 xml:space="preserve">5.2-3  </w:t>
      </w:r>
      <w:r>
        <w:rPr>
          <w:color w:val="000000" w:themeColor="text1"/>
          <w:highlight w:val="none"/>
          <w:lang w:eastAsia="en-US"/>
          <w14:textFill>
            <w14:solidFill>
              <w14:schemeClr w14:val="tx1"/>
            </w14:solidFill>
          </w14:textFill>
        </w:rPr>
        <w:t>污染物降解系数取值表</w:t>
      </w:r>
    </w:p>
    <w:tbl>
      <w:tblPr>
        <w:tblStyle w:val="12"/>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085"/>
        <w:gridCol w:w="2307"/>
        <w:gridCol w:w="1862"/>
        <w:gridCol w:w="2085"/>
      </w:tblGrid>
      <w:tr w14:paraId="0BE45B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50" w:type="pct"/>
            <w:tcBorders>
              <w:tl2br w:val="nil"/>
              <w:tr2bl w:val="nil"/>
            </w:tcBorders>
            <w:vAlign w:val="top"/>
          </w:tcPr>
          <w:p w14:paraId="780887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highlight w:val="none"/>
                <w:vertAlign w:val="baseline"/>
                <w:lang w:val="en-US" w:eastAsia="en-US"/>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en-US"/>
                <w14:textFill>
                  <w14:solidFill>
                    <w14:schemeClr w14:val="tx1"/>
                  </w14:solidFill>
                </w14:textFill>
              </w:rPr>
              <w:t>污染物</w:t>
            </w:r>
          </w:p>
        </w:tc>
        <w:tc>
          <w:tcPr>
            <w:tcW w:w="1383" w:type="pct"/>
            <w:tcBorders>
              <w:tl2br w:val="nil"/>
              <w:tr2bl w:val="nil"/>
            </w:tcBorders>
            <w:vAlign w:val="top"/>
          </w:tcPr>
          <w:p w14:paraId="2074A5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highlight w:val="none"/>
                <w:vertAlign w:val="baseline"/>
                <w:lang w:val="en-US" w:eastAsia="en-US"/>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en-US"/>
                <w14:textFill>
                  <w14:solidFill>
                    <w14:schemeClr w14:val="tx1"/>
                  </w14:solidFill>
                </w14:textFill>
              </w:rPr>
              <w:t>COD</w:t>
            </w:r>
          </w:p>
        </w:tc>
        <w:tc>
          <w:tcPr>
            <w:tcW w:w="1116" w:type="pct"/>
            <w:tcBorders>
              <w:tl2br w:val="nil"/>
              <w:tr2bl w:val="nil"/>
            </w:tcBorders>
            <w:vAlign w:val="top"/>
          </w:tcPr>
          <w:p w14:paraId="415C3A0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highlight w:val="none"/>
                <w:vertAlign w:val="baseline"/>
                <w:lang w:val="en-US" w:eastAsia="en-US"/>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en-US"/>
                <w14:textFill>
                  <w14:solidFill>
                    <w14:schemeClr w14:val="tx1"/>
                  </w14:solidFill>
                </w14:textFill>
              </w:rPr>
              <w:t>氨氮</w:t>
            </w:r>
          </w:p>
        </w:tc>
        <w:tc>
          <w:tcPr>
            <w:tcW w:w="1250" w:type="pct"/>
            <w:tcBorders>
              <w:tl2br w:val="nil"/>
              <w:tr2bl w:val="nil"/>
            </w:tcBorders>
            <w:vAlign w:val="top"/>
          </w:tcPr>
          <w:p w14:paraId="476E26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highlight w:val="none"/>
                <w:vertAlign w:val="baseline"/>
                <w:lang w:val="en-US" w:eastAsia="en-US"/>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en-US"/>
                <w14:textFill>
                  <w14:solidFill>
                    <w14:schemeClr w14:val="tx1"/>
                  </w14:solidFill>
                </w14:textFill>
              </w:rPr>
              <w:t>总磷</w:t>
            </w:r>
          </w:p>
        </w:tc>
      </w:tr>
      <w:tr w14:paraId="1735A7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50" w:type="pct"/>
            <w:tcBorders>
              <w:tl2br w:val="nil"/>
              <w:tr2bl w:val="nil"/>
            </w:tcBorders>
            <w:vAlign w:val="top"/>
          </w:tcPr>
          <w:p w14:paraId="5E3D08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highlight w:val="none"/>
                <w:vertAlign w:val="baseline"/>
                <w:lang w:val="en-US" w:eastAsia="en-US"/>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en-US"/>
                <w14:textFill>
                  <w14:solidFill>
                    <w14:schemeClr w14:val="tx1"/>
                  </w14:solidFill>
                </w14:textFill>
              </w:rPr>
              <w:t>降解系数（1/d）</w:t>
            </w:r>
          </w:p>
        </w:tc>
        <w:tc>
          <w:tcPr>
            <w:tcW w:w="1383" w:type="pct"/>
            <w:tcBorders>
              <w:tl2br w:val="nil"/>
              <w:tr2bl w:val="nil"/>
            </w:tcBorders>
            <w:vAlign w:val="top"/>
          </w:tcPr>
          <w:p w14:paraId="5189A1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0.1</w:t>
            </w:r>
          </w:p>
        </w:tc>
        <w:tc>
          <w:tcPr>
            <w:tcW w:w="1116" w:type="pct"/>
            <w:tcBorders>
              <w:tl2br w:val="nil"/>
              <w:tr2bl w:val="nil"/>
            </w:tcBorders>
            <w:vAlign w:val="top"/>
          </w:tcPr>
          <w:p w14:paraId="7D888F5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0.1</w:t>
            </w:r>
          </w:p>
        </w:tc>
        <w:tc>
          <w:tcPr>
            <w:tcW w:w="1250" w:type="pct"/>
            <w:tcBorders>
              <w:tl2br w:val="nil"/>
              <w:tr2bl w:val="nil"/>
            </w:tcBorders>
            <w:vAlign w:val="top"/>
          </w:tcPr>
          <w:p w14:paraId="7C850A7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0.12</w:t>
            </w:r>
          </w:p>
        </w:tc>
      </w:tr>
    </w:tbl>
    <w:p w14:paraId="0803381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p>
    <w:p w14:paraId="1B4528C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（2）初始断面水质</w:t>
      </w:r>
    </w:p>
    <w:p w14:paraId="0701A84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模型初始断面为本入河排污口入二排干处，尚未收纳任何废污水，枯水期排干河道水量几乎为0，按最不利情况，水质背景浓度采用管理目标《地表水环境质量标准》（GB3838-2002）Ⅴ类标准上限值，COD：40mg/L、NH</w:t>
      </w:r>
      <w:r>
        <w:rPr>
          <w:rFonts w:hint="eastAsia"/>
          <w:color w:val="000000" w:themeColor="text1"/>
          <w:highlight w:val="none"/>
          <w:vertAlign w:val="sub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-N：2mg/L、总磷：0.4mg/L。</w:t>
      </w:r>
    </w:p>
    <w:p w14:paraId="657D894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（3）设计流量</w:t>
      </w:r>
    </w:p>
    <w:p w14:paraId="5EBD9AC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根据二排干设计资料，二排干设计流量为0.26m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/s。</w:t>
      </w:r>
    </w:p>
    <w:p w14:paraId="4A0ADCA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（4）污水排放流量和浓度</w:t>
      </w:r>
    </w:p>
    <w:p w14:paraId="2D0C8EE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现状年本次模拟河段仅有本项目1个排污节点。</w:t>
      </w:r>
    </w:p>
    <w:p w14:paraId="2C0A84F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本项目设计</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尾水外排</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规模为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15000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/d，出水水质达到《城镇污水处理厂污染物排放标准》（GB18918-2002）（含2006年、2025年修改单）一级A标准上限值</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表2直接排放标准</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后排入</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二排干</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，污水排放流量为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0.174</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/s。根据污染物预测浓度，COD、NH</w:t>
      </w:r>
      <w:r>
        <w:rPr>
          <w:rFonts w:hint="eastAsia" w:ascii="Times New Roman" w:hAnsi="Times New Roman" w:cs="Times New Roman"/>
          <w:color w:val="000000" w:themeColor="text1"/>
          <w:sz w:val="24"/>
          <w:szCs w:val="24"/>
          <w:highlight w:val="none"/>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-N、</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TP</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源强如下：</w:t>
      </w:r>
    </w:p>
    <w:p w14:paraId="3DFD5DC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排水量为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15000</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/d，</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一期工程排放的</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COD浓度为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50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mg/L、NH</w:t>
      </w:r>
      <w:r>
        <w:rPr>
          <w:rFonts w:hint="eastAsia"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-N浓度为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mg/L</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、TP浓度0.5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mg/L。</w:t>
      </w:r>
    </w:p>
    <w:p w14:paraId="52A5DF8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排放尾水经人工湿地净化达到《地表水环境质量标准》（GB3838-2002）Ⅴ类标准上限值，则最终经排污口排放至二排干的浓度为：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COD浓度为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40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mg/L、NH</w:t>
      </w:r>
      <w:r>
        <w:rPr>
          <w:rFonts w:hint="eastAsia"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-N浓度为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mg/L</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、TP浓度0.4</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mg/L。</w:t>
      </w:r>
    </w:p>
    <w:p w14:paraId="5748129A">
      <w:pPr>
        <w:keepNext w:val="0"/>
        <w:keepLines w:val="0"/>
        <w:pageBreakBefore w:val="0"/>
        <w:widowControl w:val="0"/>
        <w:tabs>
          <w:tab w:val="left" w:pos="0"/>
        </w:tabs>
        <w:kinsoku/>
        <w:wordWrap/>
        <w:overflowPunct/>
        <w:topLinePunct w:val="0"/>
        <w:autoSpaceDE/>
        <w:autoSpaceDN/>
        <w:bidi w:val="0"/>
        <w:adjustRightInd w:val="0"/>
        <w:snapToGrid w:val="0"/>
        <w:spacing w:after="0" w:line="360" w:lineRule="auto"/>
        <w:ind w:left="0" w:leftChars="0" w:firstLine="480" w:firstLineChars="200"/>
        <w:jc w:val="both"/>
        <w:textAlignment w:val="auto"/>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（5）河流断面面积</w:t>
      </w:r>
    </w:p>
    <w:p w14:paraId="20285781">
      <w:pPr>
        <w:keepNext w:val="0"/>
        <w:keepLines w:val="0"/>
        <w:pageBreakBefore w:val="0"/>
        <w:widowControl w:val="0"/>
        <w:tabs>
          <w:tab w:val="left" w:pos="0"/>
        </w:tabs>
        <w:kinsoku/>
        <w:wordWrap/>
        <w:overflowPunct/>
        <w:topLinePunct w:val="0"/>
        <w:autoSpaceDE/>
        <w:autoSpaceDN/>
        <w:bidi w:val="0"/>
        <w:adjustRightInd w:val="0"/>
        <w:snapToGrid w:val="0"/>
        <w:spacing w:after="0" w:line="360" w:lineRule="auto"/>
        <w:ind w:left="0" w:leftChars="0" w:firstLine="480" w:firstLineChars="200"/>
        <w:jc w:val="both"/>
        <w:textAlignment w:val="auto"/>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河套灌区的排干沟均为人工开凿</w:t>
      </w:r>
      <w:r>
        <w:rPr>
          <w:rFonts w:hint="eastAsia"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沟</w:t>
      </w: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道，</w:t>
      </w:r>
      <w:r>
        <w:rPr>
          <w:rFonts w:hint="eastAsia"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沟道</w:t>
      </w: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断面宽度及水深深度随长度变化不明显，</w:t>
      </w:r>
      <w:r>
        <w:rPr>
          <w:rFonts w:hint="eastAsia"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沟道</w:t>
      </w: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断面形状较为规则，基本为梯形断面，断面平均宽度约</w:t>
      </w:r>
      <w:r>
        <w:rPr>
          <w:rFonts w:hint="eastAsia"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23</w:t>
      </w: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m，水深约0.</w:t>
      </w:r>
      <w:r>
        <w:rPr>
          <w:rFonts w:hint="eastAsia"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45</w:t>
      </w:r>
      <w:r>
        <w:rPr>
          <w:rFonts w:hint="eastAsia" w:cs="Times New Roman"/>
          <w:color w:val="000000" w:themeColor="text1"/>
          <w:kern w:val="0"/>
          <w:sz w:val="24"/>
          <w:szCs w:val="24"/>
          <w:highlight w:val="none"/>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0.55</w:t>
      </w: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m，</w:t>
      </w:r>
      <w:r>
        <w:rPr>
          <w:rFonts w:hint="eastAsia"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本报告按水深0.55计算，</w:t>
      </w: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河道平均断面面积为</w:t>
      </w:r>
      <w:r>
        <w:rPr>
          <w:rFonts w:hint="eastAsia"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12.65</w:t>
      </w: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m</w:t>
      </w:r>
      <w:r>
        <w:rPr>
          <w:rFonts w:hint="default" w:ascii="Times New Roman" w:hAnsi="Times New Roman" w:eastAsia="宋体" w:cs="Times New Roman"/>
          <w:color w:val="000000" w:themeColor="text1"/>
          <w:kern w:val="0"/>
          <w:sz w:val="24"/>
          <w:szCs w:val="24"/>
          <w:highlight w:val="none"/>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w:t>
      </w:r>
    </w:p>
    <w:p w14:paraId="5A150DCF">
      <w:pPr>
        <w:keepNext w:val="0"/>
        <w:keepLines w:val="0"/>
        <w:pageBreakBefore w:val="0"/>
        <w:widowControl w:val="0"/>
        <w:tabs>
          <w:tab w:val="left" w:pos="0"/>
        </w:tabs>
        <w:kinsoku/>
        <w:wordWrap/>
        <w:overflowPunct/>
        <w:topLinePunct w:val="0"/>
        <w:autoSpaceDE/>
        <w:autoSpaceDN/>
        <w:bidi w:val="0"/>
        <w:adjustRightInd w:val="0"/>
        <w:snapToGrid w:val="0"/>
        <w:spacing w:after="0" w:line="360" w:lineRule="auto"/>
        <w:ind w:left="0" w:leftChars="0" w:firstLine="480" w:firstLineChars="200"/>
        <w:jc w:val="both"/>
        <w:textAlignment w:val="auto"/>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水质模型参数取值见表</w:t>
      </w:r>
      <w:r>
        <w:rPr>
          <w:rFonts w:hint="eastAsia"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5.2-</w:t>
      </w:r>
      <w:r>
        <w:rPr>
          <w:rFonts w:hint="eastAsia" w:cs="Times New Roman"/>
          <w:color w:val="000000" w:themeColor="text1"/>
          <w:kern w:val="0"/>
          <w:sz w:val="24"/>
          <w:szCs w:val="24"/>
          <w:highlight w:val="none"/>
          <w:lang w:val="en-US" w:eastAsia="zh-CN" w:bidi="ar-SA"/>
          <w14:textFill>
            <w14:solidFill>
              <w14:schemeClr w14:val="tx1"/>
            </w14:solidFill>
          </w14:textFill>
        </w:rPr>
        <w:t>4</w:t>
      </w:r>
      <w:r>
        <w:rPr>
          <w:rFonts w:hint="default"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w:t>
      </w:r>
    </w:p>
    <w:p w14:paraId="139272A0">
      <w:pPr>
        <w:pStyle w:val="20"/>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5.2-4</w:t>
      </w:r>
      <w:r>
        <w:rPr>
          <w:rFonts w:hint="default"/>
          <w:color w:val="000000" w:themeColor="text1"/>
          <w:highlight w:val="none"/>
          <w:lang w:val="en-US" w:eastAsia="zh-CN"/>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rFonts w:hint="default"/>
          <w:color w:val="000000" w:themeColor="text1"/>
          <w:highlight w:val="none"/>
          <w:lang w:val="en-US" w:eastAsia="zh-CN"/>
          <w14:textFill>
            <w14:solidFill>
              <w14:schemeClr w14:val="tx1"/>
            </w14:solidFill>
          </w14:textFill>
        </w:rPr>
        <w:t>水质模型参数取值表</w:t>
      </w:r>
    </w:p>
    <w:tbl>
      <w:tblPr>
        <w:tblStyle w:val="13"/>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24"/>
        <w:gridCol w:w="1009"/>
        <w:gridCol w:w="1205"/>
        <w:gridCol w:w="1110"/>
        <w:gridCol w:w="3377"/>
      </w:tblGrid>
      <w:tr w14:paraId="2D9937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070" w:type="pct"/>
            <w:tcBorders>
              <w:tl2br w:val="nil"/>
              <w:tr2bl w:val="nil"/>
            </w:tcBorders>
            <w:vAlign w:val="center"/>
          </w:tcPr>
          <w:p w14:paraId="595396F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参数类型</w:t>
            </w:r>
          </w:p>
        </w:tc>
        <w:tc>
          <w:tcPr>
            <w:tcW w:w="592" w:type="pct"/>
            <w:tcBorders>
              <w:tl2br w:val="nil"/>
              <w:tr2bl w:val="nil"/>
            </w:tcBorders>
            <w:vAlign w:val="center"/>
          </w:tcPr>
          <w:p w14:paraId="4364F4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变量</w:t>
            </w:r>
          </w:p>
        </w:tc>
        <w:tc>
          <w:tcPr>
            <w:tcW w:w="707" w:type="pct"/>
            <w:tcBorders>
              <w:tl2br w:val="nil"/>
              <w:tr2bl w:val="nil"/>
            </w:tcBorders>
            <w:vAlign w:val="center"/>
          </w:tcPr>
          <w:p w14:paraId="07C78C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取值</w:t>
            </w:r>
          </w:p>
        </w:tc>
        <w:tc>
          <w:tcPr>
            <w:tcW w:w="651" w:type="pct"/>
            <w:tcBorders>
              <w:tl2br w:val="nil"/>
              <w:tr2bl w:val="nil"/>
            </w:tcBorders>
            <w:vAlign w:val="center"/>
          </w:tcPr>
          <w:p w14:paraId="36150D0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单位</w:t>
            </w:r>
          </w:p>
        </w:tc>
        <w:tc>
          <w:tcPr>
            <w:tcW w:w="1978" w:type="pct"/>
            <w:tcBorders>
              <w:tl2br w:val="nil"/>
              <w:tr2bl w:val="nil"/>
            </w:tcBorders>
            <w:vAlign w:val="center"/>
          </w:tcPr>
          <w:p w14:paraId="407EFA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变量说明</w:t>
            </w:r>
          </w:p>
        </w:tc>
      </w:tr>
      <w:tr w14:paraId="1E0312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070" w:type="pct"/>
            <w:vMerge w:val="restart"/>
            <w:tcBorders>
              <w:tl2br w:val="nil"/>
              <w:tr2bl w:val="nil"/>
            </w:tcBorders>
            <w:vAlign w:val="center"/>
          </w:tcPr>
          <w:p w14:paraId="599C0C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河流特征水文参数</w:t>
            </w:r>
          </w:p>
        </w:tc>
        <w:tc>
          <w:tcPr>
            <w:tcW w:w="592" w:type="pct"/>
            <w:tcBorders>
              <w:tl2br w:val="nil"/>
              <w:tr2bl w:val="nil"/>
            </w:tcBorders>
            <w:vAlign w:val="center"/>
          </w:tcPr>
          <w:p w14:paraId="62255B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Qr</w:t>
            </w:r>
          </w:p>
        </w:tc>
        <w:tc>
          <w:tcPr>
            <w:tcW w:w="707" w:type="pct"/>
            <w:tcBorders>
              <w:tl2br w:val="nil"/>
              <w:tr2bl w:val="nil"/>
            </w:tcBorders>
            <w:vAlign w:val="center"/>
          </w:tcPr>
          <w:p w14:paraId="1F46E5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0.26</w:t>
            </w:r>
          </w:p>
        </w:tc>
        <w:tc>
          <w:tcPr>
            <w:tcW w:w="651" w:type="pct"/>
            <w:tcBorders>
              <w:tl2br w:val="nil"/>
              <w:tr2bl w:val="nil"/>
            </w:tcBorders>
            <w:vAlign w:val="center"/>
          </w:tcPr>
          <w:p w14:paraId="2840DB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m³/s</w:t>
            </w:r>
          </w:p>
        </w:tc>
        <w:tc>
          <w:tcPr>
            <w:tcW w:w="1978" w:type="pct"/>
            <w:tcBorders>
              <w:tl2br w:val="nil"/>
              <w:tr2bl w:val="nil"/>
            </w:tcBorders>
            <w:vAlign w:val="center"/>
          </w:tcPr>
          <w:p w14:paraId="5F340D0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en-US"/>
                <w14:textFill>
                  <w14:solidFill>
                    <w14:schemeClr w14:val="tx1"/>
                  </w14:solidFill>
                </w14:textFill>
              </w:rPr>
              <w:t>多年平均径流量</w:t>
            </w:r>
          </w:p>
        </w:tc>
      </w:tr>
      <w:tr w14:paraId="2126B8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070" w:type="pct"/>
            <w:vMerge w:val="continue"/>
            <w:tcBorders>
              <w:tl2br w:val="nil"/>
              <w:tr2bl w:val="nil"/>
            </w:tcBorders>
            <w:vAlign w:val="center"/>
          </w:tcPr>
          <w:p w14:paraId="2B534C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592" w:type="pct"/>
            <w:tcBorders>
              <w:tl2br w:val="nil"/>
              <w:tr2bl w:val="nil"/>
            </w:tcBorders>
            <w:vAlign w:val="center"/>
          </w:tcPr>
          <w:p w14:paraId="38CEFD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B</w:t>
            </w:r>
          </w:p>
        </w:tc>
        <w:tc>
          <w:tcPr>
            <w:tcW w:w="707" w:type="pct"/>
            <w:tcBorders>
              <w:tl2br w:val="nil"/>
              <w:tr2bl w:val="nil"/>
            </w:tcBorders>
            <w:vAlign w:val="center"/>
          </w:tcPr>
          <w:p w14:paraId="24AE1F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23</w:t>
            </w:r>
          </w:p>
        </w:tc>
        <w:tc>
          <w:tcPr>
            <w:tcW w:w="651" w:type="pct"/>
            <w:tcBorders>
              <w:tl2br w:val="nil"/>
              <w:tr2bl w:val="nil"/>
            </w:tcBorders>
            <w:vAlign w:val="center"/>
          </w:tcPr>
          <w:p w14:paraId="52305E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w:t>
            </w:r>
          </w:p>
        </w:tc>
        <w:tc>
          <w:tcPr>
            <w:tcW w:w="1978" w:type="pct"/>
            <w:tcBorders>
              <w:tl2br w:val="nil"/>
              <w:tr2bl w:val="nil"/>
            </w:tcBorders>
            <w:vAlign w:val="center"/>
          </w:tcPr>
          <w:p w14:paraId="2039FC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en-US"/>
                <w14:textFill>
                  <w14:solidFill>
                    <w14:schemeClr w14:val="tx1"/>
                  </w14:solidFill>
                </w14:textFill>
              </w:rPr>
              <w:t>设计流量下平均河宽</w:t>
            </w:r>
          </w:p>
        </w:tc>
      </w:tr>
      <w:tr w14:paraId="48BC10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070" w:type="pct"/>
            <w:vMerge w:val="continue"/>
            <w:tcBorders>
              <w:tl2br w:val="nil"/>
              <w:tr2bl w:val="nil"/>
            </w:tcBorders>
            <w:vAlign w:val="center"/>
          </w:tcPr>
          <w:p w14:paraId="61D643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592" w:type="pct"/>
            <w:tcBorders>
              <w:tl2br w:val="nil"/>
              <w:tr2bl w:val="nil"/>
            </w:tcBorders>
            <w:vAlign w:val="center"/>
          </w:tcPr>
          <w:p w14:paraId="459A8DD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u</w:t>
            </w:r>
          </w:p>
        </w:tc>
        <w:tc>
          <w:tcPr>
            <w:tcW w:w="707" w:type="pct"/>
            <w:tcBorders>
              <w:tl2br w:val="nil"/>
              <w:tr2bl w:val="nil"/>
            </w:tcBorders>
            <w:vAlign w:val="center"/>
          </w:tcPr>
          <w:p w14:paraId="3BDB73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0.02</w:t>
            </w:r>
          </w:p>
        </w:tc>
        <w:tc>
          <w:tcPr>
            <w:tcW w:w="651" w:type="pct"/>
            <w:tcBorders>
              <w:tl2br w:val="nil"/>
              <w:tr2bl w:val="nil"/>
            </w:tcBorders>
            <w:vAlign w:val="center"/>
          </w:tcPr>
          <w:p w14:paraId="4CD53A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m/s</w:t>
            </w:r>
          </w:p>
        </w:tc>
        <w:tc>
          <w:tcPr>
            <w:tcW w:w="1978" w:type="pct"/>
            <w:tcBorders>
              <w:tl2br w:val="nil"/>
              <w:tr2bl w:val="nil"/>
            </w:tcBorders>
            <w:vAlign w:val="center"/>
          </w:tcPr>
          <w:p w14:paraId="195C6B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en-US"/>
                <w14:textFill>
                  <w14:solidFill>
                    <w14:schemeClr w14:val="tx1"/>
                  </w14:solidFill>
                </w14:textFill>
              </w:rPr>
              <w:t>设计流量下平均流速</w:t>
            </w:r>
          </w:p>
        </w:tc>
      </w:tr>
      <w:tr w14:paraId="5FC31A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070" w:type="pct"/>
            <w:vMerge w:val="continue"/>
            <w:tcBorders>
              <w:tl2br w:val="nil"/>
              <w:tr2bl w:val="nil"/>
            </w:tcBorders>
            <w:vAlign w:val="center"/>
          </w:tcPr>
          <w:p w14:paraId="68F5A15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592" w:type="pct"/>
            <w:tcBorders>
              <w:tl2br w:val="nil"/>
              <w:tr2bl w:val="nil"/>
            </w:tcBorders>
            <w:vAlign w:val="center"/>
          </w:tcPr>
          <w:p w14:paraId="204833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h</w:t>
            </w:r>
          </w:p>
        </w:tc>
        <w:tc>
          <w:tcPr>
            <w:tcW w:w="707" w:type="pct"/>
            <w:tcBorders>
              <w:tl2br w:val="nil"/>
              <w:tr2bl w:val="nil"/>
            </w:tcBorders>
            <w:vAlign w:val="center"/>
          </w:tcPr>
          <w:p w14:paraId="09ED4B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0.55</w:t>
            </w:r>
          </w:p>
        </w:tc>
        <w:tc>
          <w:tcPr>
            <w:tcW w:w="651" w:type="pct"/>
            <w:tcBorders>
              <w:tl2br w:val="nil"/>
              <w:tr2bl w:val="nil"/>
            </w:tcBorders>
            <w:vAlign w:val="center"/>
          </w:tcPr>
          <w:p w14:paraId="3E8E56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w:t>
            </w:r>
          </w:p>
        </w:tc>
        <w:tc>
          <w:tcPr>
            <w:tcW w:w="1978" w:type="pct"/>
            <w:tcBorders>
              <w:tl2br w:val="nil"/>
              <w:tr2bl w:val="nil"/>
            </w:tcBorders>
            <w:vAlign w:val="center"/>
          </w:tcPr>
          <w:p w14:paraId="1599F2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en-US"/>
                <w14:textFill>
                  <w14:solidFill>
                    <w14:schemeClr w14:val="tx1"/>
                  </w14:solidFill>
                </w14:textFill>
              </w:rPr>
              <w:t>设计流量下平均水深</w:t>
            </w:r>
          </w:p>
        </w:tc>
      </w:tr>
      <w:tr w14:paraId="68F66C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070" w:type="pct"/>
            <w:tcBorders>
              <w:tl2br w:val="nil"/>
              <w:tr2bl w:val="nil"/>
            </w:tcBorders>
            <w:vAlign w:val="center"/>
          </w:tcPr>
          <w:p w14:paraId="3B7450C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污水流量</w:t>
            </w:r>
          </w:p>
        </w:tc>
        <w:tc>
          <w:tcPr>
            <w:tcW w:w="592" w:type="pct"/>
            <w:tcBorders>
              <w:tl2br w:val="nil"/>
              <w:tr2bl w:val="nil"/>
            </w:tcBorders>
            <w:vAlign w:val="center"/>
          </w:tcPr>
          <w:p w14:paraId="408FEE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Qw</w:t>
            </w:r>
          </w:p>
        </w:tc>
        <w:tc>
          <w:tcPr>
            <w:tcW w:w="707" w:type="pct"/>
            <w:tcBorders>
              <w:tl2br w:val="nil"/>
              <w:tr2bl w:val="nil"/>
            </w:tcBorders>
            <w:vAlign w:val="center"/>
          </w:tcPr>
          <w:p w14:paraId="50B629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0.174</w:t>
            </w:r>
          </w:p>
        </w:tc>
        <w:tc>
          <w:tcPr>
            <w:tcW w:w="651" w:type="pct"/>
            <w:tcBorders>
              <w:tl2br w:val="nil"/>
              <w:tr2bl w:val="nil"/>
            </w:tcBorders>
            <w:vAlign w:val="center"/>
          </w:tcPr>
          <w:p w14:paraId="691F98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m³/s</w:t>
            </w:r>
          </w:p>
        </w:tc>
        <w:tc>
          <w:tcPr>
            <w:tcW w:w="1978" w:type="pct"/>
            <w:tcBorders>
              <w:tl2br w:val="nil"/>
              <w:tr2bl w:val="nil"/>
            </w:tcBorders>
            <w:vAlign w:val="center"/>
          </w:tcPr>
          <w:p w14:paraId="4BE840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en-US"/>
                <w14:textFill>
                  <w14:solidFill>
                    <w14:schemeClr w14:val="tx1"/>
                  </w14:solidFill>
                </w14:textFill>
              </w:rPr>
              <w:t>排放口废水排放流量</w:t>
            </w:r>
          </w:p>
        </w:tc>
      </w:tr>
      <w:tr w14:paraId="493903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070" w:type="pct"/>
            <w:vMerge w:val="restart"/>
            <w:tcBorders>
              <w:tl2br w:val="nil"/>
              <w:tr2bl w:val="nil"/>
            </w:tcBorders>
            <w:vAlign w:val="center"/>
          </w:tcPr>
          <w:p w14:paraId="46D799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COD</w:t>
            </w:r>
          </w:p>
        </w:tc>
        <w:tc>
          <w:tcPr>
            <w:tcW w:w="592" w:type="pct"/>
            <w:tcBorders>
              <w:tl2br w:val="nil"/>
              <w:tr2bl w:val="nil"/>
            </w:tcBorders>
            <w:vAlign w:val="center"/>
          </w:tcPr>
          <w:p w14:paraId="0F5AD6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Cr</w:t>
            </w:r>
          </w:p>
        </w:tc>
        <w:tc>
          <w:tcPr>
            <w:tcW w:w="707" w:type="pct"/>
            <w:tcBorders>
              <w:tl2br w:val="nil"/>
              <w:tr2bl w:val="nil"/>
            </w:tcBorders>
            <w:vAlign w:val="center"/>
          </w:tcPr>
          <w:p w14:paraId="55BE48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40</w:t>
            </w:r>
          </w:p>
        </w:tc>
        <w:tc>
          <w:tcPr>
            <w:tcW w:w="651" w:type="pct"/>
            <w:tcBorders>
              <w:tl2br w:val="nil"/>
              <w:tr2bl w:val="nil"/>
            </w:tcBorders>
            <w:vAlign w:val="center"/>
          </w:tcPr>
          <w:p w14:paraId="525B981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mg/L</w:t>
            </w:r>
          </w:p>
        </w:tc>
        <w:tc>
          <w:tcPr>
            <w:tcW w:w="1978" w:type="pct"/>
            <w:tcBorders>
              <w:tl2br w:val="nil"/>
              <w:tr2bl w:val="nil"/>
            </w:tcBorders>
            <w:vAlign w:val="center"/>
          </w:tcPr>
          <w:p w14:paraId="7D208E0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en-US"/>
                <w14:textFill>
                  <w14:solidFill>
                    <w14:schemeClr w14:val="tx1"/>
                  </w14:solidFill>
                </w14:textFill>
              </w:rPr>
              <w:t>河流</w:t>
            </w:r>
            <w:r>
              <w:rPr>
                <w:rFonts w:ascii="Times New Roman" w:hAnsi="Times New Roman" w:eastAsia="宋体" w:cs="Times New Roman"/>
                <w:color w:val="000000" w:themeColor="text1"/>
                <w:sz w:val="21"/>
                <w:szCs w:val="21"/>
                <w:highlight w:val="none"/>
                <w:lang w:val="en-US" w:eastAsia="en-US"/>
                <w14:textFill>
                  <w14:solidFill>
                    <w14:schemeClr w14:val="tx1"/>
                  </w14:solidFill>
                </w14:textFill>
              </w:rPr>
              <w:t>COD</w:t>
            </w:r>
            <w:r>
              <w:rPr>
                <w:rFonts w:hint="eastAsia" w:ascii="Times New Roman" w:hAnsi="Times New Roman" w:eastAsia="宋体" w:cs="Times New Roman"/>
                <w:color w:val="000000" w:themeColor="text1"/>
                <w:sz w:val="21"/>
                <w:szCs w:val="21"/>
                <w:highlight w:val="none"/>
                <w:lang w:val="en-US" w:eastAsia="en-US"/>
                <w14:textFill>
                  <w14:solidFill>
                    <w14:schemeClr w14:val="tx1"/>
                  </w14:solidFill>
                </w14:textFill>
              </w:rPr>
              <w:t>背景浓度</w:t>
            </w:r>
          </w:p>
        </w:tc>
      </w:tr>
      <w:tr w14:paraId="3E568E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070" w:type="pct"/>
            <w:vMerge w:val="continue"/>
            <w:tcBorders>
              <w:tl2br w:val="nil"/>
              <w:tr2bl w:val="nil"/>
            </w:tcBorders>
            <w:vAlign w:val="center"/>
          </w:tcPr>
          <w:p w14:paraId="4EE8AC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592" w:type="pct"/>
            <w:tcBorders>
              <w:tl2br w:val="nil"/>
              <w:tr2bl w:val="nil"/>
            </w:tcBorders>
            <w:vAlign w:val="center"/>
          </w:tcPr>
          <w:p w14:paraId="081D2C5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Cw</w:t>
            </w:r>
          </w:p>
        </w:tc>
        <w:tc>
          <w:tcPr>
            <w:tcW w:w="707" w:type="pct"/>
            <w:tcBorders>
              <w:tl2br w:val="nil"/>
              <w:tr2bl w:val="nil"/>
            </w:tcBorders>
            <w:vAlign w:val="center"/>
          </w:tcPr>
          <w:p w14:paraId="063A234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40</w:t>
            </w:r>
          </w:p>
        </w:tc>
        <w:tc>
          <w:tcPr>
            <w:tcW w:w="651" w:type="pct"/>
            <w:tcBorders>
              <w:tl2br w:val="nil"/>
              <w:tr2bl w:val="nil"/>
            </w:tcBorders>
            <w:vAlign w:val="center"/>
          </w:tcPr>
          <w:p w14:paraId="277E2F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mg/L</w:t>
            </w:r>
          </w:p>
        </w:tc>
        <w:tc>
          <w:tcPr>
            <w:tcW w:w="1978" w:type="pct"/>
            <w:tcBorders>
              <w:tl2br w:val="nil"/>
              <w:tr2bl w:val="nil"/>
            </w:tcBorders>
            <w:vAlign w:val="center"/>
          </w:tcPr>
          <w:p w14:paraId="52AE52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en-US"/>
                <w14:textFill>
                  <w14:solidFill>
                    <w14:schemeClr w14:val="tx1"/>
                  </w14:solidFill>
                </w14:textFill>
              </w:rPr>
              <w:t>排污口</w:t>
            </w:r>
            <w:r>
              <w:rPr>
                <w:rFonts w:ascii="Times New Roman" w:hAnsi="Times New Roman" w:eastAsia="宋体" w:cs="Times New Roman"/>
                <w:color w:val="000000" w:themeColor="text1"/>
                <w:sz w:val="21"/>
                <w:szCs w:val="21"/>
                <w:highlight w:val="none"/>
                <w:lang w:val="en-US" w:eastAsia="en-US"/>
                <w14:textFill>
                  <w14:solidFill>
                    <w14:schemeClr w14:val="tx1"/>
                  </w14:solidFill>
                </w14:textFill>
              </w:rPr>
              <w:t>COD</w:t>
            </w:r>
            <w:r>
              <w:rPr>
                <w:rFonts w:hint="eastAsia" w:ascii="Times New Roman" w:hAnsi="Times New Roman" w:eastAsia="宋体" w:cs="Times New Roman"/>
                <w:color w:val="000000" w:themeColor="text1"/>
                <w:sz w:val="21"/>
                <w:szCs w:val="21"/>
                <w:highlight w:val="none"/>
                <w:lang w:val="en-US" w:eastAsia="en-US"/>
                <w14:textFill>
                  <w14:solidFill>
                    <w14:schemeClr w14:val="tx1"/>
                  </w14:solidFill>
                </w14:textFill>
              </w:rPr>
              <w:t>排放浓度</w:t>
            </w:r>
          </w:p>
        </w:tc>
      </w:tr>
      <w:tr w14:paraId="2F03AE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070" w:type="pct"/>
            <w:vMerge w:val="restart"/>
            <w:tcBorders>
              <w:tl2br w:val="nil"/>
              <w:tr2bl w:val="nil"/>
            </w:tcBorders>
            <w:vAlign w:val="center"/>
          </w:tcPr>
          <w:p w14:paraId="7CAD08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NH</w:t>
            </w:r>
            <w:r>
              <w:rPr>
                <w:rFonts w:hint="default"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-N</w:t>
            </w:r>
          </w:p>
        </w:tc>
        <w:tc>
          <w:tcPr>
            <w:tcW w:w="592" w:type="pct"/>
            <w:tcBorders>
              <w:tl2br w:val="nil"/>
              <w:tr2bl w:val="nil"/>
            </w:tcBorders>
            <w:vAlign w:val="center"/>
          </w:tcPr>
          <w:p w14:paraId="19C991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Cr</w:t>
            </w:r>
          </w:p>
        </w:tc>
        <w:tc>
          <w:tcPr>
            <w:tcW w:w="707" w:type="pct"/>
            <w:tcBorders>
              <w:tl2br w:val="nil"/>
              <w:tr2bl w:val="nil"/>
            </w:tcBorders>
            <w:vAlign w:val="center"/>
          </w:tcPr>
          <w:p w14:paraId="3CC7F8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w:t>
            </w:r>
          </w:p>
        </w:tc>
        <w:tc>
          <w:tcPr>
            <w:tcW w:w="651" w:type="pct"/>
            <w:tcBorders>
              <w:tl2br w:val="nil"/>
              <w:tr2bl w:val="nil"/>
            </w:tcBorders>
            <w:vAlign w:val="center"/>
          </w:tcPr>
          <w:p w14:paraId="6D962C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mg/L</w:t>
            </w:r>
          </w:p>
        </w:tc>
        <w:tc>
          <w:tcPr>
            <w:tcW w:w="1978" w:type="pct"/>
            <w:tcBorders>
              <w:tl2br w:val="nil"/>
              <w:tr2bl w:val="nil"/>
            </w:tcBorders>
            <w:vAlign w:val="center"/>
          </w:tcPr>
          <w:p w14:paraId="7DABBE9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en-US"/>
                <w14:textFill>
                  <w14:solidFill>
                    <w14:schemeClr w14:val="tx1"/>
                  </w14:solidFill>
                </w14:textFill>
              </w:rPr>
              <w:t>河流氨氮背景浓度</w:t>
            </w:r>
          </w:p>
        </w:tc>
      </w:tr>
      <w:tr w14:paraId="76853A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070" w:type="pct"/>
            <w:vMerge w:val="continue"/>
            <w:tcBorders>
              <w:tl2br w:val="nil"/>
              <w:tr2bl w:val="nil"/>
            </w:tcBorders>
            <w:vAlign w:val="center"/>
          </w:tcPr>
          <w:p w14:paraId="695563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592" w:type="pct"/>
            <w:tcBorders>
              <w:tl2br w:val="nil"/>
              <w:tr2bl w:val="nil"/>
            </w:tcBorders>
            <w:vAlign w:val="center"/>
          </w:tcPr>
          <w:p w14:paraId="0874702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Cw</w:t>
            </w:r>
          </w:p>
        </w:tc>
        <w:tc>
          <w:tcPr>
            <w:tcW w:w="707" w:type="pct"/>
            <w:tcBorders>
              <w:tl2br w:val="nil"/>
              <w:tr2bl w:val="nil"/>
            </w:tcBorders>
            <w:vAlign w:val="center"/>
          </w:tcPr>
          <w:p w14:paraId="29D416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w:t>
            </w:r>
          </w:p>
        </w:tc>
        <w:tc>
          <w:tcPr>
            <w:tcW w:w="651" w:type="pct"/>
            <w:tcBorders>
              <w:tl2br w:val="nil"/>
              <w:tr2bl w:val="nil"/>
            </w:tcBorders>
            <w:vAlign w:val="center"/>
          </w:tcPr>
          <w:p w14:paraId="3542EF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mg/L</w:t>
            </w:r>
          </w:p>
        </w:tc>
        <w:tc>
          <w:tcPr>
            <w:tcW w:w="1978" w:type="pct"/>
            <w:tcBorders>
              <w:tl2br w:val="nil"/>
              <w:tr2bl w:val="nil"/>
            </w:tcBorders>
            <w:vAlign w:val="center"/>
          </w:tcPr>
          <w:p w14:paraId="51CF163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en-US"/>
                <w14:textFill>
                  <w14:solidFill>
                    <w14:schemeClr w14:val="tx1"/>
                  </w14:solidFill>
                </w14:textFill>
              </w:rPr>
              <w:t>排污口氨氮排放浓度</w:t>
            </w:r>
          </w:p>
        </w:tc>
      </w:tr>
      <w:tr w14:paraId="0C4BA9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070" w:type="pct"/>
            <w:vMerge w:val="restart"/>
            <w:tcBorders>
              <w:tl2br w:val="nil"/>
              <w:tr2bl w:val="nil"/>
            </w:tcBorders>
            <w:vAlign w:val="center"/>
          </w:tcPr>
          <w:p w14:paraId="328DEEA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TP</w:t>
            </w:r>
          </w:p>
        </w:tc>
        <w:tc>
          <w:tcPr>
            <w:tcW w:w="592" w:type="pct"/>
            <w:tcBorders>
              <w:tl2br w:val="nil"/>
              <w:tr2bl w:val="nil"/>
            </w:tcBorders>
            <w:vAlign w:val="center"/>
          </w:tcPr>
          <w:p w14:paraId="735C77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Cr</w:t>
            </w:r>
          </w:p>
        </w:tc>
        <w:tc>
          <w:tcPr>
            <w:tcW w:w="707" w:type="pct"/>
            <w:tcBorders>
              <w:tl2br w:val="nil"/>
              <w:tr2bl w:val="nil"/>
            </w:tcBorders>
            <w:vAlign w:val="center"/>
          </w:tcPr>
          <w:p w14:paraId="0B1E037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0.4</w:t>
            </w:r>
          </w:p>
        </w:tc>
        <w:tc>
          <w:tcPr>
            <w:tcW w:w="651" w:type="pct"/>
            <w:tcBorders>
              <w:tl2br w:val="nil"/>
              <w:tr2bl w:val="nil"/>
            </w:tcBorders>
            <w:vAlign w:val="center"/>
          </w:tcPr>
          <w:p w14:paraId="72D846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mg/L</w:t>
            </w:r>
          </w:p>
        </w:tc>
        <w:tc>
          <w:tcPr>
            <w:tcW w:w="1978" w:type="pct"/>
            <w:tcBorders>
              <w:tl2br w:val="nil"/>
              <w:tr2bl w:val="nil"/>
            </w:tcBorders>
            <w:vAlign w:val="center"/>
          </w:tcPr>
          <w:p w14:paraId="1524EA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en-US"/>
                <w14:textFill>
                  <w14:solidFill>
                    <w14:schemeClr w14:val="tx1"/>
                  </w14:solidFill>
                </w14:textFill>
              </w:rPr>
              <w:t>河流总磷背景浓度</w:t>
            </w:r>
          </w:p>
        </w:tc>
      </w:tr>
      <w:tr w14:paraId="247B0F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070" w:type="pct"/>
            <w:vMerge w:val="continue"/>
            <w:tcBorders>
              <w:tl2br w:val="nil"/>
              <w:tr2bl w:val="nil"/>
            </w:tcBorders>
            <w:vAlign w:val="center"/>
          </w:tcPr>
          <w:p w14:paraId="3582205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592" w:type="pct"/>
            <w:tcBorders>
              <w:tl2br w:val="nil"/>
              <w:tr2bl w:val="nil"/>
            </w:tcBorders>
            <w:vAlign w:val="center"/>
          </w:tcPr>
          <w:p w14:paraId="43A5A7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Cw</w:t>
            </w:r>
          </w:p>
        </w:tc>
        <w:tc>
          <w:tcPr>
            <w:tcW w:w="707" w:type="pct"/>
            <w:tcBorders>
              <w:tl2br w:val="nil"/>
              <w:tr2bl w:val="nil"/>
            </w:tcBorders>
            <w:vAlign w:val="center"/>
          </w:tcPr>
          <w:p w14:paraId="15D5902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0.4</w:t>
            </w:r>
          </w:p>
        </w:tc>
        <w:tc>
          <w:tcPr>
            <w:tcW w:w="651" w:type="pct"/>
            <w:tcBorders>
              <w:tl2br w:val="nil"/>
              <w:tr2bl w:val="nil"/>
            </w:tcBorders>
            <w:vAlign w:val="center"/>
          </w:tcPr>
          <w:p w14:paraId="6A69DA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mg/L</w:t>
            </w:r>
          </w:p>
        </w:tc>
        <w:tc>
          <w:tcPr>
            <w:tcW w:w="1978" w:type="pct"/>
            <w:tcBorders>
              <w:tl2br w:val="nil"/>
              <w:tr2bl w:val="nil"/>
            </w:tcBorders>
            <w:vAlign w:val="center"/>
          </w:tcPr>
          <w:p w14:paraId="5AADC5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en-US"/>
                <w14:textFill>
                  <w14:solidFill>
                    <w14:schemeClr w14:val="tx1"/>
                  </w14:solidFill>
                </w14:textFill>
              </w:rPr>
              <w:t>排污口总磷排放浓度</w:t>
            </w:r>
          </w:p>
        </w:tc>
      </w:tr>
      <w:tr w14:paraId="71BE5A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000" w:type="pct"/>
            <w:gridSpan w:val="5"/>
            <w:tcBorders>
              <w:tl2br w:val="nil"/>
              <w:tr2bl w:val="nil"/>
            </w:tcBorders>
            <w:vAlign w:val="center"/>
          </w:tcPr>
          <w:p w14:paraId="7AFB3F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非正常情况</w:t>
            </w:r>
          </w:p>
        </w:tc>
      </w:tr>
      <w:tr w14:paraId="496E09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070" w:type="pct"/>
            <w:vMerge w:val="restart"/>
            <w:tcBorders>
              <w:tl2br w:val="nil"/>
              <w:tr2bl w:val="nil"/>
            </w:tcBorders>
            <w:vAlign w:val="center"/>
          </w:tcPr>
          <w:p w14:paraId="0BBC5F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COD</w:t>
            </w:r>
          </w:p>
        </w:tc>
        <w:tc>
          <w:tcPr>
            <w:tcW w:w="592" w:type="pct"/>
            <w:tcBorders>
              <w:tl2br w:val="nil"/>
              <w:tr2bl w:val="nil"/>
            </w:tcBorders>
            <w:vAlign w:val="center"/>
          </w:tcPr>
          <w:p w14:paraId="42CD49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Cr</w:t>
            </w:r>
          </w:p>
        </w:tc>
        <w:tc>
          <w:tcPr>
            <w:tcW w:w="707" w:type="pct"/>
            <w:tcBorders>
              <w:tl2br w:val="nil"/>
              <w:tr2bl w:val="nil"/>
            </w:tcBorders>
            <w:vAlign w:val="center"/>
          </w:tcPr>
          <w:p w14:paraId="51C1DF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40</w:t>
            </w:r>
          </w:p>
        </w:tc>
        <w:tc>
          <w:tcPr>
            <w:tcW w:w="651" w:type="pct"/>
            <w:tcBorders>
              <w:tl2br w:val="nil"/>
              <w:tr2bl w:val="nil"/>
            </w:tcBorders>
            <w:vAlign w:val="center"/>
          </w:tcPr>
          <w:p w14:paraId="30E34B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mg/L</w:t>
            </w:r>
          </w:p>
        </w:tc>
        <w:tc>
          <w:tcPr>
            <w:tcW w:w="1978" w:type="pct"/>
            <w:tcBorders>
              <w:tl2br w:val="nil"/>
              <w:tr2bl w:val="nil"/>
            </w:tcBorders>
            <w:vAlign w:val="center"/>
          </w:tcPr>
          <w:p w14:paraId="49C840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en-US"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en-US"/>
                <w14:textFill>
                  <w14:solidFill>
                    <w14:schemeClr w14:val="tx1"/>
                  </w14:solidFill>
                </w14:textFill>
              </w:rPr>
              <w:t>河流COD背景浓度</w:t>
            </w:r>
          </w:p>
        </w:tc>
      </w:tr>
      <w:tr w14:paraId="04C4EE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070" w:type="pct"/>
            <w:vMerge w:val="continue"/>
            <w:tcBorders>
              <w:tl2br w:val="nil"/>
              <w:tr2bl w:val="nil"/>
            </w:tcBorders>
            <w:vAlign w:val="center"/>
          </w:tcPr>
          <w:p w14:paraId="78D7B3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592" w:type="pct"/>
            <w:tcBorders>
              <w:tl2br w:val="nil"/>
              <w:tr2bl w:val="nil"/>
            </w:tcBorders>
            <w:vAlign w:val="center"/>
          </w:tcPr>
          <w:p w14:paraId="7E14CD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Cw</w:t>
            </w:r>
          </w:p>
        </w:tc>
        <w:tc>
          <w:tcPr>
            <w:tcW w:w="707" w:type="pct"/>
            <w:tcBorders>
              <w:tl2br w:val="nil"/>
              <w:tr2bl w:val="nil"/>
            </w:tcBorders>
            <w:vAlign w:val="center"/>
          </w:tcPr>
          <w:p w14:paraId="5296DA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500</w:t>
            </w:r>
          </w:p>
        </w:tc>
        <w:tc>
          <w:tcPr>
            <w:tcW w:w="651" w:type="pct"/>
            <w:tcBorders>
              <w:tl2br w:val="nil"/>
              <w:tr2bl w:val="nil"/>
            </w:tcBorders>
            <w:vAlign w:val="center"/>
          </w:tcPr>
          <w:p w14:paraId="67501C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mg/L</w:t>
            </w:r>
          </w:p>
        </w:tc>
        <w:tc>
          <w:tcPr>
            <w:tcW w:w="1978" w:type="pct"/>
            <w:tcBorders>
              <w:tl2br w:val="nil"/>
              <w:tr2bl w:val="nil"/>
            </w:tcBorders>
            <w:vAlign w:val="center"/>
          </w:tcPr>
          <w:p w14:paraId="3C61760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en-US"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en-US"/>
                <w14:textFill>
                  <w14:solidFill>
                    <w14:schemeClr w14:val="tx1"/>
                  </w14:solidFill>
                </w14:textFill>
              </w:rPr>
              <w:t>排污口COD排放浓度</w:t>
            </w:r>
          </w:p>
        </w:tc>
      </w:tr>
      <w:tr w14:paraId="30B85C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070" w:type="pct"/>
            <w:vMerge w:val="restart"/>
            <w:tcBorders>
              <w:tl2br w:val="nil"/>
              <w:tr2bl w:val="nil"/>
            </w:tcBorders>
            <w:vAlign w:val="center"/>
          </w:tcPr>
          <w:p w14:paraId="5AA8E8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NH</w:t>
            </w:r>
            <w:r>
              <w:rPr>
                <w:rFonts w:hint="default"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-N</w:t>
            </w:r>
          </w:p>
        </w:tc>
        <w:tc>
          <w:tcPr>
            <w:tcW w:w="592" w:type="pct"/>
            <w:tcBorders>
              <w:tl2br w:val="nil"/>
              <w:tr2bl w:val="nil"/>
            </w:tcBorders>
            <w:vAlign w:val="center"/>
          </w:tcPr>
          <w:p w14:paraId="4EF4372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Cr</w:t>
            </w:r>
          </w:p>
        </w:tc>
        <w:tc>
          <w:tcPr>
            <w:tcW w:w="707" w:type="pct"/>
            <w:tcBorders>
              <w:tl2br w:val="nil"/>
              <w:tr2bl w:val="nil"/>
            </w:tcBorders>
            <w:vAlign w:val="center"/>
          </w:tcPr>
          <w:p w14:paraId="0FA975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w:t>
            </w:r>
          </w:p>
        </w:tc>
        <w:tc>
          <w:tcPr>
            <w:tcW w:w="651" w:type="pct"/>
            <w:tcBorders>
              <w:tl2br w:val="nil"/>
              <w:tr2bl w:val="nil"/>
            </w:tcBorders>
            <w:vAlign w:val="center"/>
          </w:tcPr>
          <w:p w14:paraId="0CAD54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mg/L</w:t>
            </w:r>
          </w:p>
        </w:tc>
        <w:tc>
          <w:tcPr>
            <w:tcW w:w="1978" w:type="pct"/>
            <w:tcBorders>
              <w:tl2br w:val="nil"/>
              <w:tr2bl w:val="nil"/>
            </w:tcBorders>
            <w:vAlign w:val="center"/>
          </w:tcPr>
          <w:p w14:paraId="5CCE73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en-US"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en-US"/>
                <w14:textFill>
                  <w14:solidFill>
                    <w14:schemeClr w14:val="tx1"/>
                  </w14:solidFill>
                </w14:textFill>
              </w:rPr>
              <w:t>河流氨氮背景浓度</w:t>
            </w:r>
          </w:p>
        </w:tc>
      </w:tr>
      <w:tr w14:paraId="089A47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070" w:type="pct"/>
            <w:vMerge w:val="continue"/>
            <w:tcBorders>
              <w:tl2br w:val="nil"/>
              <w:tr2bl w:val="nil"/>
            </w:tcBorders>
            <w:vAlign w:val="center"/>
          </w:tcPr>
          <w:p w14:paraId="5B3012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592" w:type="pct"/>
            <w:tcBorders>
              <w:tl2br w:val="nil"/>
              <w:tr2bl w:val="nil"/>
            </w:tcBorders>
            <w:vAlign w:val="center"/>
          </w:tcPr>
          <w:p w14:paraId="69277D5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Cw</w:t>
            </w:r>
          </w:p>
        </w:tc>
        <w:tc>
          <w:tcPr>
            <w:tcW w:w="707" w:type="pct"/>
            <w:tcBorders>
              <w:tl2br w:val="nil"/>
              <w:tr2bl w:val="nil"/>
            </w:tcBorders>
            <w:vAlign w:val="center"/>
          </w:tcPr>
          <w:p w14:paraId="36321E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45</w:t>
            </w:r>
          </w:p>
        </w:tc>
        <w:tc>
          <w:tcPr>
            <w:tcW w:w="651" w:type="pct"/>
            <w:tcBorders>
              <w:tl2br w:val="nil"/>
              <w:tr2bl w:val="nil"/>
            </w:tcBorders>
            <w:vAlign w:val="center"/>
          </w:tcPr>
          <w:p w14:paraId="71599C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mg/L</w:t>
            </w:r>
          </w:p>
        </w:tc>
        <w:tc>
          <w:tcPr>
            <w:tcW w:w="1978" w:type="pct"/>
            <w:tcBorders>
              <w:tl2br w:val="nil"/>
              <w:tr2bl w:val="nil"/>
            </w:tcBorders>
            <w:vAlign w:val="center"/>
          </w:tcPr>
          <w:p w14:paraId="18FB5B2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en-US"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en-US"/>
                <w14:textFill>
                  <w14:solidFill>
                    <w14:schemeClr w14:val="tx1"/>
                  </w14:solidFill>
                </w14:textFill>
              </w:rPr>
              <w:t>排污口氨氮排放浓度</w:t>
            </w:r>
          </w:p>
        </w:tc>
      </w:tr>
      <w:tr w14:paraId="20C9FB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070" w:type="pct"/>
            <w:vMerge w:val="restart"/>
            <w:tcBorders>
              <w:tl2br w:val="nil"/>
              <w:tr2bl w:val="nil"/>
            </w:tcBorders>
            <w:vAlign w:val="center"/>
          </w:tcPr>
          <w:p w14:paraId="668952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TP</w:t>
            </w:r>
          </w:p>
        </w:tc>
        <w:tc>
          <w:tcPr>
            <w:tcW w:w="592" w:type="pct"/>
            <w:tcBorders>
              <w:tl2br w:val="nil"/>
              <w:tr2bl w:val="nil"/>
            </w:tcBorders>
            <w:vAlign w:val="center"/>
          </w:tcPr>
          <w:p w14:paraId="4655C7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Cr</w:t>
            </w:r>
          </w:p>
        </w:tc>
        <w:tc>
          <w:tcPr>
            <w:tcW w:w="707" w:type="pct"/>
            <w:tcBorders>
              <w:tl2br w:val="nil"/>
              <w:tr2bl w:val="nil"/>
            </w:tcBorders>
            <w:vAlign w:val="center"/>
          </w:tcPr>
          <w:p w14:paraId="71568A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4</w:t>
            </w:r>
          </w:p>
        </w:tc>
        <w:tc>
          <w:tcPr>
            <w:tcW w:w="651" w:type="pct"/>
            <w:tcBorders>
              <w:tl2br w:val="nil"/>
              <w:tr2bl w:val="nil"/>
            </w:tcBorders>
            <w:vAlign w:val="center"/>
          </w:tcPr>
          <w:p w14:paraId="696603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mg/L</w:t>
            </w:r>
          </w:p>
        </w:tc>
        <w:tc>
          <w:tcPr>
            <w:tcW w:w="1978" w:type="pct"/>
            <w:tcBorders>
              <w:tl2br w:val="nil"/>
              <w:tr2bl w:val="nil"/>
            </w:tcBorders>
            <w:vAlign w:val="center"/>
          </w:tcPr>
          <w:p w14:paraId="588F91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en-US"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en-US"/>
                <w14:textFill>
                  <w14:solidFill>
                    <w14:schemeClr w14:val="tx1"/>
                  </w14:solidFill>
                </w14:textFill>
              </w:rPr>
              <w:t>河流总磷背景浓度</w:t>
            </w:r>
          </w:p>
        </w:tc>
      </w:tr>
      <w:tr w14:paraId="39149A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070" w:type="pct"/>
            <w:vMerge w:val="continue"/>
            <w:tcBorders>
              <w:tl2br w:val="nil"/>
              <w:tr2bl w:val="nil"/>
            </w:tcBorders>
            <w:vAlign w:val="center"/>
          </w:tcPr>
          <w:p w14:paraId="1D976E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592" w:type="pct"/>
            <w:tcBorders>
              <w:tl2br w:val="nil"/>
              <w:tr2bl w:val="nil"/>
            </w:tcBorders>
            <w:vAlign w:val="center"/>
          </w:tcPr>
          <w:p w14:paraId="487532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Cw</w:t>
            </w:r>
          </w:p>
        </w:tc>
        <w:tc>
          <w:tcPr>
            <w:tcW w:w="707" w:type="pct"/>
            <w:tcBorders>
              <w:tl2br w:val="nil"/>
              <w:tr2bl w:val="nil"/>
            </w:tcBorders>
            <w:vAlign w:val="center"/>
          </w:tcPr>
          <w:p w14:paraId="36E389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8</w:t>
            </w:r>
          </w:p>
        </w:tc>
        <w:tc>
          <w:tcPr>
            <w:tcW w:w="651" w:type="pct"/>
            <w:tcBorders>
              <w:tl2br w:val="nil"/>
              <w:tr2bl w:val="nil"/>
            </w:tcBorders>
            <w:vAlign w:val="center"/>
          </w:tcPr>
          <w:p w14:paraId="2863259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mg/L</w:t>
            </w:r>
          </w:p>
        </w:tc>
        <w:tc>
          <w:tcPr>
            <w:tcW w:w="1978" w:type="pct"/>
            <w:tcBorders>
              <w:tl2br w:val="nil"/>
              <w:tr2bl w:val="nil"/>
            </w:tcBorders>
            <w:vAlign w:val="center"/>
          </w:tcPr>
          <w:p w14:paraId="3D4410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en-US"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en-US"/>
                <w14:textFill>
                  <w14:solidFill>
                    <w14:schemeClr w14:val="tx1"/>
                  </w14:solidFill>
                </w14:textFill>
              </w:rPr>
              <w:t>排污口总磷排放浓度</w:t>
            </w:r>
          </w:p>
        </w:tc>
      </w:tr>
    </w:tbl>
    <w:p w14:paraId="426D560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p>
    <w:p w14:paraId="6574FE1D">
      <w:pPr>
        <w:pStyle w:val="4"/>
        <w:bidi w:val="0"/>
        <w:rPr>
          <w:rFonts w:hint="eastAsia"/>
          <w:color w:val="000000" w:themeColor="text1"/>
          <w:highlight w:val="none"/>
          <w:lang w:val="en-US" w:eastAsia="zh-CN"/>
          <w14:textFill>
            <w14:solidFill>
              <w14:schemeClr w14:val="tx1"/>
            </w14:solidFill>
          </w14:textFill>
        </w:rPr>
      </w:pPr>
      <w:bookmarkStart w:id="126" w:name="_Toc7498"/>
      <w:bookmarkStart w:id="127" w:name="_Toc911"/>
      <w:r>
        <w:rPr>
          <w:rFonts w:hint="eastAsia"/>
          <w:color w:val="000000" w:themeColor="text1"/>
          <w:highlight w:val="none"/>
          <w:lang w:val="en-US" w:eastAsia="zh-CN"/>
          <w14:textFill>
            <w14:solidFill>
              <w14:schemeClr w14:val="tx1"/>
            </w14:solidFill>
          </w14:textFill>
        </w:rPr>
        <w:t>5.2.6预测结果</w:t>
      </w:r>
      <w:bookmarkEnd w:id="126"/>
      <w:bookmarkEnd w:id="127"/>
    </w:p>
    <w:p w14:paraId="3627862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1、正常情况下水质预测结果</w:t>
      </w:r>
    </w:p>
    <w:p w14:paraId="009C10B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将各参数代入一维水质模型，模拟预测本入河排污口至二排干入总排干断面的各污染物浓度变化情况。水质模型预测详见表5.2-5。</w:t>
      </w:r>
    </w:p>
    <w:p w14:paraId="38F23FDD">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表5.2-5  枯水期正常排放工况水质浓度预测  单位：mg/L</w:t>
      </w:r>
    </w:p>
    <w:tbl>
      <w:tblPr>
        <w:tblStyle w:val="12"/>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27"/>
        <w:gridCol w:w="1416"/>
        <w:gridCol w:w="1290"/>
        <w:gridCol w:w="1262"/>
        <w:gridCol w:w="1219"/>
        <w:gridCol w:w="1312"/>
      </w:tblGrid>
      <w:tr w14:paraId="09EC05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4334457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备注</w:t>
            </w:r>
          </w:p>
        </w:tc>
        <w:tc>
          <w:tcPr>
            <w:tcW w:w="1416" w:type="dxa"/>
            <w:tcBorders>
              <w:tl2br w:val="nil"/>
              <w:tr2bl w:val="nil"/>
            </w:tcBorders>
            <w:noWrap w:val="0"/>
            <w:vAlign w:val="center"/>
          </w:tcPr>
          <w:p w14:paraId="2DC3F2E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沿河段纵向距离x（m）</w:t>
            </w:r>
          </w:p>
        </w:tc>
        <w:tc>
          <w:tcPr>
            <w:tcW w:w="1290" w:type="dxa"/>
            <w:tcBorders>
              <w:tl2br w:val="nil"/>
              <w:tr2bl w:val="nil"/>
            </w:tcBorders>
            <w:noWrap w:val="0"/>
            <w:vAlign w:val="center"/>
          </w:tcPr>
          <w:p w14:paraId="13E87B9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NH</w:t>
            </w:r>
            <w:r>
              <w:rPr>
                <w:rFonts w:hint="default" w:ascii="Times New Roman" w:hAnsi="Times New Roman" w:eastAsia="宋体" w:cs="Times New Roman"/>
                <w:b w:val="0"/>
                <w:bCs/>
                <w:color w:val="000000" w:themeColor="text1"/>
                <w:spacing w:val="0"/>
                <w:sz w:val="21"/>
                <w:szCs w:val="21"/>
                <w:highlight w:val="none"/>
                <w:vertAlign w:val="subscript"/>
                <w:lang w:val="en-US" w:eastAsia="zh-CN"/>
                <w14:textFill>
                  <w14:solidFill>
                    <w14:schemeClr w14:val="tx1"/>
                  </w14:solidFill>
                </w14:textFill>
              </w:rPr>
              <w:t>3</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-N（mg/L）</w:t>
            </w:r>
          </w:p>
        </w:tc>
        <w:tc>
          <w:tcPr>
            <w:tcW w:w="1262" w:type="dxa"/>
            <w:tcBorders>
              <w:tl2br w:val="nil"/>
              <w:tr2bl w:val="nil"/>
            </w:tcBorders>
            <w:noWrap w:val="0"/>
            <w:vAlign w:val="center"/>
          </w:tcPr>
          <w:p w14:paraId="63618B5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COD（mg/L）</w:t>
            </w:r>
          </w:p>
        </w:tc>
        <w:tc>
          <w:tcPr>
            <w:tcW w:w="1219" w:type="dxa"/>
            <w:tcBorders>
              <w:tl2br w:val="nil"/>
              <w:tr2bl w:val="nil"/>
            </w:tcBorders>
            <w:noWrap w:val="0"/>
            <w:vAlign w:val="center"/>
          </w:tcPr>
          <w:p w14:paraId="1D56A20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TP（mg/L）</w:t>
            </w:r>
          </w:p>
        </w:tc>
        <w:tc>
          <w:tcPr>
            <w:tcW w:w="1312" w:type="dxa"/>
            <w:tcBorders>
              <w:tl2br w:val="nil"/>
              <w:tr2bl w:val="nil"/>
            </w:tcBorders>
            <w:noWrap w:val="0"/>
            <w:vAlign w:val="center"/>
          </w:tcPr>
          <w:p w14:paraId="51E477B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流量（m</w:t>
            </w:r>
            <w:r>
              <w:rPr>
                <w:rFonts w:hint="default" w:ascii="Times New Roman" w:hAnsi="Times New Roman" w:eastAsia="宋体" w:cs="Times New Roman"/>
                <w:b w:val="0"/>
                <w:bCs/>
                <w:color w:val="000000" w:themeColor="text1"/>
                <w:spacing w:val="0"/>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/s）</w:t>
            </w:r>
          </w:p>
        </w:tc>
      </w:tr>
      <w:tr w14:paraId="49D849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2AA029C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本项目排污前</w:t>
            </w:r>
          </w:p>
        </w:tc>
        <w:tc>
          <w:tcPr>
            <w:tcW w:w="1416" w:type="dxa"/>
            <w:vMerge w:val="restart"/>
            <w:tcBorders>
              <w:tl2br w:val="nil"/>
              <w:tr2bl w:val="nil"/>
            </w:tcBorders>
            <w:noWrap w:val="0"/>
            <w:vAlign w:val="center"/>
          </w:tcPr>
          <w:p w14:paraId="20C4CA8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290" w:type="dxa"/>
            <w:tcBorders>
              <w:tl2br w:val="nil"/>
              <w:tr2bl w:val="nil"/>
            </w:tcBorders>
            <w:noWrap w:val="0"/>
            <w:vAlign w:val="center"/>
          </w:tcPr>
          <w:p w14:paraId="54884F4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2.000</w:t>
            </w:r>
          </w:p>
        </w:tc>
        <w:tc>
          <w:tcPr>
            <w:tcW w:w="1262" w:type="dxa"/>
            <w:tcBorders>
              <w:tl2br w:val="nil"/>
              <w:tr2bl w:val="nil"/>
            </w:tcBorders>
            <w:noWrap w:val="0"/>
            <w:vAlign w:val="center"/>
          </w:tcPr>
          <w:p w14:paraId="0E8EFEE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40.000</w:t>
            </w:r>
          </w:p>
        </w:tc>
        <w:tc>
          <w:tcPr>
            <w:tcW w:w="1219" w:type="dxa"/>
            <w:tcBorders>
              <w:tl2br w:val="nil"/>
              <w:tr2bl w:val="nil"/>
            </w:tcBorders>
            <w:noWrap w:val="0"/>
            <w:vAlign w:val="center"/>
          </w:tcPr>
          <w:p w14:paraId="1045388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0.400</w:t>
            </w:r>
          </w:p>
        </w:tc>
        <w:tc>
          <w:tcPr>
            <w:tcW w:w="1312" w:type="dxa"/>
            <w:tcBorders>
              <w:tl2br w:val="nil"/>
              <w:tr2bl w:val="nil"/>
            </w:tcBorders>
            <w:noWrap w:val="0"/>
            <w:vAlign w:val="center"/>
          </w:tcPr>
          <w:p w14:paraId="2953D9D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0.26</w:t>
            </w:r>
          </w:p>
        </w:tc>
      </w:tr>
      <w:tr w14:paraId="0F541E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6B72A36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本项目排污后（叠加污水处理厂水量）</w:t>
            </w:r>
          </w:p>
        </w:tc>
        <w:tc>
          <w:tcPr>
            <w:tcW w:w="1416" w:type="dxa"/>
            <w:vMerge w:val="continue"/>
            <w:tcBorders>
              <w:tl2br w:val="nil"/>
              <w:tr2bl w:val="nil"/>
            </w:tcBorders>
            <w:noWrap w:val="0"/>
            <w:vAlign w:val="center"/>
          </w:tcPr>
          <w:p w14:paraId="5C4BD5C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290" w:type="dxa"/>
            <w:tcBorders>
              <w:tl2br w:val="nil"/>
              <w:tr2bl w:val="nil"/>
            </w:tcBorders>
            <w:noWrap w:val="0"/>
            <w:vAlign w:val="center"/>
          </w:tcPr>
          <w:p w14:paraId="73C46B2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2.000</w:t>
            </w:r>
          </w:p>
        </w:tc>
        <w:tc>
          <w:tcPr>
            <w:tcW w:w="1262" w:type="dxa"/>
            <w:tcBorders>
              <w:tl2br w:val="nil"/>
              <w:tr2bl w:val="nil"/>
            </w:tcBorders>
            <w:noWrap w:val="0"/>
            <w:vAlign w:val="center"/>
          </w:tcPr>
          <w:p w14:paraId="5BF3442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40.000</w:t>
            </w:r>
          </w:p>
        </w:tc>
        <w:tc>
          <w:tcPr>
            <w:tcW w:w="1219" w:type="dxa"/>
            <w:tcBorders>
              <w:tl2br w:val="nil"/>
              <w:tr2bl w:val="nil"/>
            </w:tcBorders>
            <w:noWrap w:val="0"/>
            <w:vAlign w:val="center"/>
          </w:tcPr>
          <w:p w14:paraId="49670B3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0.400</w:t>
            </w:r>
          </w:p>
        </w:tc>
        <w:tc>
          <w:tcPr>
            <w:tcW w:w="1312" w:type="dxa"/>
            <w:tcBorders>
              <w:tl2br w:val="nil"/>
              <w:tr2bl w:val="nil"/>
            </w:tcBorders>
            <w:noWrap w:val="0"/>
            <w:vAlign w:val="center"/>
          </w:tcPr>
          <w:p w14:paraId="1F5E721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0.26+0.174</w:t>
            </w:r>
          </w:p>
        </w:tc>
      </w:tr>
      <w:tr w14:paraId="7F3CCF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08D7BBA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394E3FF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100</w:t>
            </w:r>
          </w:p>
        </w:tc>
        <w:tc>
          <w:tcPr>
            <w:tcW w:w="1290" w:type="dxa"/>
            <w:tcBorders>
              <w:tl2br w:val="nil"/>
              <w:tr2bl w:val="nil"/>
            </w:tcBorders>
            <w:noWrap w:val="0"/>
            <w:vAlign w:val="center"/>
          </w:tcPr>
          <w:p w14:paraId="5274601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1.988</w:t>
            </w:r>
          </w:p>
        </w:tc>
        <w:tc>
          <w:tcPr>
            <w:tcW w:w="1262" w:type="dxa"/>
            <w:tcBorders>
              <w:tl2br w:val="nil"/>
              <w:tr2bl w:val="nil"/>
            </w:tcBorders>
            <w:noWrap w:val="0"/>
            <w:vAlign w:val="center"/>
          </w:tcPr>
          <w:p w14:paraId="342EC12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39.769</w:t>
            </w:r>
          </w:p>
        </w:tc>
        <w:tc>
          <w:tcPr>
            <w:tcW w:w="1219" w:type="dxa"/>
            <w:tcBorders>
              <w:tl2br w:val="nil"/>
              <w:tr2bl w:val="nil"/>
            </w:tcBorders>
            <w:noWrap w:val="0"/>
            <w:vAlign w:val="center"/>
          </w:tcPr>
          <w:p w14:paraId="3609DAA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0.397</w:t>
            </w:r>
          </w:p>
        </w:tc>
        <w:tc>
          <w:tcPr>
            <w:tcW w:w="1312" w:type="dxa"/>
            <w:tcBorders>
              <w:tl2br w:val="nil"/>
              <w:tr2bl w:val="nil"/>
            </w:tcBorders>
            <w:noWrap w:val="0"/>
            <w:vAlign w:val="center"/>
          </w:tcPr>
          <w:p w14:paraId="4997894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721B3D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2027" w:type="dxa"/>
            <w:tcBorders>
              <w:tl2br w:val="nil"/>
              <w:tr2bl w:val="nil"/>
            </w:tcBorders>
            <w:noWrap w:val="0"/>
            <w:vAlign w:val="center"/>
          </w:tcPr>
          <w:p w14:paraId="68A8E36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5DCBF1E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500</w:t>
            </w:r>
          </w:p>
        </w:tc>
        <w:tc>
          <w:tcPr>
            <w:tcW w:w="1290" w:type="dxa"/>
            <w:tcBorders>
              <w:tl2br w:val="nil"/>
              <w:tr2bl w:val="nil"/>
            </w:tcBorders>
            <w:noWrap w:val="0"/>
            <w:vAlign w:val="center"/>
          </w:tcPr>
          <w:p w14:paraId="3487C41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1.943</w:t>
            </w:r>
          </w:p>
        </w:tc>
        <w:tc>
          <w:tcPr>
            <w:tcW w:w="1262" w:type="dxa"/>
            <w:tcBorders>
              <w:tl2br w:val="nil"/>
              <w:tr2bl w:val="nil"/>
            </w:tcBorders>
            <w:noWrap w:val="0"/>
            <w:vAlign w:val="center"/>
          </w:tcPr>
          <w:p w14:paraId="7604CE9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38.859</w:t>
            </w:r>
          </w:p>
        </w:tc>
        <w:tc>
          <w:tcPr>
            <w:tcW w:w="1219" w:type="dxa"/>
            <w:tcBorders>
              <w:tl2br w:val="nil"/>
              <w:tr2bl w:val="nil"/>
            </w:tcBorders>
            <w:noWrap w:val="0"/>
            <w:vAlign w:val="center"/>
          </w:tcPr>
          <w:p w14:paraId="3D9DF01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0.386</w:t>
            </w:r>
          </w:p>
        </w:tc>
        <w:tc>
          <w:tcPr>
            <w:tcW w:w="1312" w:type="dxa"/>
            <w:tcBorders>
              <w:tl2br w:val="nil"/>
              <w:tr2bl w:val="nil"/>
            </w:tcBorders>
            <w:noWrap w:val="0"/>
            <w:vAlign w:val="center"/>
          </w:tcPr>
          <w:p w14:paraId="70BAB3A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305DCC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4E68EC5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2A81ABB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1000</w:t>
            </w:r>
          </w:p>
        </w:tc>
        <w:tc>
          <w:tcPr>
            <w:tcW w:w="1290" w:type="dxa"/>
            <w:tcBorders>
              <w:tl2br w:val="nil"/>
              <w:tr2bl w:val="nil"/>
            </w:tcBorders>
            <w:noWrap w:val="0"/>
            <w:vAlign w:val="center"/>
          </w:tcPr>
          <w:p w14:paraId="00E190B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1.888</w:t>
            </w:r>
          </w:p>
        </w:tc>
        <w:tc>
          <w:tcPr>
            <w:tcW w:w="1262" w:type="dxa"/>
            <w:tcBorders>
              <w:tl2br w:val="nil"/>
              <w:tr2bl w:val="nil"/>
            </w:tcBorders>
            <w:noWrap w:val="0"/>
            <w:vAlign w:val="center"/>
          </w:tcPr>
          <w:p w14:paraId="29AFBE6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37.751</w:t>
            </w:r>
          </w:p>
        </w:tc>
        <w:tc>
          <w:tcPr>
            <w:tcW w:w="1219" w:type="dxa"/>
            <w:tcBorders>
              <w:tl2br w:val="nil"/>
              <w:tr2bl w:val="nil"/>
            </w:tcBorders>
            <w:noWrap w:val="0"/>
            <w:vAlign w:val="center"/>
          </w:tcPr>
          <w:p w14:paraId="76A53B7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0.373</w:t>
            </w:r>
          </w:p>
        </w:tc>
        <w:tc>
          <w:tcPr>
            <w:tcW w:w="1312" w:type="dxa"/>
            <w:tcBorders>
              <w:tl2br w:val="nil"/>
              <w:tr2bl w:val="nil"/>
            </w:tcBorders>
            <w:noWrap w:val="0"/>
            <w:vAlign w:val="center"/>
          </w:tcPr>
          <w:p w14:paraId="03A1B8F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045262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5B302AF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6810D43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2000</w:t>
            </w:r>
          </w:p>
        </w:tc>
        <w:tc>
          <w:tcPr>
            <w:tcW w:w="1290" w:type="dxa"/>
            <w:tcBorders>
              <w:tl2br w:val="nil"/>
              <w:tr2bl w:val="nil"/>
            </w:tcBorders>
            <w:noWrap w:val="0"/>
            <w:vAlign w:val="center"/>
          </w:tcPr>
          <w:p w14:paraId="7F43A0C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1.781</w:t>
            </w:r>
          </w:p>
        </w:tc>
        <w:tc>
          <w:tcPr>
            <w:tcW w:w="1262" w:type="dxa"/>
            <w:tcBorders>
              <w:tl2br w:val="nil"/>
              <w:tr2bl w:val="nil"/>
            </w:tcBorders>
            <w:noWrap w:val="0"/>
            <w:vAlign w:val="center"/>
          </w:tcPr>
          <w:p w14:paraId="2E3EFA6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35.628</w:t>
            </w:r>
          </w:p>
        </w:tc>
        <w:tc>
          <w:tcPr>
            <w:tcW w:w="1219" w:type="dxa"/>
            <w:tcBorders>
              <w:tl2br w:val="nil"/>
              <w:tr2bl w:val="nil"/>
            </w:tcBorders>
            <w:noWrap w:val="0"/>
            <w:vAlign w:val="center"/>
          </w:tcPr>
          <w:p w14:paraId="7CF6916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0.348</w:t>
            </w:r>
          </w:p>
        </w:tc>
        <w:tc>
          <w:tcPr>
            <w:tcW w:w="1312" w:type="dxa"/>
            <w:tcBorders>
              <w:tl2br w:val="nil"/>
              <w:tr2bl w:val="nil"/>
            </w:tcBorders>
            <w:noWrap w:val="0"/>
            <w:vAlign w:val="center"/>
          </w:tcPr>
          <w:p w14:paraId="3E11E2F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0D9FE0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2B7E3C8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561FA01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3000</w:t>
            </w:r>
          </w:p>
        </w:tc>
        <w:tc>
          <w:tcPr>
            <w:tcW w:w="1290" w:type="dxa"/>
            <w:tcBorders>
              <w:tl2br w:val="nil"/>
              <w:tr2bl w:val="nil"/>
            </w:tcBorders>
            <w:noWrap w:val="0"/>
            <w:vAlign w:val="center"/>
          </w:tcPr>
          <w:p w14:paraId="3D7104E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1.681</w:t>
            </w:r>
          </w:p>
        </w:tc>
        <w:tc>
          <w:tcPr>
            <w:tcW w:w="1262" w:type="dxa"/>
            <w:tcBorders>
              <w:tl2br w:val="nil"/>
              <w:tr2bl w:val="nil"/>
            </w:tcBorders>
            <w:noWrap w:val="0"/>
            <w:vAlign w:val="center"/>
          </w:tcPr>
          <w:p w14:paraId="42B15B6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33.625</w:t>
            </w:r>
          </w:p>
        </w:tc>
        <w:tc>
          <w:tcPr>
            <w:tcW w:w="1219" w:type="dxa"/>
            <w:tcBorders>
              <w:tl2br w:val="nil"/>
              <w:tr2bl w:val="nil"/>
            </w:tcBorders>
            <w:noWrap w:val="0"/>
            <w:vAlign w:val="center"/>
          </w:tcPr>
          <w:p w14:paraId="72C64B2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0.325</w:t>
            </w:r>
          </w:p>
        </w:tc>
        <w:tc>
          <w:tcPr>
            <w:tcW w:w="1312" w:type="dxa"/>
            <w:tcBorders>
              <w:tl2br w:val="nil"/>
              <w:tr2bl w:val="nil"/>
            </w:tcBorders>
            <w:noWrap w:val="0"/>
            <w:vAlign w:val="center"/>
          </w:tcPr>
          <w:p w14:paraId="1BE41AE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0B7F0A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227B6C6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26A2C5C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4000</w:t>
            </w:r>
          </w:p>
        </w:tc>
        <w:tc>
          <w:tcPr>
            <w:tcW w:w="1290" w:type="dxa"/>
            <w:tcBorders>
              <w:tl2br w:val="nil"/>
              <w:tr2bl w:val="nil"/>
            </w:tcBorders>
            <w:noWrap w:val="0"/>
            <w:vAlign w:val="center"/>
          </w:tcPr>
          <w:p w14:paraId="6129000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1.587</w:t>
            </w:r>
          </w:p>
        </w:tc>
        <w:tc>
          <w:tcPr>
            <w:tcW w:w="1262" w:type="dxa"/>
            <w:tcBorders>
              <w:tl2br w:val="nil"/>
              <w:tr2bl w:val="nil"/>
            </w:tcBorders>
            <w:noWrap w:val="0"/>
            <w:vAlign w:val="center"/>
          </w:tcPr>
          <w:p w14:paraId="4363E4A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31.734</w:t>
            </w:r>
          </w:p>
        </w:tc>
        <w:tc>
          <w:tcPr>
            <w:tcW w:w="1219" w:type="dxa"/>
            <w:tcBorders>
              <w:tl2br w:val="nil"/>
              <w:tr2bl w:val="nil"/>
            </w:tcBorders>
            <w:noWrap w:val="0"/>
            <w:vAlign w:val="center"/>
          </w:tcPr>
          <w:p w14:paraId="42F6133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0.303</w:t>
            </w:r>
          </w:p>
        </w:tc>
        <w:tc>
          <w:tcPr>
            <w:tcW w:w="1312" w:type="dxa"/>
            <w:tcBorders>
              <w:tl2br w:val="nil"/>
              <w:tr2bl w:val="nil"/>
            </w:tcBorders>
            <w:noWrap w:val="0"/>
            <w:vAlign w:val="center"/>
          </w:tcPr>
          <w:p w14:paraId="466253C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10C370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44ED237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11D804E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5000</w:t>
            </w:r>
          </w:p>
        </w:tc>
        <w:tc>
          <w:tcPr>
            <w:tcW w:w="1290" w:type="dxa"/>
            <w:tcBorders>
              <w:tl2br w:val="nil"/>
              <w:tr2bl w:val="nil"/>
            </w:tcBorders>
            <w:noWrap w:val="0"/>
            <w:vAlign w:val="center"/>
          </w:tcPr>
          <w:p w14:paraId="09FFFD6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1.497</w:t>
            </w:r>
          </w:p>
        </w:tc>
        <w:tc>
          <w:tcPr>
            <w:tcW w:w="1262" w:type="dxa"/>
            <w:tcBorders>
              <w:tl2br w:val="nil"/>
              <w:tr2bl w:val="nil"/>
            </w:tcBorders>
            <w:noWrap w:val="0"/>
            <w:vAlign w:val="center"/>
          </w:tcPr>
          <w:p w14:paraId="7D781C4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29.950</w:t>
            </w:r>
          </w:p>
        </w:tc>
        <w:tc>
          <w:tcPr>
            <w:tcW w:w="1219" w:type="dxa"/>
            <w:tcBorders>
              <w:tl2br w:val="nil"/>
              <w:tr2bl w:val="nil"/>
            </w:tcBorders>
            <w:noWrap w:val="0"/>
            <w:vAlign w:val="center"/>
          </w:tcPr>
          <w:p w14:paraId="6622021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0.283</w:t>
            </w:r>
          </w:p>
        </w:tc>
        <w:tc>
          <w:tcPr>
            <w:tcW w:w="1312" w:type="dxa"/>
            <w:tcBorders>
              <w:tl2br w:val="nil"/>
              <w:tr2bl w:val="nil"/>
            </w:tcBorders>
            <w:noWrap w:val="0"/>
            <w:vAlign w:val="center"/>
          </w:tcPr>
          <w:p w14:paraId="689CA67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111058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6F8BCC4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1A8AAD4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6000</w:t>
            </w:r>
          </w:p>
        </w:tc>
        <w:tc>
          <w:tcPr>
            <w:tcW w:w="1290" w:type="dxa"/>
            <w:tcBorders>
              <w:tl2br w:val="nil"/>
              <w:tr2bl w:val="nil"/>
            </w:tcBorders>
            <w:noWrap w:val="0"/>
            <w:vAlign w:val="center"/>
          </w:tcPr>
          <w:p w14:paraId="56F13DA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1.413</w:t>
            </w:r>
          </w:p>
        </w:tc>
        <w:tc>
          <w:tcPr>
            <w:tcW w:w="1262" w:type="dxa"/>
            <w:tcBorders>
              <w:tl2br w:val="nil"/>
              <w:tr2bl w:val="nil"/>
            </w:tcBorders>
            <w:noWrap w:val="0"/>
            <w:vAlign w:val="center"/>
          </w:tcPr>
          <w:p w14:paraId="79A12AE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28.266</w:t>
            </w:r>
          </w:p>
        </w:tc>
        <w:tc>
          <w:tcPr>
            <w:tcW w:w="1219" w:type="dxa"/>
            <w:tcBorders>
              <w:tl2br w:val="nil"/>
              <w:tr2bl w:val="nil"/>
            </w:tcBorders>
            <w:noWrap w:val="0"/>
            <w:vAlign w:val="center"/>
          </w:tcPr>
          <w:p w14:paraId="0392D72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0.264</w:t>
            </w:r>
          </w:p>
        </w:tc>
        <w:tc>
          <w:tcPr>
            <w:tcW w:w="1312" w:type="dxa"/>
            <w:tcBorders>
              <w:tl2br w:val="nil"/>
              <w:tr2bl w:val="nil"/>
            </w:tcBorders>
            <w:noWrap w:val="0"/>
            <w:vAlign w:val="center"/>
          </w:tcPr>
          <w:p w14:paraId="55E122C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322297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350093A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6AEF4D5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7000</w:t>
            </w:r>
          </w:p>
        </w:tc>
        <w:tc>
          <w:tcPr>
            <w:tcW w:w="1290" w:type="dxa"/>
            <w:tcBorders>
              <w:tl2br w:val="nil"/>
              <w:tr2bl w:val="nil"/>
            </w:tcBorders>
            <w:noWrap w:val="0"/>
            <w:vAlign w:val="center"/>
          </w:tcPr>
          <w:p w14:paraId="0393DB0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1.334</w:t>
            </w:r>
          </w:p>
        </w:tc>
        <w:tc>
          <w:tcPr>
            <w:tcW w:w="1262" w:type="dxa"/>
            <w:tcBorders>
              <w:tl2br w:val="nil"/>
              <w:tr2bl w:val="nil"/>
            </w:tcBorders>
            <w:noWrap w:val="0"/>
            <w:vAlign w:val="center"/>
          </w:tcPr>
          <w:p w14:paraId="46EC3B6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26.677</w:t>
            </w:r>
          </w:p>
        </w:tc>
        <w:tc>
          <w:tcPr>
            <w:tcW w:w="1219" w:type="dxa"/>
            <w:tcBorders>
              <w:tl2br w:val="nil"/>
              <w:tr2bl w:val="nil"/>
            </w:tcBorders>
            <w:noWrap w:val="0"/>
            <w:vAlign w:val="center"/>
          </w:tcPr>
          <w:p w14:paraId="48B38F6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0.246</w:t>
            </w:r>
          </w:p>
        </w:tc>
        <w:tc>
          <w:tcPr>
            <w:tcW w:w="1312" w:type="dxa"/>
            <w:tcBorders>
              <w:tl2br w:val="nil"/>
              <w:tr2bl w:val="nil"/>
            </w:tcBorders>
            <w:noWrap w:val="0"/>
            <w:vAlign w:val="center"/>
          </w:tcPr>
          <w:p w14:paraId="4D3B275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01D3DC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22973DF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262FCF6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8000</w:t>
            </w:r>
          </w:p>
        </w:tc>
        <w:tc>
          <w:tcPr>
            <w:tcW w:w="1290" w:type="dxa"/>
            <w:tcBorders>
              <w:tl2br w:val="nil"/>
              <w:tr2bl w:val="nil"/>
            </w:tcBorders>
            <w:noWrap w:val="0"/>
            <w:vAlign w:val="center"/>
          </w:tcPr>
          <w:p w14:paraId="2BAE709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1.259</w:t>
            </w:r>
          </w:p>
        </w:tc>
        <w:tc>
          <w:tcPr>
            <w:tcW w:w="1262" w:type="dxa"/>
            <w:tcBorders>
              <w:tl2br w:val="nil"/>
              <w:tr2bl w:val="nil"/>
            </w:tcBorders>
            <w:noWrap w:val="0"/>
            <w:vAlign w:val="center"/>
          </w:tcPr>
          <w:p w14:paraId="5510C6D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25.177</w:t>
            </w:r>
          </w:p>
        </w:tc>
        <w:tc>
          <w:tcPr>
            <w:tcW w:w="1219" w:type="dxa"/>
            <w:tcBorders>
              <w:tl2br w:val="nil"/>
              <w:tr2bl w:val="nil"/>
            </w:tcBorders>
            <w:noWrap w:val="0"/>
            <w:vAlign w:val="center"/>
          </w:tcPr>
          <w:p w14:paraId="7D26465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0.230</w:t>
            </w:r>
          </w:p>
        </w:tc>
        <w:tc>
          <w:tcPr>
            <w:tcW w:w="1312" w:type="dxa"/>
            <w:tcBorders>
              <w:tl2br w:val="nil"/>
              <w:tr2bl w:val="nil"/>
            </w:tcBorders>
            <w:noWrap w:val="0"/>
            <w:vAlign w:val="center"/>
          </w:tcPr>
          <w:p w14:paraId="6665959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2DCDD7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46F400B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21694D1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9000</w:t>
            </w:r>
          </w:p>
        </w:tc>
        <w:tc>
          <w:tcPr>
            <w:tcW w:w="1290" w:type="dxa"/>
            <w:tcBorders>
              <w:tl2br w:val="nil"/>
              <w:tr2bl w:val="nil"/>
            </w:tcBorders>
            <w:noWrap w:val="0"/>
            <w:vAlign w:val="center"/>
          </w:tcPr>
          <w:p w14:paraId="443B5A6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1.188</w:t>
            </w:r>
          </w:p>
        </w:tc>
        <w:tc>
          <w:tcPr>
            <w:tcW w:w="1262" w:type="dxa"/>
            <w:tcBorders>
              <w:tl2br w:val="nil"/>
              <w:tr2bl w:val="nil"/>
            </w:tcBorders>
            <w:noWrap w:val="0"/>
            <w:vAlign w:val="center"/>
          </w:tcPr>
          <w:p w14:paraId="0FDA28C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23.761</w:t>
            </w:r>
          </w:p>
        </w:tc>
        <w:tc>
          <w:tcPr>
            <w:tcW w:w="1219" w:type="dxa"/>
            <w:tcBorders>
              <w:tl2br w:val="nil"/>
              <w:tr2bl w:val="nil"/>
            </w:tcBorders>
            <w:noWrap w:val="0"/>
            <w:vAlign w:val="center"/>
          </w:tcPr>
          <w:p w14:paraId="2851678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0.214</w:t>
            </w:r>
          </w:p>
        </w:tc>
        <w:tc>
          <w:tcPr>
            <w:tcW w:w="1312" w:type="dxa"/>
            <w:tcBorders>
              <w:tl2br w:val="nil"/>
              <w:tr2bl w:val="nil"/>
            </w:tcBorders>
            <w:noWrap w:val="0"/>
            <w:vAlign w:val="center"/>
          </w:tcPr>
          <w:p w14:paraId="1C2F098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645136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2B64F83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4B35755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10000</w:t>
            </w:r>
          </w:p>
        </w:tc>
        <w:tc>
          <w:tcPr>
            <w:tcW w:w="1290" w:type="dxa"/>
            <w:tcBorders>
              <w:tl2br w:val="nil"/>
              <w:tr2bl w:val="nil"/>
            </w:tcBorders>
            <w:noWrap w:val="0"/>
            <w:vAlign w:val="center"/>
          </w:tcPr>
          <w:p w14:paraId="69C6482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1.121</w:t>
            </w:r>
          </w:p>
        </w:tc>
        <w:tc>
          <w:tcPr>
            <w:tcW w:w="1262" w:type="dxa"/>
            <w:tcBorders>
              <w:tl2br w:val="nil"/>
              <w:tr2bl w:val="nil"/>
            </w:tcBorders>
            <w:noWrap w:val="0"/>
            <w:vAlign w:val="center"/>
          </w:tcPr>
          <w:p w14:paraId="09DA464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22.425</w:t>
            </w:r>
          </w:p>
        </w:tc>
        <w:tc>
          <w:tcPr>
            <w:tcW w:w="1219" w:type="dxa"/>
            <w:tcBorders>
              <w:tl2br w:val="nil"/>
              <w:tr2bl w:val="nil"/>
            </w:tcBorders>
            <w:noWrap w:val="0"/>
            <w:vAlign w:val="center"/>
          </w:tcPr>
          <w:p w14:paraId="40B2108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0.200</w:t>
            </w:r>
          </w:p>
        </w:tc>
        <w:tc>
          <w:tcPr>
            <w:tcW w:w="1312" w:type="dxa"/>
            <w:tcBorders>
              <w:tl2br w:val="nil"/>
              <w:tr2bl w:val="nil"/>
            </w:tcBorders>
            <w:noWrap w:val="0"/>
            <w:vAlign w:val="center"/>
          </w:tcPr>
          <w:p w14:paraId="3253B0C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090C5E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581454A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1624917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11000</w:t>
            </w:r>
          </w:p>
        </w:tc>
        <w:tc>
          <w:tcPr>
            <w:tcW w:w="1290" w:type="dxa"/>
            <w:tcBorders>
              <w:tl2br w:val="nil"/>
              <w:tr2bl w:val="nil"/>
            </w:tcBorders>
            <w:noWrap w:val="0"/>
            <w:vAlign w:val="center"/>
          </w:tcPr>
          <w:p w14:paraId="02DA060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1.058</w:t>
            </w:r>
          </w:p>
        </w:tc>
        <w:tc>
          <w:tcPr>
            <w:tcW w:w="1262" w:type="dxa"/>
            <w:tcBorders>
              <w:tl2br w:val="nil"/>
              <w:tr2bl w:val="nil"/>
            </w:tcBorders>
            <w:noWrap w:val="0"/>
            <w:vAlign w:val="center"/>
          </w:tcPr>
          <w:p w14:paraId="75B68FC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21.164</w:t>
            </w:r>
          </w:p>
        </w:tc>
        <w:tc>
          <w:tcPr>
            <w:tcW w:w="1219" w:type="dxa"/>
            <w:tcBorders>
              <w:tl2br w:val="nil"/>
              <w:tr2bl w:val="nil"/>
            </w:tcBorders>
            <w:noWrap w:val="0"/>
            <w:vAlign w:val="center"/>
          </w:tcPr>
          <w:p w14:paraId="2ADE0F5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0.186</w:t>
            </w:r>
          </w:p>
        </w:tc>
        <w:tc>
          <w:tcPr>
            <w:tcW w:w="1312" w:type="dxa"/>
            <w:tcBorders>
              <w:tl2br w:val="nil"/>
              <w:tr2bl w:val="nil"/>
            </w:tcBorders>
            <w:noWrap w:val="0"/>
            <w:vAlign w:val="center"/>
          </w:tcPr>
          <w:p w14:paraId="3DC894F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09423C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1142948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5BD972C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15000</w:t>
            </w:r>
          </w:p>
        </w:tc>
        <w:tc>
          <w:tcPr>
            <w:tcW w:w="1290" w:type="dxa"/>
            <w:tcBorders>
              <w:tl2br w:val="nil"/>
              <w:tr2bl w:val="nil"/>
            </w:tcBorders>
            <w:noWrap w:val="0"/>
            <w:vAlign w:val="center"/>
          </w:tcPr>
          <w:p w14:paraId="1C02794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0.840</w:t>
            </w:r>
          </w:p>
        </w:tc>
        <w:tc>
          <w:tcPr>
            <w:tcW w:w="1262" w:type="dxa"/>
            <w:tcBorders>
              <w:tl2br w:val="nil"/>
              <w:tr2bl w:val="nil"/>
            </w:tcBorders>
            <w:noWrap w:val="0"/>
            <w:vAlign w:val="center"/>
          </w:tcPr>
          <w:p w14:paraId="5483566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16.791</w:t>
            </w:r>
          </w:p>
        </w:tc>
        <w:tc>
          <w:tcPr>
            <w:tcW w:w="1219" w:type="dxa"/>
            <w:tcBorders>
              <w:tl2br w:val="nil"/>
              <w:tr2bl w:val="nil"/>
            </w:tcBorders>
            <w:noWrap w:val="0"/>
            <w:vAlign w:val="center"/>
          </w:tcPr>
          <w:p w14:paraId="69F0B6E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0.141</w:t>
            </w:r>
          </w:p>
        </w:tc>
        <w:tc>
          <w:tcPr>
            <w:tcW w:w="1312" w:type="dxa"/>
            <w:tcBorders>
              <w:tl2br w:val="nil"/>
              <w:tr2bl w:val="nil"/>
            </w:tcBorders>
            <w:noWrap w:val="0"/>
            <w:vAlign w:val="center"/>
          </w:tcPr>
          <w:p w14:paraId="7EB3C92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3C71FA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19F55BE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kern w:val="2"/>
                <w:sz w:val="21"/>
                <w:szCs w:val="21"/>
                <w:highlight w:val="none"/>
                <w:lang w:val="en-US" w:eastAsia="zh-CN" w:bidi="ar-SA"/>
                <w14:textFill>
                  <w14:solidFill>
                    <w14:schemeClr w14:val="tx1"/>
                  </w14:solidFill>
                </w14:textFill>
              </w:rPr>
            </w:pPr>
          </w:p>
        </w:tc>
        <w:tc>
          <w:tcPr>
            <w:tcW w:w="1416" w:type="dxa"/>
            <w:tcBorders>
              <w:tl2br w:val="nil"/>
              <w:tr2bl w:val="nil"/>
            </w:tcBorders>
            <w:noWrap w:val="0"/>
            <w:vAlign w:val="center"/>
          </w:tcPr>
          <w:p w14:paraId="002FD10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20000</w:t>
            </w:r>
          </w:p>
        </w:tc>
        <w:tc>
          <w:tcPr>
            <w:tcW w:w="1290" w:type="dxa"/>
            <w:tcBorders>
              <w:tl2br w:val="nil"/>
              <w:tr2bl w:val="nil"/>
            </w:tcBorders>
            <w:noWrap w:val="0"/>
            <w:vAlign w:val="center"/>
          </w:tcPr>
          <w:p w14:paraId="2187AE0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0.629</w:t>
            </w:r>
          </w:p>
        </w:tc>
        <w:tc>
          <w:tcPr>
            <w:tcW w:w="1262" w:type="dxa"/>
            <w:tcBorders>
              <w:tl2br w:val="nil"/>
              <w:tr2bl w:val="nil"/>
            </w:tcBorders>
            <w:noWrap w:val="0"/>
            <w:vAlign w:val="center"/>
          </w:tcPr>
          <w:p w14:paraId="0BB3B6E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12.572</w:t>
            </w:r>
          </w:p>
        </w:tc>
        <w:tc>
          <w:tcPr>
            <w:tcW w:w="1219" w:type="dxa"/>
            <w:tcBorders>
              <w:tl2br w:val="nil"/>
              <w:tr2bl w:val="nil"/>
            </w:tcBorders>
            <w:noWrap w:val="0"/>
            <w:vAlign w:val="center"/>
          </w:tcPr>
          <w:p w14:paraId="59A065A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0.100</w:t>
            </w:r>
          </w:p>
        </w:tc>
        <w:tc>
          <w:tcPr>
            <w:tcW w:w="1312" w:type="dxa"/>
            <w:tcBorders>
              <w:tl2br w:val="nil"/>
              <w:tr2bl w:val="nil"/>
            </w:tcBorders>
            <w:noWrap w:val="0"/>
            <w:vAlign w:val="center"/>
          </w:tcPr>
          <w:p w14:paraId="75B6127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624339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7" w:hRule="atLeast"/>
        </w:trPr>
        <w:tc>
          <w:tcPr>
            <w:tcW w:w="2027" w:type="dxa"/>
            <w:tcBorders>
              <w:tl2br w:val="nil"/>
              <w:tr2bl w:val="nil"/>
            </w:tcBorders>
            <w:noWrap w:val="0"/>
            <w:vAlign w:val="center"/>
          </w:tcPr>
          <w:p w14:paraId="692F00C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val="0"/>
                <w:color w:val="000000" w:themeColor="text1"/>
                <w:spacing w:val="0"/>
                <w:sz w:val="21"/>
                <w:szCs w:val="21"/>
                <w:highlight w:val="none"/>
                <w:lang w:val="en-US" w:eastAsia="zh-CN"/>
                <w14:textFill>
                  <w14:solidFill>
                    <w14:schemeClr w14:val="tx1"/>
                  </w14:solidFill>
                </w14:textFill>
              </w:rPr>
              <w:t>汇入总排干</w:t>
            </w:r>
          </w:p>
        </w:tc>
        <w:tc>
          <w:tcPr>
            <w:tcW w:w="1416" w:type="dxa"/>
            <w:tcBorders>
              <w:tl2br w:val="nil"/>
              <w:tr2bl w:val="nil"/>
            </w:tcBorders>
            <w:noWrap w:val="0"/>
            <w:vAlign w:val="center"/>
          </w:tcPr>
          <w:p w14:paraId="705E890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28610</w:t>
            </w:r>
          </w:p>
        </w:tc>
        <w:tc>
          <w:tcPr>
            <w:tcW w:w="1290" w:type="dxa"/>
            <w:tcBorders>
              <w:tl2br w:val="nil"/>
              <w:tr2bl w:val="nil"/>
            </w:tcBorders>
            <w:noWrap w:val="0"/>
            <w:vAlign w:val="center"/>
          </w:tcPr>
          <w:p w14:paraId="7C64E43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0.352</w:t>
            </w:r>
          </w:p>
        </w:tc>
        <w:tc>
          <w:tcPr>
            <w:tcW w:w="1262" w:type="dxa"/>
            <w:tcBorders>
              <w:tl2br w:val="nil"/>
              <w:tr2bl w:val="nil"/>
            </w:tcBorders>
            <w:noWrap w:val="0"/>
            <w:vAlign w:val="center"/>
          </w:tcPr>
          <w:p w14:paraId="27073D0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7.048</w:t>
            </w:r>
          </w:p>
        </w:tc>
        <w:tc>
          <w:tcPr>
            <w:tcW w:w="1219" w:type="dxa"/>
            <w:tcBorders>
              <w:tl2br w:val="nil"/>
              <w:tr2bl w:val="nil"/>
            </w:tcBorders>
            <w:noWrap w:val="0"/>
            <w:vAlign w:val="center"/>
          </w:tcPr>
          <w:p w14:paraId="63048F2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0.050</w:t>
            </w:r>
          </w:p>
        </w:tc>
        <w:tc>
          <w:tcPr>
            <w:tcW w:w="1312" w:type="dxa"/>
            <w:tcBorders>
              <w:tl2br w:val="nil"/>
              <w:tr2bl w:val="nil"/>
            </w:tcBorders>
            <w:noWrap w:val="0"/>
            <w:vAlign w:val="center"/>
          </w:tcPr>
          <w:p w14:paraId="2F77401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bl>
    <w:p w14:paraId="11D377D7">
      <w:pPr>
        <w:bidi w:val="0"/>
        <w:rPr>
          <w:rFonts w:hint="eastAsia"/>
          <w:color w:val="000000" w:themeColor="text1"/>
          <w:highlight w:val="none"/>
          <w:lang w:val="en-US" w:eastAsia="zh-CN"/>
          <w14:textFill>
            <w14:solidFill>
              <w14:schemeClr w14:val="tx1"/>
            </w14:solidFill>
          </w14:textFill>
        </w:rPr>
      </w:pPr>
    </w:p>
    <w:p w14:paraId="4821FB9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2、非正常情况下水质预测结果</w:t>
      </w:r>
    </w:p>
    <w:p w14:paraId="316CD1D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将各参数代入一维水质模型，模拟预测本入河排污口至二排干入总排干断面的各污染物浓度变化情况。水质模型预测详见表5.2-6。</w:t>
      </w:r>
    </w:p>
    <w:p w14:paraId="6D78B746">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表5.2-6  枯水期非正常排放工况水质浓度预测  单位：mg/L</w:t>
      </w:r>
    </w:p>
    <w:tbl>
      <w:tblPr>
        <w:tblStyle w:val="12"/>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27"/>
        <w:gridCol w:w="1416"/>
        <w:gridCol w:w="1290"/>
        <w:gridCol w:w="1262"/>
        <w:gridCol w:w="1219"/>
        <w:gridCol w:w="1312"/>
      </w:tblGrid>
      <w:tr w14:paraId="77779E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4F8A591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备注</w:t>
            </w:r>
          </w:p>
        </w:tc>
        <w:tc>
          <w:tcPr>
            <w:tcW w:w="1416" w:type="dxa"/>
            <w:tcBorders>
              <w:tl2br w:val="nil"/>
              <w:tr2bl w:val="nil"/>
            </w:tcBorders>
            <w:noWrap w:val="0"/>
            <w:vAlign w:val="center"/>
          </w:tcPr>
          <w:p w14:paraId="7B9EBB1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沿河段纵向距离x（m）</w:t>
            </w:r>
          </w:p>
        </w:tc>
        <w:tc>
          <w:tcPr>
            <w:tcW w:w="1290" w:type="dxa"/>
            <w:tcBorders>
              <w:tl2br w:val="nil"/>
              <w:tr2bl w:val="nil"/>
            </w:tcBorders>
            <w:noWrap w:val="0"/>
            <w:vAlign w:val="center"/>
          </w:tcPr>
          <w:p w14:paraId="4E4AAAC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NH</w:t>
            </w:r>
            <w:r>
              <w:rPr>
                <w:rFonts w:hint="default" w:ascii="Times New Roman" w:hAnsi="Times New Roman" w:eastAsia="宋体" w:cs="Times New Roman"/>
                <w:b w:val="0"/>
                <w:bCs/>
                <w:color w:val="000000" w:themeColor="text1"/>
                <w:spacing w:val="0"/>
                <w:sz w:val="21"/>
                <w:szCs w:val="21"/>
                <w:highlight w:val="none"/>
                <w:vertAlign w:val="subscript"/>
                <w:lang w:val="en-US" w:eastAsia="zh-CN"/>
                <w14:textFill>
                  <w14:solidFill>
                    <w14:schemeClr w14:val="tx1"/>
                  </w14:solidFill>
                </w14:textFill>
              </w:rPr>
              <w:t>3</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-N（mg/L）</w:t>
            </w:r>
          </w:p>
        </w:tc>
        <w:tc>
          <w:tcPr>
            <w:tcW w:w="1262" w:type="dxa"/>
            <w:tcBorders>
              <w:tl2br w:val="nil"/>
              <w:tr2bl w:val="nil"/>
            </w:tcBorders>
            <w:noWrap w:val="0"/>
            <w:vAlign w:val="center"/>
          </w:tcPr>
          <w:p w14:paraId="517C0C7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COD（mg/L）</w:t>
            </w:r>
          </w:p>
        </w:tc>
        <w:tc>
          <w:tcPr>
            <w:tcW w:w="1219" w:type="dxa"/>
            <w:tcBorders>
              <w:tl2br w:val="nil"/>
              <w:tr2bl w:val="nil"/>
            </w:tcBorders>
            <w:noWrap w:val="0"/>
            <w:vAlign w:val="center"/>
          </w:tcPr>
          <w:p w14:paraId="1CABF58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TP（mg/L）</w:t>
            </w:r>
          </w:p>
        </w:tc>
        <w:tc>
          <w:tcPr>
            <w:tcW w:w="1312" w:type="dxa"/>
            <w:tcBorders>
              <w:tl2br w:val="nil"/>
              <w:tr2bl w:val="nil"/>
            </w:tcBorders>
            <w:noWrap w:val="0"/>
            <w:vAlign w:val="center"/>
          </w:tcPr>
          <w:p w14:paraId="3E4BC33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流量（m</w:t>
            </w:r>
            <w:r>
              <w:rPr>
                <w:rFonts w:hint="default" w:ascii="Times New Roman" w:hAnsi="Times New Roman" w:eastAsia="宋体" w:cs="Times New Roman"/>
                <w:b w:val="0"/>
                <w:bCs/>
                <w:color w:val="000000" w:themeColor="text1"/>
                <w:spacing w:val="0"/>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/s）</w:t>
            </w:r>
          </w:p>
        </w:tc>
      </w:tr>
      <w:tr w14:paraId="46BAEB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4801066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本项目排污前</w:t>
            </w:r>
          </w:p>
        </w:tc>
        <w:tc>
          <w:tcPr>
            <w:tcW w:w="1416" w:type="dxa"/>
            <w:vMerge w:val="restart"/>
            <w:tcBorders>
              <w:tl2br w:val="nil"/>
              <w:tr2bl w:val="nil"/>
            </w:tcBorders>
            <w:noWrap w:val="0"/>
            <w:vAlign w:val="center"/>
          </w:tcPr>
          <w:p w14:paraId="1974419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290" w:type="dxa"/>
            <w:tcBorders>
              <w:tl2br w:val="nil"/>
              <w:tr2bl w:val="nil"/>
            </w:tcBorders>
            <w:noWrap w:val="0"/>
            <w:vAlign w:val="center"/>
          </w:tcPr>
          <w:p w14:paraId="6AFD45E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45.000</w:t>
            </w:r>
          </w:p>
        </w:tc>
        <w:tc>
          <w:tcPr>
            <w:tcW w:w="1262" w:type="dxa"/>
            <w:tcBorders>
              <w:tl2br w:val="nil"/>
              <w:tr2bl w:val="nil"/>
            </w:tcBorders>
            <w:noWrap w:val="0"/>
            <w:vAlign w:val="center"/>
          </w:tcPr>
          <w:p w14:paraId="74FCC9C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500.000</w:t>
            </w:r>
          </w:p>
        </w:tc>
        <w:tc>
          <w:tcPr>
            <w:tcW w:w="1219" w:type="dxa"/>
            <w:tcBorders>
              <w:tl2br w:val="nil"/>
              <w:tr2bl w:val="nil"/>
            </w:tcBorders>
            <w:noWrap w:val="0"/>
            <w:vAlign w:val="center"/>
          </w:tcPr>
          <w:p w14:paraId="210DEEB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8.000</w:t>
            </w:r>
          </w:p>
        </w:tc>
        <w:tc>
          <w:tcPr>
            <w:tcW w:w="1312" w:type="dxa"/>
            <w:tcBorders>
              <w:tl2br w:val="nil"/>
              <w:tr2bl w:val="nil"/>
            </w:tcBorders>
            <w:noWrap w:val="0"/>
            <w:vAlign w:val="center"/>
          </w:tcPr>
          <w:p w14:paraId="1A6D948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0.26</w:t>
            </w:r>
          </w:p>
        </w:tc>
      </w:tr>
      <w:tr w14:paraId="14D690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6496B3B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本项目排污后（叠加污水处理厂水量）</w:t>
            </w:r>
          </w:p>
        </w:tc>
        <w:tc>
          <w:tcPr>
            <w:tcW w:w="1416" w:type="dxa"/>
            <w:vMerge w:val="continue"/>
            <w:tcBorders>
              <w:tl2br w:val="nil"/>
              <w:tr2bl w:val="nil"/>
            </w:tcBorders>
            <w:noWrap w:val="0"/>
            <w:vAlign w:val="center"/>
          </w:tcPr>
          <w:p w14:paraId="131AC6B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290" w:type="dxa"/>
            <w:tcBorders>
              <w:tl2br w:val="nil"/>
              <w:tr2bl w:val="nil"/>
            </w:tcBorders>
            <w:noWrap w:val="0"/>
            <w:vAlign w:val="center"/>
          </w:tcPr>
          <w:p w14:paraId="2D7D362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45.000 </w:t>
            </w:r>
          </w:p>
        </w:tc>
        <w:tc>
          <w:tcPr>
            <w:tcW w:w="1262" w:type="dxa"/>
            <w:tcBorders>
              <w:tl2br w:val="nil"/>
              <w:tr2bl w:val="nil"/>
            </w:tcBorders>
            <w:noWrap w:val="0"/>
            <w:vAlign w:val="center"/>
          </w:tcPr>
          <w:p w14:paraId="34A7EB0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500.000</w:t>
            </w:r>
          </w:p>
        </w:tc>
        <w:tc>
          <w:tcPr>
            <w:tcW w:w="1219" w:type="dxa"/>
            <w:tcBorders>
              <w:tl2br w:val="nil"/>
              <w:tr2bl w:val="nil"/>
            </w:tcBorders>
            <w:noWrap w:val="0"/>
            <w:vAlign w:val="center"/>
          </w:tcPr>
          <w:p w14:paraId="06D2E71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8.000</w:t>
            </w:r>
          </w:p>
        </w:tc>
        <w:tc>
          <w:tcPr>
            <w:tcW w:w="1312" w:type="dxa"/>
            <w:tcBorders>
              <w:tl2br w:val="nil"/>
              <w:tr2bl w:val="nil"/>
            </w:tcBorders>
            <w:noWrap w:val="0"/>
            <w:vAlign w:val="center"/>
          </w:tcPr>
          <w:p w14:paraId="6033EBA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0.26+0.174</w:t>
            </w:r>
          </w:p>
        </w:tc>
      </w:tr>
      <w:tr w14:paraId="2F3DFF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5E377CB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6040D3B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100</w:t>
            </w:r>
          </w:p>
        </w:tc>
        <w:tc>
          <w:tcPr>
            <w:tcW w:w="1290" w:type="dxa"/>
            <w:tcBorders>
              <w:tl2br w:val="nil"/>
              <w:tr2bl w:val="nil"/>
            </w:tcBorders>
            <w:noWrap w:val="0"/>
            <w:vAlign w:val="center"/>
          </w:tcPr>
          <w:p w14:paraId="72C83EA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44.740</w:t>
            </w:r>
          </w:p>
        </w:tc>
        <w:tc>
          <w:tcPr>
            <w:tcW w:w="1262" w:type="dxa"/>
            <w:tcBorders>
              <w:tl2br w:val="nil"/>
              <w:tr2bl w:val="nil"/>
            </w:tcBorders>
            <w:noWrap w:val="0"/>
            <w:vAlign w:val="center"/>
          </w:tcPr>
          <w:p w14:paraId="7A4C00A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497.115</w:t>
            </w:r>
          </w:p>
        </w:tc>
        <w:tc>
          <w:tcPr>
            <w:tcW w:w="1219" w:type="dxa"/>
            <w:tcBorders>
              <w:tl2br w:val="nil"/>
              <w:tr2bl w:val="nil"/>
            </w:tcBorders>
            <w:noWrap w:val="0"/>
            <w:vAlign w:val="center"/>
          </w:tcPr>
          <w:p w14:paraId="22D6E82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7.945</w:t>
            </w:r>
          </w:p>
        </w:tc>
        <w:tc>
          <w:tcPr>
            <w:tcW w:w="1312" w:type="dxa"/>
            <w:tcBorders>
              <w:tl2br w:val="nil"/>
              <w:tr2bl w:val="nil"/>
            </w:tcBorders>
            <w:noWrap w:val="0"/>
            <w:vAlign w:val="center"/>
          </w:tcPr>
          <w:p w14:paraId="432850E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0EF03A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62906BF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247D994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500</w:t>
            </w:r>
          </w:p>
        </w:tc>
        <w:tc>
          <w:tcPr>
            <w:tcW w:w="1290" w:type="dxa"/>
            <w:tcBorders>
              <w:tl2br w:val="nil"/>
              <w:tr2bl w:val="nil"/>
            </w:tcBorders>
            <w:noWrap w:val="0"/>
            <w:vAlign w:val="center"/>
          </w:tcPr>
          <w:p w14:paraId="6C9A6CC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43.717</w:t>
            </w:r>
          </w:p>
        </w:tc>
        <w:tc>
          <w:tcPr>
            <w:tcW w:w="1262" w:type="dxa"/>
            <w:tcBorders>
              <w:tl2br w:val="nil"/>
              <w:tr2bl w:val="nil"/>
            </w:tcBorders>
            <w:noWrap w:val="0"/>
            <w:vAlign w:val="center"/>
          </w:tcPr>
          <w:p w14:paraId="7797D33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485.740</w:t>
            </w:r>
          </w:p>
        </w:tc>
        <w:tc>
          <w:tcPr>
            <w:tcW w:w="1219" w:type="dxa"/>
            <w:tcBorders>
              <w:tl2br w:val="nil"/>
              <w:tr2bl w:val="nil"/>
            </w:tcBorders>
            <w:noWrap w:val="0"/>
            <w:vAlign w:val="center"/>
          </w:tcPr>
          <w:p w14:paraId="5BDB57C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7.727</w:t>
            </w:r>
          </w:p>
        </w:tc>
        <w:tc>
          <w:tcPr>
            <w:tcW w:w="1312" w:type="dxa"/>
            <w:tcBorders>
              <w:tl2br w:val="nil"/>
              <w:tr2bl w:val="nil"/>
            </w:tcBorders>
            <w:noWrap w:val="0"/>
            <w:vAlign w:val="center"/>
          </w:tcPr>
          <w:p w14:paraId="0AEC31F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53081D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66343F1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337AF91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1000</w:t>
            </w:r>
          </w:p>
        </w:tc>
        <w:tc>
          <w:tcPr>
            <w:tcW w:w="1290" w:type="dxa"/>
            <w:tcBorders>
              <w:tl2br w:val="nil"/>
              <w:tr2bl w:val="nil"/>
            </w:tcBorders>
            <w:noWrap w:val="0"/>
            <w:vAlign w:val="center"/>
          </w:tcPr>
          <w:p w14:paraId="4D588A0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42.470</w:t>
            </w:r>
          </w:p>
        </w:tc>
        <w:tc>
          <w:tcPr>
            <w:tcW w:w="1262" w:type="dxa"/>
            <w:tcBorders>
              <w:tl2br w:val="nil"/>
              <w:tr2bl w:val="nil"/>
            </w:tcBorders>
            <w:noWrap w:val="0"/>
            <w:vAlign w:val="center"/>
          </w:tcPr>
          <w:p w14:paraId="1751C1E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471.886</w:t>
            </w:r>
          </w:p>
        </w:tc>
        <w:tc>
          <w:tcPr>
            <w:tcW w:w="1219" w:type="dxa"/>
            <w:tcBorders>
              <w:tl2br w:val="nil"/>
              <w:tr2bl w:val="nil"/>
            </w:tcBorders>
            <w:noWrap w:val="0"/>
            <w:vAlign w:val="center"/>
          </w:tcPr>
          <w:p w14:paraId="66D0BA4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7.463</w:t>
            </w:r>
          </w:p>
        </w:tc>
        <w:tc>
          <w:tcPr>
            <w:tcW w:w="1312" w:type="dxa"/>
            <w:tcBorders>
              <w:tl2br w:val="nil"/>
              <w:tr2bl w:val="nil"/>
            </w:tcBorders>
            <w:noWrap w:val="0"/>
            <w:vAlign w:val="center"/>
          </w:tcPr>
          <w:p w14:paraId="6DFD2BF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00D231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3FAF334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7A4D4AD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2000</w:t>
            </w:r>
          </w:p>
        </w:tc>
        <w:tc>
          <w:tcPr>
            <w:tcW w:w="1290" w:type="dxa"/>
            <w:tcBorders>
              <w:tl2br w:val="nil"/>
              <w:tr2bl w:val="nil"/>
            </w:tcBorders>
            <w:noWrap w:val="0"/>
            <w:vAlign w:val="center"/>
          </w:tcPr>
          <w:p w14:paraId="6D14763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40.082</w:t>
            </w:r>
          </w:p>
        </w:tc>
        <w:tc>
          <w:tcPr>
            <w:tcW w:w="1262" w:type="dxa"/>
            <w:tcBorders>
              <w:tl2br w:val="nil"/>
              <w:tr2bl w:val="nil"/>
            </w:tcBorders>
            <w:noWrap w:val="0"/>
            <w:vAlign w:val="center"/>
          </w:tcPr>
          <w:p w14:paraId="500B4A0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445.353</w:t>
            </w:r>
          </w:p>
        </w:tc>
        <w:tc>
          <w:tcPr>
            <w:tcW w:w="1219" w:type="dxa"/>
            <w:tcBorders>
              <w:tl2br w:val="nil"/>
              <w:tr2bl w:val="nil"/>
            </w:tcBorders>
            <w:noWrap w:val="0"/>
            <w:vAlign w:val="center"/>
          </w:tcPr>
          <w:p w14:paraId="365B718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6.963</w:t>
            </w:r>
          </w:p>
        </w:tc>
        <w:tc>
          <w:tcPr>
            <w:tcW w:w="1312" w:type="dxa"/>
            <w:tcBorders>
              <w:tl2br w:val="nil"/>
              <w:tr2bl w:val="nil"/>
            </w:tcBorders>
            <w:noWrap w:val="0"/>
            <w:vAlign w:val="center"/>
          </w:tcPr>
          <w:p w14:paraId="77CE327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19AA96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1CE6938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76B519A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3000</w:t>
            </w:r>
          </w:p>
        </w:tc>
        <w:tc>
          <w:tcPr>
            <w:tcW w:w="1290" w:type="dxa"/>
            <w:tcBorders>
              <w:tl2br w:val="nil"/>
              <w:tr2bl w:val="nil"/>
            </w:tcBorders>
            <w:noWrap w:val="0"/>
            <w:vAlign w:val="center"/>
          </w:tcPr>
          <w:p w14:paraId="6B731B7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37.828</w:t>
            </w:r>
          </w:p>
        </w:tc>
        <w:tc>
          <w:tcPr>
            <w:tcW w:w="1262" w:type="dxa"/>
            <w:tcBorders>
              <w:tl2br w:val="nil"/>
              <w:tr2bl w:val="nil"/>
            </w:tcBorders>
            <w:noWrap w:val="0"/>
            <w:vAlign w:val="center"/>
          </w:tcPr>
          <w:p w14:paraId="001CD34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420.312</w:t>
            </w:r>
          </w:p>
        </w:tc>
        <w:tc>
          <w:tcPr>
            <w:tcW w:w="1219" w:type="dxa"/>
            <w:tcBorders>
              <w:tl2br w:val="nil"/>
              <w:tr2bl w:val="nil"/>
            </w:tcBorders>
            <w:noWrap w:val="0"/>
            <w:vAlign w:val="center"/>
          </w:tcPr>
          <w:p w14:paraId="29E6297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6.495</w:t>
            </w:r>
          </w:p>
        </w:tc>
        <w:tc>
          <w:tcPr>
            <w:tcW w:w="1312" w:type="dxa"/>
            <w:tcBorders>
              <w:tl2br w:val="nil"/>
              <w:tr2bl w:val="nil"/>
            </w:tcBorders>
            <w:noWrap w:val="0"/>
            <w:vAlign w:val="center"/>
          </w:tcPr>
          <w:p w14:paraId="1AD4784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401EF8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1D44706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7A2076F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4000</w:t>
            </w:r>
          </w:p>
        </w:tc>
        <w:tc>
          <w:tcPr>
            <w:tcW w:w="1290" w:type="dxa"/>
            <w:tcBorders>
              <w:tl2br w:val="nil"/>
              <w:tr2bl w:val="nil"/>
            </w:tcBorders>
            <w:noWrap w:val="0"/>
            <w:vAlign w:val="center"/>
          </w:tcPr>
          <w:p w14:paraId="21F15AE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35.701</w:t>
            </w:r>
          </w:p>
        </w:tc>
        <w:tc>
          <w:tcPr>
            <w:tcW w:w="1262" w:type="dxa"/>
            <w:tcBorders>
              <w:tl2br w:val="nil"/>
              <w:tr2bl w:val="nil"/>
            </w:tcBorders>
            <w:noWrap w:val="0"/>
            <w:vAlign w:val="center"/>
          </w:tcPr>
          <w:p w14:paraId="16509DD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396.679</w:t>
            </w:r>
          </w:p>
        </w:tc>
        <w:tc>
          <w:tcPr>
            <w:tcW w:w="1219" w:type="dxa"/>
            <w:tcBorders>
              <w:tl2br w:val="nil"/>
              <w:tr2bl w:val="nil"/>
            </w:tcBorders>
            <w:noWrap w:val="0"/>
            <w:vAlign w:val="center"/>
          </w:tcPr>
          <w:p w14:paraId="5E51527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6.060</w:t>
            </w:r>
          </w:p>
        </w:tc>
        <w:tc>
          <w:tcPr>
            <w:tcW w:w="1312" w:type="dxa"/>
            <w:tcBorders>
              <w:tl2br w:val="nil"/>
              <w:tr2bl w:val="nil"/>
            </w:tcBorders>
            <w:noWrap w:val="0"/>
            <w:vAlign w:val="center"/>
          </w:tcPr>
          <w:p w14:paraId="5E9E15E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566533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6D3C24B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3D5DD3F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5000</w:t>
            </w:r>
          </w:p>
        </w:tc>
        <w:tc>
          <w:tcPr>
            <w:tcW w:w="1290" w:type="dxa"/>
            <w:tcBorders>
              <w:tl2br w:val="nil"/>
              <w:tr2bl w:val="nil"/>
            </w:tcBorders>
            <w:noWrap w:val="0"/>
            <w:vAlign w:val="center"/>
          </w:tcPr>
          <w:p w14:paraId="360DF14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33.694</w:t>
            </w:r>
          </w:p>
        </w:tc>
        <w:tc>
          <w:tcPr>
            <w:tcW w:w="1262" w:type="dxa"/>
            <w:tcBorders>
              <w:tl2br w:val="nil"/>
              <w:tr2bl w:val="nil"/>
            </w:tcBorders>
            <w:noWrap w:val="0"/>
            <w:vAlign w:val="center"/>
          </w:tcPr>
          <w:p w14:paraId="3C72067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374.374</w:t>
            </w:r>
          </w:p>
        </w:tc>
        <w:tc>
          <w:tcPr>
            <w:tcW w:w="1219" w:type="dxa"/>
            <w:tcBorders>
              <w:tl2br w:val="nil"/>
              <w:tr2bl w:val="nil"/>
            </w:tcBorders>
            <w:noWrap w:val="0"/>
            <w:vAlign w:val="center"/>
          </w:tcPr>
          <w:p w14:paraId="0A01D8B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5.653</w:t>
            </w:r>
          </w:p>
        </w:tc>
        <w:tc>
          <w:tcPr>
            <w:tcW w:w="1312" w:type="dxa"/>
            <w:tcBorders>
              <w:tl2br w:val="nil"/>
              <w:tr2bl w:val="nil"/>
            </w:tcBorders>
            <w:noWrap w:val="0"/>
            <w:vAlign w:val="center"/>
          </w:tcPr>
          <w:p w14:paraId="0089148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204BBB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7B1107E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0D77CA5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6000</w:t>
            </w:r>
          </w:p>
        </w:tc>
        <w:tc>
          <w:tcPr>
            <w:tcW w:w="1290" w:type="dxa"/>
            <w:tcBorders>
              <w:tl2br w:val="nil"/>
              <w:tr2bl w:val="nil"/>
            </w:tcBorders>
            <w:noWrap w:val="0"/>
            <w:vAlign w:val="center"/>
          </w:tcPr>
          <w:p w14:paraId="2FD266B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31.799</w:t>
            </w:r>
          </w:p>
        </w:tc>
        <w:tc>
          <w:tcPr>
            <w:tcW w:w="1262" w:type="dxa"/>
            <w:tcBorders>
              <w:tl2br w:val="nil"/>
              <w:tr2bl w:val="nil"/>
            </w:tcBorders>
            <w:noWrap w:val="0"/>
            <w:vAlign w:val="center"/>
          </w:tcPr>
          <w:p w14:paraId="7504BAA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353.324</w:t>
            </w:r>
          </w:p>
        </w:tc>
        <w:tc>
          <w:tcPr>
            <w:tcW w:w="1219" w:type="dxa"/>
            <w:tcBorders>
              <w:tl2br w:val="nil"/>
              <w:tr2bl w:val="nil"/>
            </w:tcBorders>
            <w:noWrap w:val="0"/>
            <w:vAlign w:val="center"/>
          </w:tcPr>
          <w:p w14:paraId="750E80A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5.274</w:t>
            </w:r>
          </w:p>
        </w:tc>
        <w:tc>
          <w:tcPr>
            <w:tcW w:w="1312" w:type="dxa"/>
            <w:tcBorders>
              <w:tl2br w:val="nil"/>
              <w:tr2bl w:val="nil"/>
            </w:tcBorders>
            <w:noWrap w:val="0"/>
            <w:vAlign w:val="center"/>
          </w:tcPr>
          <w:p w14:paraId="609D9BB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60E29E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4A55331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41F8BB1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7000</w:t>
            </w:r>
          </w:p>
        </w:tc>
        <w:tc>
          <w:tcPr>
            <w:tcW w:w="1290" w:type="dxa"/>
            <w:tcBorders>
              <w:tl2br w:val="nil"/>
              <w:tr2bl w:val="nil"/>
            </w:tcBorders>
            <w:noWrap w:val="0"/>
            <w:vAlign w:val="center"/>
          </w:tcPr>
          <w:p w14:paraId="2A79DB0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30.011</w:t>
            </w:r>
          </w:p>
        </w:tc>
        <w:tc>
          <w:tcPr>
            <w:tcW w:w="1262" w:type="dxa"/>
            <w:tcBorders>
              <w:tl2br w:val="nil"/>
              <w:tr2bl w:val="nil"/>
            </w:tcBorders>
            <w:noWrap w:val="0"/>
            <w:vAlign w:val="center"/>
          </w:tcPr>
          <w:p w14:paraId="52A2124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333.458</w:t>
            </w:r>
          </w:p>
        </w:tc>
        <w:tc>
          <w:tcPr>
            <w:tcW w:w="1219" w:type="dxa"/>
            <w:tcBorders>
              <w:tl2br w:val="nil"/>
              <w:tr2bl w:val="nil"/>
            </w:tcBorders>
            <w:noWrap w:val="0"/>
            <w:vAlign w:val="center"/>
          </w:tcPr>
          <w:p w14:paraId="252B9EF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4.920</w:t>
            </w:r>
          </w:p>
        </w:tc>
        <w:tc>
          <w:tcPr>
            <w:tcW w:w="1312" w:type="dxa"/>
            <w:tcBorders>
              <w:tl2br w:val="nil"/>
              <w:tr2bl w:val="nil"/>
            </w:tcBorders>
            <w:noWrap w:val="0"/>
            <w:vAlign w:val="center"/>
          </w:tcPr>
          <w:p w14:paraId="59F5210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7C99E1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2777254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7080E3B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8000</w:t>
            </w:r>
          </w:p>
        </w:tc>
        <w:tc>
          <w:tcPr>
            <w:tcW w:w="1290" w:type="dxa"/>
            <w:tcBorders>
              <w:tl2br w:val="nil"/>
              <w:tr2bl w:val="nil"/>
            </w:tcBorders>
            <w:noWrap w:val="0"/>
            <w:vAlign w:val="center"/>
          </w:tcPr>
          <w:p w14:paraId="37DF75A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28.324</w:t>
            </w:r>
          </w:p>
        </w:tc>
        <w:tc>
          <w:tcPr>
            <w:tcW w:w="1262" w:type="dxa"/>
            <w:tcBorders>
              <w:tl2br w:val="nil"/>
              <w:tr2bl w:val="nil"/>
            </w:tcBorders>
            <w:noWrap w:val="0"/>
            <w:vAlign w:val="center"/>
          </w:tcPr>
          <w:p w14:paraId="15A89B4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314.708</w:t>
            </w:r>
          </w:p>
        </w:tc>
        <w:tc>
          <w:tcPr>
            <w:tcW w:w="1219" w:type="dxa"/>
            <w:tcBorders>
              <w:tl2br w:val="nil"/>
              <w:tr2bl w:val="nil"/>
            </w:tcBorders>
            <w:noWrap w:val="0"/>
            <w:vAlign w:val="center"/>
          </w:tcPr>
          <w:p w14:paraId="07133F9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4.590</w:t>
            </w:r>
          </w:p>
        </w:tc>
        <w:tc>
          <w:tcPr>
            <w:tcW w:w="1312" w:type="dxa"/>
            <w:tcBorders>
              <w:tl2br w:val="nil"/>
              <w:tr2bl w:val="nil"/>
            </w:tcBorders>
            <w:noWrap w:val="0"/>
            <w:vAlign w:val="center"/>
          </w:tcPr>
          <w:p w14:paraId="7F75F27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5C35D5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78DCBA8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0C92EF2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9000</w:t>
            </w:r>
          </w:p>
        </w:tc>
        <w:tc>
          <w:tcPr>
            <w:tcW w:w="1290" w:type="dxa"/>
            <w:tcBorders>
              <w:tl2br w:val="nil"/>
              <w:tr2bl w:val="nil"/>
            </w:tcBorders>
            <w:noWrap w:val="0"/>
            <w:vAlign w:val="center"/>
          </w:tcPr>
          <w:p w14:paraId="18F3CE9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26.731</w:t>
            </w:r>
          </w:p>
        </w:tc>
        <w:tc>
          <w:tcPr>
            <w:tcW w:w="1262" w:type="dxa"/>
            <w:tcBorders>
              <w:tl2br w:val="nil"/>
              <w:tr2bl w:val="nil"/>
            </w:tcBorders>
            <w:noWrap w:val="0"/>
            <w:vAlign w:val="center"/>
          </w:tcPr>
          <w:p w14:paraId="186A082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297.013</w:t>
            </w:r>
          </w:p>
        </w:tc>
        <w:tc>
          <w:tcPr>
            <w:tcW w:w="1219" w:type="dxa"/>
            <w:tcBorders>
              <w:tl2br w:val="nil"/>
              <w:tr2bl w:val="nil"/>
            </w:tcBorders>
            <w:noWrap w:val="0"/>
            <w:vAlign w:val="center"/>
          </w:tcPr>
          <w:p w14:paraId="5F3129F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4.282</w:t>
            </w:r>
          </w:p>
        </w:tc>
        <w:tc>
          <w:tcPr>
            <w:tcW w:w="1312" w:type="dxa"/>
            <w:tcBorders>
              <w:tl2br w:val="nil"/>
              <w:tr2bl w:val="nil"/>
            </w:tcBorders>
            <w:noWrap w:val="0"/>
            <w:vAlign w:val="center"/>
          </w:tcPr>
          <w:p w14:paraId="6C60E24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260063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5B6154A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7E3C635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10000</w:t>
            </w:r>
          </w:p>
        </w:tc>
        <w:tc>
          <w:tcPr>
            <w:tcW w:w="1290" w:type="dxa"/>
            <w:tcBorders>
              <w:tl2br w:val="nil"/>
              <w:tr2bl w:val="nil"/>
            </w:tcBorders>
            <w:noWrap w:val="0"/>
            <w:vAlign w:val="center"/>
          </w:tcPr>
          <w:p w14:paraId="0D8EC1A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25.228</w:t>
            </w:r>
          </w:p>
        </w:tc>
        <w:tc>
          <w:tcPr>
            <w:tcW w:w="1262" w:type="dxa"/>
            <w:tcBorders>
              <w:tl2br w:val="nil"/>
              <w:tr2bl w:val="nil"/>
            </w:tcBorders>
            <w:noWrap w:val="0"/>
            <w:vAlign w:val="center"/>
          </w:tcPr>
          <w:p w14:paraId="4AF6410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280.312</w:t>
            </w:r>
          </w:p>
        </w:tc>
        <w:tc>
          <w:tcPr>
            <w:tcW w:w="1219" w:type="dxa"/>
            <w:tcBorders>
              <w:tl2br w:val="nil"/>
              <w:tr2bl w:val="nil"/>
            </w:tcBorders>
            <w:noWrap w:val="0"/>
            <w:vAlign w:val="center"/>
          </w:tcPr>
          <w:p w14:paraId="6F8AA2E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3.995</w:t>
            </w:r>
          </w:p>
        </w:tc>
        <w:tc>
          <w:tcPr>
            <w:tcW w:w="1312" w:type="dxa"/>
            <w:tcBorders>
              <w:tl2br w:val="nil"/>
              <w:tr2bl w:val="nil"/>
            </w:tcBorders>
            <w:noWrap w:val="0"/>
            <w:vAlign w:val="center"/>
          </w:tcPr>
          <w:p w14:paraId="0B07E7F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7CBFCA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059D8F3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53BCC2C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11000</w:t>
            </w:r>
          </w:p>
        </w:tc>
        <w:tc>
          <w:tcPr>
            <w:tcW w:w="1290" w:type="dxa"/>
            <w:tcBorders>
              <w:tl2br w:val="nil"/>
              <w:tr2bl w:val="nil"/>
            </w:tcBorders>
            <w:noWrap w:val="0"/>
            <w:vAlign w:val="center"/>
          </w:tcPr>
          <w:p w14:paraId="13B521C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23.810</w:t>
            </w:r>
          </w:p>
        </w:tc>
        <w:tc>
          <w:tcPr>
            <w:tcW w:w="1262" w:type="dxa"/>
            <w:tcBorders>
              <w:tl2br w:val="nil"/>
              <w:tr2bl w:val="nil"/>
            </w:tcBorders>
            <w:noWrap w:val="0"/>
            <w:vAlign w:val="center"/>
          </w:tcPr>
          <w:p w14:paraId="100A8E0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264.551</w:t>
            </w:r>
          </w:p>
        </w:tc>
        <w:tc>
          <w:tcPr>
            <w:tcW w:w="1219" w:type="dxa"/>
            <w:tcBorders>
              <w:tl2br w:val="nil"/>
              <w:tr2bl w:val="nil"/>
            </w:tcBorders>
            <w:noWrap w:val="0"/>
            <w:vAlign w:val="center"/>
          </w:tcPr>
          <w:p w14:paraId="1D38E98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3.727</w:t>
            </w:r>
          </w:p>
        </w:tc>
        <w:tc>
          <w:tcPr>
            <w:tcW w:w="1312" w:type="dxa"/>
            <w:tcBorders>
              <w:tl2br w:val="nil"/>
              <w:tr2bl w:val="nil"/>
            </w:tcBorders>
            <w:noWrap w:val="0"/>
            <w:vAlign w:val="center"/>
          </w:tcPr>
          <w:p w14:paraId="5A8AD34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73A4D2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55E8747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p>
        </w:tc>
        <w:tc>
          <w:tcPr>
            <w:tcW w:w="1416" w:type="dxa"/>
            <w:tcBorders>
              <w:tl2br w:val="nil"/>
              <w:tr2bl w:val="nil"/>
            </w:tcBorders>
            <w:noWrap w:val="0"/>
            <w:vAlign w:val="center"/>
          </w:tcPr>
          <w:p w14:paraId="5346822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15000</w:t>
            </w:r>
          </w:p>
        </w:tc>
        <w:tc>
          <w:tcPr>
            <w:tcW w:w="1290" w:type="dxa"/>
            <w:tcBorders>
              <w:tl2br w:val="nil"/>
              <w:tr2bl w:val="nil"/>
            </w:tcBorders>
            <w:noWrap w:val="0"/>
            <w:vAlign w:val="center"/>
          </w:tcPr>
          <w:p w14:paraId="7FCBBB3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18.890</w:t>
            </w:r>
          </w:p>
        </w:tc>
        <w:tc>
          <w:tcPr>
            <w:tcW w:w="1262" w:type="dxa"/>
            <w:tcBorders>
              <w:tl2br w:val="nil"/>
              <w:tr2bl w:val="nil"/>
            </w:tcBorders>
            <w:noWrap w:val="0"/>
            <w:vAlign w:val="center"/>
          </w:tcPr>
          <w:p w14:paraId="2AACFF9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209.883</w:t>
            </w:r>
          </w:p>
        </w:tc>
        <w:tc>
          <w:tcPr>
            <w:tcW w:w="1219" w:type="dxa"/>
            <w:tcBorders>
              <w:tl2br w:val="nil"/>
              <w:tr2bl w:val="nil"/>
            </w:tcBorders>
            <w:noWrap w:val="0"/>
            <w:vAlign w:val="center"/>
          </w:tcPr>
          <w:p w14:paraId="24C1A2A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2.823</w:t>
            </w:r>
          </w:p>
        </w:tc>
        <w:tc>
          <w:tcPr>
            <w:tcW w:w="1312" w:type="dxa"/>
            <w:tcBorders>
              <w:tl2br w:val="nil"/>
              <w:tr2bl w:val="nil"/>
            </w:tcBorders>
            <w:noWrap w:val="0"/>
            <w:vAlign w:val="center"/>
          </w:tcPr>
          <w:p w14:paraId="1CD38AE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3F2A4C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10660ED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kern w:val="2"/>
                <w:sz w:val="21"/>
                <w:szCs w:val="21"/>
                <w:highlight w:val="none"/>
                <w:lang w:val="en-US" w:eastAsia="zh-CN" w:bidi="ar-SA"/>
                <w14:textFill>
                  <w14:solidFill>
                    <w14:schemeClr w14:val="tx1"/>
                  </w14:solidFill>
                </w14:textFill>
              </w:rPr>
            </w:pPr>
          </w:p>
        </w:tc>
        <w:tc>
          <w:tcPr>
            <w:tcW w:w="1416" w:type="dxa"/>
            <w:tcBorders>
              <w:tl2br w:val="nil"/>
              <w:tr2bl w:val="nil"/>
            </w:tcBorders>
            <w:noWrap w:val="0"/>
            <w:vAlign w:val="center"/>
          </w:tcPr>
          <w:p w14:paraId="4AE042A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20000</w:t>
            </w:r>
          </w:p>
        </w:tc>
        <w:tc>
          <w:tcPr>
            <w:tcW w:w="1290" w:type="dxa"/>
            <w:tcBorders>
              <w:tl2br w:val="nil"/>
              <w:tr2bl w:val="nil"/>
            </w:tcBorders>
            <w:noWrap w:val="0"/>
            <w:vAlign w:val="center"/>
          </w:tcPr>
          <w:p w14:paraId="76CCCBD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14.143</w:t>
            </w:r>
          </w:p>
        </w:tc>
        <w:tc>
          <w:tcPr>
            <w:tcW w:w="1262" w:type="dxa"/>
            <w:tcBorders>
              <w:tl2br w:val="nil"/>
              <w:tr2bl w:val="nil"/>
            </w:tcBorders>
            <w:noWrap w:val="0"/>
            <w:vAlign w:val="center"/>
          </w:tcPr>
          <w:p w14:paraId="70501BF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157.150</w:t>
            </w:r>
          </w:p>
        </w:tc>
        <w:tc>
          <w:tcPr>
            <w:tcW w:w="1219" w:type="dxa"/>
            <w:tcBorders>
              <w:tl2br w:val="nil"/>
              <w:tr2bl w:val="nil"/>
            </w:tcBorders>
            <w:noWrap w:val="0"/>
            <w:vAlign w:val="center"/>
          </w:tcPr>
          <w:p w14:paraId="4DF643E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1.995</w:t>
            </w:r>
          </w:p>
        </w:tc>
        <w:tc>
          <w:tcPr>
            <w:tcW w:w="1312" w:type="dxa"/>
            <w:tcBorders>
              <w:tl2br w:val="nil"/>
              <w:tr2bl w:val="nil"/>
            </w:tcBorders>
            <w:noWrap w:val="0"/>
            <w:vAlign w:val="center"/>
          </w:tcPr>
          <w:p w14:paraId="6341F6C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r w14:paraId="6F7247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7" w:type="dxa"/>
            <w:tcBorders>
              <w:tl2br w:val="nil"/>
              <w:tr2bl w:val="nil"/>
            </w:tcBorders>
            <w:noWrap w:val="0"/>
            <w:vAlign w:val="center"/>
          </w:tcPr>
          <w:p w14:paraId="46D8440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val="0"/>
                <w:color w:val="000000" w:themeColor="text1"/>
                <w:spacing w:val="0"/>
                <w:sz w:val="21"/>
                <w:szCs w:val="21"/>
                <w:highlight w:val="none"/>
                <w:lang w:val="en-US" w:eastAsia="zh-CN"/>
                <w14:textFill>
                  <w14:solidFill>
                    <w14:schemeClr w14:val="tx1"/>
                  </w14:solidFill>
                </w14:textFill>
              </w:rPr>
              <w:t>汇入总排干</w:t>
            </w:r>
          </w:p>
        </w:tc>
        <w:tc>
          <w:tcPr>
            <w:tcW w:w="1416" w:type="dxa"/>
            <w:tcBorders>
              <w:tl2br w:val="nil"/>
              <w:tr2bl w:val="nil"/>
            </w:tcBorders>
            <w:noWrap w:val="0"/>
            <w:vAlign w:val="center"/>
          </w:tcPr>
          <w:p w14:paraId="4C46A10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28610</w:t>
            </w:r>
          </w:p>
        </w:tc>
        <w:tc>
          <w:tcPr>
            <w:tcW w:w="1290" w:type="dxa"/>
            <w:tcBorders>
              <w:tl2br w:val="nil"/>
              <w:tr2bl w:val="nil"/>
            </w:tcBorders>
            <w:noWrap w:val="0"/>
            <w:vAlign w:val="center"/>
          </w:tcPr>
          <w:p w14:paraId="2CBA0AF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7.929</w:t>
            </w:r>
          </w:p>
        </w:tc>
        <w:tc>
          <w:tcPr>
            <w:tcW w:w="1262" w:type="dxa"/>
            <w:tcBorders>
              <w:tl2br w:val="nil"/>
              <w:tr2bl w:val="nil"/>
            </w:tcBorders>
            <w:noWrap w:val="0"/>
            <w:vAlign w:val="center"/>
          </w:tcPr>
          <w:p w14:paraId="3223CAD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88.102</w:t>
            </w:r>
          </w:p>
        </w:tc>
        <w:tc>
          <w:tcPr>
            <w:tcW w:w="1219" w:type="dxa"/>
            <w:tcBorders>
              <w:tl2br w:val="nil"/>
              <w:tr2bl w:val="nil"/>
            </w:tcBorders>
            <w:noWrap w:val="0"/>
            <w:vAlign w:val="center"/>
          </w:tcPr>
          <w:p w14:paraId="75E8C5D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0.996</w:t>
            </w:r>
          </w:p>
        </w:tc>
        <w:tc>
          <w:tcPr>
            <w:tcW w:w="1312" w:type="dxa"/>
            <w:tcBorders>
              <w:tl2br w:val="nil"/>
              <w:tr2bl w:val="nil"/>
            </w:tcBorders>
            <w:noWrap w:val="0"/>
            <w:vAlign w:val="center"/>
          </w:tcPr>
          <w:p w14:paraId="56CB48E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0.434</w:t>
            </w:r>
          </w:p>
        </w:tc>
      </w:tr>
    </w:tbl>
    <w:p w14:paraId="15A2A8D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p>
    <w:p w14:paraId="7F2740E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3、预测结论</w:t>
      </w:r>
    </w:p>
    <w:p w14:paraId="5BD9D7B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正常排放工况下，项目尾水经处理达标后排放至二排干，预测结果显示，排放口下游各关心断面（含控制断面、水环境保护目标所在水域）的pH、COD、氨氮、高锰酸盐指数、总磷、总氮等因子浓度均满足《地表水环境质量标准》（GB3838-2002）Ⅴ类标准要求，且各因子浓度增量较小，未出现超标现象，符合水环境质量目标要求。</w:t>
      </w:r>
    </w:p>
    <w:p w14:paraId="6A1F24A9">
      <w:pPr>
        <w:pStyle w:val="3"/>
        <w:bidi w:val="0"/>
        <w:rPr>
          <w:rFonts w:hint="eastAsia"/>
          <w:color w:val="000000" w:themeColor="text1"/>
          <w:highlight w:val="none"/>
          <w:lang w:val="en-US" w:eastAsia="zh-CN"/>
          <w14:textFill>
            <w14:solidFill>
              <w14:schemeClr w14:val="tx1"/>
            </w14:solidFill>
          </w14:textFill>
        </w:rPr>
      </w:pPr>
      <w:bookmarkStart w:id="128" w:name="_Toc24333"/>
      <w:r>
        <w:rPr>
          <w:rFonts w:hint="eastAsia"/>
          <w:color w:val="000000" w:themeColor="text1"/>
          <w:highlight w:val="none"/>
          <w:lang w:val="en-US" w:eastAsia="zh-CN"/>
          <w14:textFill>
            <w14:solidFill>
              <w14:schemeClr w14:val="tx1"/>
            </w14:solidFill>
          </w14:textFill>
        </w:rPr>
        <w:t>5.3地表水环境影响分析</w:t>
      </w:r>
      <w:bookmarkEnd w:id="128"/>
    </w:p>
    <w:p w14:paraId="4E0EA246">
      <w:pPr>
        <w:pStyle w:val="4"/>
        <w:bidi w:val="0"/>
        <w:rPr>
          <w:rFonts w:hint="default"/>
          <w:color w:val="000000" w:themeColor="text1"/>
          <w:highlight w:val="none"/>
          <w:lang w:val="en-US" w:eastAsia="zh-CN"/>
          <w14:textFill>
            <w14:solidFill>
              <w14:schemeClr w14:val="tx1"/>
            </w14:solidFill>
          </w14:textFill>
        </w:rPr>
      </w:pPr>
      <w:bookmarkStart w:id="129" w:name="_Toc713"/>
      <w:bookmarkStart w:id="130" w:name="_Toc8673"/>
      <w:r>
        <w:rPr>
          <w:rFonts w:hint="eastAsia"/>
          <w:color w:val="000000" w:themeColor="text1"/>
          <w:highlight w:val="none"/>
          <w:lang w:val="en-US" w:eastAsia="zh-CN"/>
          <w14:textFill>
            <w14:solidFill>
              <w14:schemeClr w14:val="tx1"/>
            </w14:solidFill>
          </w14:textFill>
        </w:rPr>
        <w:t>5.3.1对二排干水质影响分析</w:t>
      </w:r>
      <w:bookmarkEnd w:id="129"/>
      <w:bookmarkEnd w:id="130"/>
    </w:p>
    <w:p w14:paraId="3BB7C84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升级改造完成后，改扩建部分（新增）最大设计排水量为15000m³/d，尾水处理采用“调节池及提升泵房+细格栅及沉砂池+A²/O生化池+MBR膜分离+消毒”组合工艺。经该深度处理工艺处理后，尾水水质满足《城镇污水处理厂污染物排放标准》（GB18918-2002）（含2006年、2025年修改单）一级A标准限值；随后尾水进入人工湿地进行进一步净化，净化后水质严格符合《地表水环境质量标准》（GB3838-2002）V类标准要求，最终通过现有入河排污口（编码：DA-150822-0001-SH-00）排入二排干。</w:t>
      </w:r>
    </w:p>
    <w:p w14:paraId="6169CC4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根据一维水质模型预测结果可知，在尾水正常排放工况下，COD、NH</w:t>
      </w:r>
      <w:r>
        <w:rPr>
          <w:rFonts w:hint="eastAsia"/>
          <w:color w:val="000000" w:themeColor="text1"/>
          <w:highlight w:val="none"/>
          <w:vertAlign w:val="sub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-N、TP等污染物在入河排污口处即能稳定达到上述两项标准要求，无需依赖河道远距离自然降解即可实现达标排放。排入二排干后可进一步稀释降低河体现有污染物浓度，对河道水体水质起到积极的改善作用。</w:t>
      </w:r>
    </w:p>
    <w:p w14:paraId="7B9360B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本项目的建设将有利于改善二排干水体水质，对二排干影响较小。</w:t>
      </w:r>
    </w:p>
    <w:p w14:paraId="4FFC344A">
      <w:pPr>
        <w:pStyle w:val="4"/>
        <w:bidi w:val="0"/>
        <w:rPr>
          <w:rFonts w:hint="eastAsia"/>
          <w:color w:val="000000" w:themeColor="text1"/>
          <w:highlight w:val="none"/>
          <w:lang w:val="en-US" w:eastAsia="zh-CN"/>
          <w14:textFill>
            <w14:solidFill>
              <w14:schemeClr w14:val="tx1"/>
            </w14:solidFill>
          </w14:textFill>
        </w:rPr>
      </w:pPr>
      <w:bookmarkStart w:id="131" w:name="_Toc32387"/>
      <w:bookmarkStart w:id="132" w:name="_Toc18160"/>
      <w:r>
        <w:rPr>
          <w:rFonts w:hint="eastAsia"/>
          <w:color w:val="000000" w:themeColor="text1"/>
          <w:highlight w:val="none"/>
          <w:lang w:val="en-US" w:eastAsia="zh-CN"/>
          <w14:textFill>
            <w14:solidFill>
              <w14:schemeClr w14:val="tx1"/>
            </w14:solidFill>
          </w14:textFill>
        </w:rPr>
        <w:t>5.3.2对水生态的影响分析</w:t>
      </w:r>
      <w:bookmarkEnd w:id="131"/>
      <w:bookmarkEnd w:id="132"/>
    </w:p>
    <w:p w14:paraId="1B9735C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尾水经处理达标后排放至二排干，二排干作为乌梁素海流域的重要入流通道，其水质状况直接关联流域水生态系统的完整性与稳定性。根据地表水环境影响预测结果，正常排放工况下，项目排放的COD、氨氮、总磷等核心污染物在二排干内通过河道自净作用快速衰减，排放口下游各断面水质均满足《地表水环境质量标准》（GB3838-2002）Ⅴ类标准，未对河道水生生物栖息地造成不利影响。</w:t>
      </w:r>
    </w:p>
    <w:p w14:paraId="3411487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综合来看，在严格落实水污染控制与减缓措施、确保废水稳定达标排放的前提下，项目排放对二排干-乌梁素海流域水生态系统的影响较小，能够维持流域现有水生态功能现状，符合《环境影响评价技术导则 地表水环境》（HJ2.3-2018）中“保护水环境保护目标、维持生态系统结构与功能”的评价要求，流域水生态影响可接受。</w:t>
      </w:r>
    </w:p>
    <w:p w14:paraId="04D9B003">
      <w:pPr>
        <w:pStyle w:val="4"/>
        <w:bidi w:val="0"/>
        <w:rPr>
          <w:rFonts w:hint="default"/>
          <w:color w:val="000000" w:themeColor="text1"/>
          <w:highlight w:val="none"/>
          <w:lang w:val="en-US" w:eastAsia="zh-CN"/>
          <w14:textFill>
            <w14:solidFill>
              <w14:schemeClr w14:val="tx1"/>
            </w14:solidFill>
          </w14:textFill>
        </w:rPr>
      </w:pPr>
      <w:bookmarkStart w:id="133" w:name="_Toc614"/>
      <w:bookmarkStart w:id="134" w:name="_Toc14233"/>
      <w:r>
        <w:rPr>
          <w:rFonts w:hint="eastAsia"/>
          <w:color w:val="000000" w:themeColor="text1"/>
          <w:highlight w:val="none"/>
          <w:lang w:val="en-US" w:eastAsia="zh-CN"/>
          <w14:textFill>
            <w14:solidFill>
              <w14:schemeClr w14:val="tx1"/>
            </w14:solidFill>
          </w14:textFill>
        </w:rPr>
        <w:t>5.3.3磴口县补隆淖尔镇饮用水水源地的影响分析</w:t>
      </w:r>
      <w:bookmarkEnd w:id="133"/>
      <w:bookmarkEnd w:id="134"/>
    </w:p>
    <w:p w14:paraId="59AEFEB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二排干作为区域重要地表径流通道，其水质状况与水源地生态安全密切相关，且该水源地为地下水型，二排干穿越其一级保护区，地表水体与地下水存在潜在水力联系。排污口距离水源地一级保护区13.15km，预测结果显示，项目尾水经处理达标排放后，COD、氨氮、总磷等核心污染物在二排干内沿程经物理净化、生物降解后浓度持续衰减，至水源地一级保护区所在河段时，各因子浓度均满足《地表水环境质量标准》（GB 3838-2002）Ⅴ类标准。</w:t>
      </w:r>
    </w:p>
    <w:p w14:paraId="659DF7C5">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drawing>
          <wp:inline distT="0" distB="0" distL="114300" distR="114300">
            <wp:extent cx="5268595" cy="3728720"/>
            <wp:effectExtent l="0" t="0" r="8255" b="5080"/>
            <wp:docPr id="83" name="图片 83" descr="排污口与水源地位置关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排污口与水源地位置关系图"/>
                    <pic:cNvPicPr>
                      <a:picLocks noChangeAspect="1"/>
                    </pic:cNvPicPr>
                  </pic:nvPicPr>
                  <pic:blipFill>
                    <a:blip r:embed="rId50"/>
                    <a:stretch>
                      <a:fillRect/>
                    </a:stretch>
                  </pic:blipFill>
                  <pic:spPr>
                    <a:xfrm>
                      <a:off x="0" y="0"/>
                      <a:ext cx="5268595" cy="3728720"/>
                    </a:xfrm>
                    <a:prstGeom prst="rect">
                      <a:avLst/>
                    </a:prstGeom>
                  </pic:spPr>
                </pic:pic>
              </a:graphicData>
            </a:graphic>
          </wp:inline>
        </w:drawing>
      </w:r>
    </w:p>
    <w:p w14:paraId="2DB1804D">
      <w:pPr>
        <w:pStyle w:val="19"/>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图5.3-1  排污口与水源地位置关系图</w:t>
      </w:r>
    </w:p>
    <w:p w14:paraId="2C14B08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综合来看，在严格落实本评价提出的水污染控制与减缓措施、确保废水稳定达标排放的前提下，项目排放不会改变二排干现有水环境功能，也不会通过地表-地下水水力联系对补隆淖尔镇饮用水水源地的地下水水质造成不利影响，水源地供水安全可得到保障，符合《环境影响评价技术导则 地表水环境》（HJ2.3-2018）中对水环境保护目标的保护要求。</w:t>
      </w:r>
    </w:p>
    <w:p w14:paraId="431F1995">
      <w:pPr>
        <w:pStyle w:val="4"/>
        <w:bidi w:val="0"/>
        <w:rPr>
          <w:rFonts w:hint="eastAsia"/>
          <w:color w:val="000000" w:themeColor="text1"/>
          <w:highlight w:val="none"/>
          <w:lang w:val="en-US" w:eastAsia="zh-CN"/>
          <w14:textFill>
            <w14:solidFill>
              <w14:schemeClr w14:val="tx1"/>
            </w14:solidFill>
          </w14:textFill>
        </w:rPr>
      </w:pPr>
      <w:bookmarkStart w:id="135" w:name="_Toc17059"/>
      <w:bookmarkStart w:id="136" w:name="_Toc26916"/>
      <w:r>
        <w:rPr>
          <w:rFonts w:hint="eastAsia"/>
          <w:color w:val="000000" w:themeColor="text1"/>
          <w:highlight w:val="none"/>
          <w:lang w:val="en-US" w:eastAsia="zh-CN"/>
          <w14:textFill>
            <w14:solidFill>
              <w14:schemeClr w14:val="tx1"/>
            </w14:solidFill>
          </w14:textFill>
        </w:rPr>
        <w:t>5.3.4对地下水的影响分析</w:t>
      </w:r>
      <w:bookmarkEnd w:id="135"/>
      <w:bookmarkEnd w:id="136"/>
    </w:p>
    <w:p w14:paraId="4C50243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二排干作为区域主要地表径流通道，其水质状况与地下水环境存在潜在水力联系，本次评价重点关注项目排放对地下水水质的间接影响。预测结果显示，项目尾水经处理达标后排放至二排干，COD、氨氮、总磷等核心污染物在河道内沿程经物理净化、生物降解后浓度持续衰减，各因子浓度均满足《地表水环境质量标准》（GB3838-2002）Ⅴ类标准。同时，二排干河道基底以粉质黏土为主，渗透系数较小，对地表水体下渗具有一定阻隔作用，进一步降低了污染物通过河道渗漏污染地下水的风险。</w:t>
      </w:r>
    </w:p>
    <w:p w14:paraId="3011D3B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综合来看，在严格落实本评价提出的水污染控制与减缓措施、确保废水稳定达标排放的前提下，项目排放不会对二排干地表水质造成显著影响，且受河道地质条件及污染物衰减特性约束，不会通过地表-地下水水力联系对区域地下水水质产生不利影响，地下水环境质量可维持现状，符合《环境影响评价技术导则 地表水环境》（HJ2.3-2018）中“兼顾流域与评价水域、保障水环境整体安全”的评价原则。</w:t>
      </w:r>
    </w:p>
    <w:p w14:paraId="08398C2F">
      <w:pPr>
        <w:pStyle w:val="4"/>
        <w:bidi w:val="0"/>
        <w:rPr>
          <w:rFonts w:hint="eastAsia"/>
          <w:color w:val="000000" w:themeColor="text1"/>
          <w:highlight w:val="none"/>
          <w:lang w:val="en-US" w:eastAsia="zh-CN"/>
          <w14:textFill>
            <w14:solidFill>
              <w14:schemeClr w14:val="tx1"/>
            </w14:solidFill>
          </w14:textFill>
        </w:rPr>
      </w:pPr>
      <w:bookmarkStart w:id="137" w:name="_Toc4733"/>
      <w:r>
        <w:rPr>
          <w:rFonts w:hint="eastAsia"/>
          <w:color w:val="000000" w:themeColor="text1"/>
          <w:highlight w:val="none"/>
          <w:lang w:val="en-US" w:eastAsia="zh-CN"/>
          <w14:textFill>
            <w14:solidFill>
              <w14:schemeClr w14:val="tx1"/>
            </w14:solidFill>
          </w14:textFill>
        </w:rPr>
        <w:t>5.3.5对人工湿地的影响分析</w:t>
      </w:r>
      <w:bookmarkEnd w:id="137"/>
    </w:p>
    <w:p w14:paraId="45159AF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1、水量匹配性与水力负荷分析</w:t>
      </w:r>
    </w:p>
    <w:p w14:paraId="3E5714E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本项目扩建后总尾水排放量为高峰时段30000m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/d、平时15000m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/d，人工湿地系统由2座垂直潜流湿地（总面积41814m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）和1座表流湿地（面积20690m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）组成；在高峰水量条件下，垂直潜流湿地水力负荷约0.72m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・d），表流湿地水力负荷约1.45m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・d），均处于城镇污水处理厂尾水净化人工湿地的适宜运行范围，湿地整体处理能力可完全容纳扩建后的尾水规模，运行期间无超负荷、漫溢及短流风险。</w:t>
      </w:r>
    </w:p>
    <w:p w14:paraId="28E7B33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2、水力停留时间保障分析</w:t>
      </w:r>
    </w:p>
    <w:p w14:paraId="3168BBE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人工湿地为连续流动态运行系统，尾水以推流方式依次流经各净化单元，属于动态流动、连续进出水的生态处理工艺。人工湿地总有效容水量为35500m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，其中垂直潜流湿地有效容水量25000m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、设计水力停留时间1.25d，表流湿地有效容水量10500m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、设计水力停留时间0.5d，系统总水力停留时间达1.75d；在高峰30000m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/d连续进水、连续出水的动态运行条件下，仍可保证尾水在湿地内保持足够的实际停留时间，满足污染物吸附、降解与沉淀所需的水力反应条件，水力流程完整、水力状态稳定。</w:t>
      </w:r>
    </w:p>
    <w:p w14:paraId="151917B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3、污染物净化负荷影响分析</w:t>
      </w:r>
    </w:p>
    <w:p w14:paraId="1F60E51E">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进入人工湿地的尾水达到《城镇污水处理厂污染物排放标准》（GB18918-2002）（含2006年、2025年修改单）一级A标准，属于深度净化进水，水质条件较好；扩建后虽水量有所增加，但污染物进入湿地的负荷水平远低于湿地设计生态容量，不会超出填料吸附、微生物降解及水生植物吸收的协同净化能力，可稳定保障出水达到《地表水环境质量标准》（GB3838-2002）Ⅴ类标准，净化效果不受扩建水量影响。</w:t>
      </w:r>
    </w:p>
    <w:p w14:paraId="5B245A2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4、运行稳定性与抗冲击负荷分析</w:t>
      </w:r>
    </w:p>
    <w:p w14:paraId="49AC2D2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人工湿地按照季节性水量波动工况设计，具备良好的水量缓冲与调节能力，可平稳适应高峰30000m³/d、平时15000m³/d的水量变化；项目尾水采用并联分流、串联净化的方式连续均匀进入各湿地单元，无冲击式进水情况，湿地内水力流态稳定，生态系统结构与长期运行安全均不会受到不利影响。</w:t>
      </w:r>
    </w:p>
    <w:p w14:paraId="06F88C5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综上所述，本项目扩建后尾水排放规模未超出人工湿地设计处理能力，水力负荷、动态水力停留时间、污染物负荷均处于合理运行区间，湿地系统可在连续流动态运行条件下安全、稳定接纳全部尾水并实现深度净化；项目扩建尾水排放对人工湿地的水力条件、净化效果及运行稳定性无明显不利影响，依托该人工湿地处置项目尾水技术可行、运行可靠。</w:t>
      </w:r>
    </w:p>
    <w:p w14:paraId="3BFBC549">
      <w:pPr>
        <w:pStyle w:val="3"/>
        <w:bidi w:val="0"/>
        <w:rPr>
          <w:rFonts w:hint="eastAsia"/>
          <w:color w:val="000000" w:themeColor="text1"/>
          <w:highlight w:val="none"/>
          <w:lang w:val="en-US" w:eastAsia="zh-CN"/>
          <w14:textFill>
            <w14:solidFill>
              <w14:schemeClr w14:val="tx1"/>
            </w14:solidFill>
          </w14:textFill>
        </w:rPr>
      </w:pPr>
      <w:bookmarkStart w:id="138" w:name="_Toc30697"/>
      <w:r>
        <w:rPr>
          <w:rFonts w:hint="eastAsia"/>
          <w:color w:val="000000" w:themeColor="text1"/>
          <w:highlight w:val="none"/>
          <w:lang w:val="en-US" w:eastAsia="zh-CN"/>
          <w14:textFill>
            <w14:solidFill>
              <w14:schemeClr w14:val="tx1"/>
            </w14:solidFill>
          </w14:textFill>
        </w:rPr>
        <w:t>5.4安全域量分析</w:t>
      </w:r>
      <w:bookmarkEnd w:id="138"/>
    </w:p>
    <w:p w14:paraId="17CF048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根据《环境影响评价技术导则 地表水环境》（HJ2.3-2018）对污染源排放量核算断面的设置要求位于排放口下游，与排放口距离应小于2km，本项目选取评价初始断面下游2km处作为污染源排放量核算断面。遵循地表水环境质量底线要求，主要污染物（化学需氧量、氨氮、总磷）需预留必要的安全余量。安全余量可按地表水环境质量标准、受纳水体环境敏感性等确定：受纳水体为GB3838V类水域，安全余量按照不低于建设项目污染物排放量核算断面（点位）处环境质量标准的8%确定（安全余量≥环境质量标准×8%），即COD安全余量3.2mg/L，NH</w:t>
      </w:r>
      <w:r>
        <w:rPr>
          <w:rFonts w:hint="eastAsia"/>
          <w:color w:val="000000" w:themeColor="text1"/>
          <w:highlight w:val="none"/>
          <w:vertAlign w:val="sub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-N安全余量0.16mg/L，总磷的安全余量0.032mg/L。本项目运行后污水处理厂污水经处理排入受纳水体二排干，二排干污染源排放量核算断面处的COD浓度应低于36.8mg/L，NH</w:t>
      </w:r>
      <w:r>
        <w:rPr>
          <w:rFonts w:hint="eastAsia"/>
          <w:color w:val="000000" w:themeColor="text1"/>
          <w:highlight w:val="none"/>
          <w:vertAlign w:val="sub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-N浓度应低于1.8mg/L，总磷浓度应低于0.36mg/L，根据预测计算结果可知，正常最不利情况下（枯水期），污染源排放量核算断面处COD浓度为35.628mg/L、NH</w:t>
      </w:r>
      <w:r>
        <w:rPr>
          <w:rFonts w:hint="eastAsia"/>
          <w:color w:val="000000" w:themeColor="text1"/>
          <w:highlight w:val="none"/>
          <w:vertAlign w:val="sub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-N浓度为1.781mg/L，总磷浓度为0.348mg/L，则均能满足安全余量要求。</w:t>
      </w:r>
    </w:p>
    <w:p w14:paraId="1DC7D722">
      <w:pPr>
        <w:pStyle w:val="3"/>
        <w:bidi w:val="0"/>
        <w:rPr>
          <w:rFonts w:hint="eastAsia"/>
          <w:color w:val="000000" w:themeColor="text1"/>
          <w:highlight w:val="none"/>
          <w:lang w:val="en-US" w:eastAsia="zh-CN"/>
          <w14:textFill>
            <w14:solidFill>
              <w14:schemeClr w14:val="tx1"/>
            </w14:solidFill>
          </w14:textFill>
        </w:rPr>
      </w:pPr>
      <w:bookmarkStart w:id="139" w:name="_Toc29863"/>
      <w:r>
        <w:rPr>
          <w:rFonts w:hint="eastAsia"/>
          <w:color w:val="000000" w:themeColor="text1"/>
          <w:highlight w:val="none"/>
          <w:lang w:val="en-US" w:eastAsia="zh-CN"/>
          <w14:textFill>
            <w14:solidFill>
              <w14:schemeClr w14:val="tx1"/>
            </w14:solidFill>
          </w14:textFill>
        </w:rPr>
        <w:t>5.5建设项目水污染物排放信息表</w:t>
      </w:r>
      <w:bookmarkEnd w:id="139"/>
    </w:p>
    <w:p w14:paraId="68BEF7F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sectPr>
          <w:footerReference r:id="rId9" w:type="default"/>
          <w:pgSz w:w="11906" w:h="16838"/>
          <w:pgMar w:top="1440" w:right="1797" w:bottom="1440" w:left="1797" w:header="851" w:footer="851" w:gutter="0"/>
          <w:pgBorders>
            <w:top w:val="none" w:sz="0" w:space="0"/>
            <w:left w:val="none" w:sz="0" w:space="0"/>
            <w:bottom w:val="none" w:sz="0" w:space="0"/>
            <w:right w:val="none" w:sz="0" w:space="0"/>
          </w:pgBorders>
          <w:pgNumType w:fmt="decimal" w:start="1"/>
          <w:cols w:space="720" w:num="1"/>
          <w:docGrid w:linePitch="312" w:charSpace="0"/>
        </w:sectPr>
      </w:pPr>
      <w:r>
        <w:rPr>
          <w:rFonts w:hint="eastAsia"/>
          <w:color w:val="000000" w:themeColor="text1"/>
          <w:highlight w:val="none"/>
          <w:lang w:val="en-US" w:eastAsia="zh-CN"/>
          <w14:textFill>
            <w14:solidFill>
              <w14:schemeClr w14:val="tx1"/>
            </w14:solidFill>
          </w14:textFill>
        </w:rPr>
        <w:t>本项目废水类别、污染物及治理设施信息表见表5.5-1；废水直接排放口基本情况表见表5.5-2；废水污染物排放信息表见表5.5-3；地表水环境影响评价自查表见表5.5-4。</w:t>
      </w:r>
    </w:p>
    <w:p w14:paraId="1BBED2E0">
      <w:pPr>
        <w:pStyle w:val="20"/>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 xml:space="preserve">5.5-1 </w:t>
      </w:r>
      <w:r>
        <w:rPr>
          <w:rFonts w:hint="default"/>
          <w:color w:val="000000" w:themeColor="text1"/>
          <w:highlight w:val="none"/>
          <w:lang w:val="en-US" w:eastAsia="zh-CN"/>
          <w14:textFill>
            <w14:solidFill>
              <w14:schemeClr w14:val="tx1"/>
            </w14:solidFill>
          </w14:textFill>
        </w:rPr>
        <w:t xml:space="preserve"> 本项目废水类别、污染物及污染治理设施信息表</w:t>
      </w:r>
      <w:r>
        <w:rPr>
          <w:rFonts w:hint="eastAsia"/>
          <w:color w:val="000000" w:themeColor="text1"/>
          <w:highlight w:val="none"/>
          <w:lang w:val="en-US" w:eastAsia="zh-CN"/>
          <w14:textFill>
            <w14:solidFill>
              <w14:schemeClr w14:val="tx1"/>
            </w14:solidFill>
          </w14:textFill>
        </w:rPr>
        <w:t>（扩建部分）</w:t>
      </w:r>
    </w:p>
    <w:tbl>
      <w:tblPr>
        <w:tblStyle w:val="12"/>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160"/>
        <w:gridCol w:w="1161"/>
        <w:gridCol w:w="1116"/>
        <w:gridCol w:w="1432"/>
        <w:gridCol w:w="1249"/>
        <w:gridCol w:w="1058"/>
        <w:gridCol w:w="813"/>
        <w:gridCol w:w="1154"/>
        <w:gridCol w:w="883"/>
        <w:gridCol w:w="1798"/>
        <w:gridCol w:w="791"/>
        <w:gridCol w:w="840"/>
      </w:tblGrid>
      <w:tr w14:paraId="71715E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431" w:type="pct"/>
            <w:vMerge w:val="restart"/>
            <w:tcBorders>
              <w:tl2br w:val="nil"/>
              <w:tr2bl w:val="nil"/>
            </w:tcBorders>
            <w:shd w:val="clear" w:color="auto" w:fill="auto"/>
            <w:vAlign w:val="center"/>
          </w:tcPr>
          <w:p w14:paraId="5BA1413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单位名称</w:t>
            </w:r>
          </w:p>
        </w:tc>
        <w:tc>
          <w:tcPr>
            <w:tcW w:w="431" w:type="pct"/>
            <w:vMerge w:val="restart"/>
            <w:tcBorders>
              <w:tl2br w:val="nil"/>
              <w:tr2bl w:val="nil"/>
            </w:tcBorders>
            <w:shd w:val="clear" w:color="auto" w:fill="auto"/>
            <w:vAlign w:val="center"/>
          </w:tcPr>
          <w:p w14:paraId="234E553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污水处理规模</w:t>
            </w:r>
          </w:p>
        </w:tc>
        <w:tc>
          <w:tcPr>
            <w:tcW w:w="414" w:type="pct"/>
            <w:vMerge w:val="restart"/>
            <w:tcBorders>
              <w:tl2br w:val="nil"/>
              <w:tr2bl w:val="nil"/>
            </w:tcBorders>
            <w:shd w:val="clear" w:color="auto" w:fill="auto"/>
            <w:vAlign w:val="center"/>
          </w:tcPr>
          <w:p w14:paraId="7991CEA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废水类别</w:t>
            </w:r>
          </w:p>
        </w:tc>
        <w:tc>
          <w:tcPr>
            <w:tcW w:w="532" w:type="pct"/>
            <w:vMerge w:val="restart"/>
            <w:tcBorders>
              <w:tl2br w:val="nil"/>
              <w:tr2bl w:val="nil"/>
            </w:tcBorders>
            <w:shd w:val="clear" w:color="auto" w:fill="auto"/>
            <w:vAlign w:val="center"/>
          </w:tcPr>
          <w:p w14:paraId="5C13B40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污染物种类</w:t>
            </w:r>
          </w:p>
        </w:tc>
        <w:tc>
          <w:tcPr>
            <w:tcW w:w="464" w:type="pct"/>
            <w:vMerge w:val="restart"/>
            <w:tcBorders>
              <w:tl2br w:val="nil"/>
              <w:tr2bl w:val="nil"/>
            </w:tcBorders>
            <w:shd w:val="clear" w:color="auto" w:fill="auto"/>
            <w:vAlign w:val="center"/>
          </w:tcPr>
          <w:p w14:paraId="5E8F73C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排放去向</w:t>
            </w:r>
          </w:p>
        </w:tc>
        <w:tc>
          <w:tcPr>
            <w:tcW w:w="393" w:type="pct"/>
            <w:vMerge w:val="restart"/>
            <w:tcBorders>
              <w:tl2br w:val="nil"/>
              <w:tr2bl w:val="nil"/>
            </w:tcBorders>
            <w:shd w:val="clear" w:color="auto" w:fill="auto"/>
            <w:vAlign w:val="center"/>
          </w:tcPr>
          <w:p w14:paraId="03A44EA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排放规律</w:t>
            </w:r>
          </w:p>
        </w:tc>
        <w:tc>
          <w:tcPr>
            <w:tcW w:w="302" w:type="pct"/>
            <w:vMerge w:val="restart"/>
            <w:tcBorders>
              <w:tl2br w:val="nil"/>
              <w:tr2bl w:val="nil"/>
            </w:tcBorders>
            <w:shd w:val="clear" w:color="auto" w:fill="auto"/>
            <w:vAlign w:val="center"/>
          </w:tcPr>
          <w:p w14:paraId="0D6BD16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排放方式</w:t>
            </w:r>
          </w:p>
        </w:tc>
        <w:tc>
          <w:tcPr>
            <w:tcW w:w="1425" w:type="pct"/>
            <w:gridSpan w:val="3"/>
            <w:tcBorders>
              <w:tl2br w:val="nil"/>
              <w:tr2bl w:val="nil"/>
            </w:tcBorders>
            <w:shd w:val="clear" w:color="auto" w:fill="auto"/>
            <w:vAlign w:val="center"/>
          </w:tcPr>
          <w:p w14:paraId="54FC575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污染治理设施</w:t>
            </w:r>
          </w:p>
        </w:tc>
        <w:tc>
          <w:tcPr>
            <w:tcW w:w="293" w:type="pct"/>
            <w:vMerge w:val="restart"/>
            <w:tcBorders>
              <w:tl2br w:val="nil"/>
              <w:tr2bl w:val="nil"/>
            </w:tcBorders>
            <w:shd w:val="clear" w:color="auto" w:fill="auto"/>
            <w:vAlign w:val="center"/>
          </w:tcPr>
          <w:p w14:paraId="01749BE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排放口编号</w:t>
            </w:r>
          </w:p>
        </w:tc>
        <w:tc>
          <w:tcPr>
            <w:tcW w:w="312" w:type="pct"/>
            <w:vMerge w:val="restart"/>
            <w:tcBorders>
              <w:tl2br w:val="nil"/>
              <w:tr2bl w:val="nil"/>
            </w:tcBorders>
            <w:shd w:val="clear" w:color="auto" w:fill="auto"/>
            <w:vAlign w:val="center"/>
          </w:tcPr>
          <w:p w14:paraId="59FBC6E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排放口类型</w:t>
            </w:r>
          </w:p>
        </w:tc>
      </w:tr>
      <w:tr w14:paraId="41B8C96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31" w:type="pct"/>
            <w:vMerge w:val="continue"/>
            <w:tcBorders>
              <w:tl2br w:val="nil"/>
              <w:tr2bl w:val="nil"/>
            </w:tcBorders>
            <w:shd w:val="clear" w:color="auto" w:fill="auto"/>
            <w:vAlign w:val="center"/>
          </w:tcPr>
          <w:p w14:paraId="66450EC1">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p>
        </w:tc>
        <w:tc>
          <w:tcPr>
            <w:tcW w:w="431" w:type="pct"/>
            <w:vMerge w:val="continue"/>
            <w:tcBorders>
              <w:tl2br w:val="nil"/>
              <w:tr2bl w:val="nil"/>
            </w:tcBorders>
            <w:shd w:val="clear" w:color="auto" w:fill="auto"/>
            <w:vAlign w:val="center"/>
          </w:tcPr>
          <w:p w14:paraId="70C360BF">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p>
        </w:tc>
        <w:tc>
          <w:tcPr>
            <w:tcW w:w="414" w:type="pct"/>
            <w:vMerge w:val="continue"/>
            <w:tcBorders>
              <w:tl2br w:val="nil"/>
              <w:tr2bl w:val="nil"/>
            </w:tcBorders>
            <w:shd w:val="clear" w:color="auto" w:fill="auto"/>
            <w:vAlign w:val="center"/>
          </w:tcPr>
          <w:p w14:paraId="30CF7E37">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p>
        </w:tc>
        <w:tc>
          <w:tcPr>
            <w:tcW w:w="532" w:type="pct"/>
            <w:vMerge w:val="continue"/>
            <w:tcBorders>
              <w:tl2br w:val="nil"/>
              <w:tr2bl w:val="nil"/>
            </w:tcBorders>
            <w:shd w:val="clear" w:color="auto" w:fill="auto"/>
            <w:vAlign w:val="center"/>
          </w:tcPr>
          <w:p w14:paraId="52473786">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p>
        </w:tc>
        <w:tc>
          <w:tcPr>
            <w:tcW w:w="464" w:type="pct"/>
            <w:vMerge w:val="continue"/>
            <w:tcBorders>
              <w:tl2br w:val="nil"/>
              <w:tr2bl w:val="nil"/>
            </w:tcBorders>
            <w:shd w:val="clear" w:color="auto" w:fill="auto"/>
            <w:vAlign w:val="center"/>
          </w:tcPr>
          <w:p w14:paraId="6A3A36D0">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p>
        </w:tc>
        <w:tc>
          <w:tcPr>
            <w:tcW w:w="393" w:type="pct"/>
            <w:vMerge w:val="continue"/>
            <w:tcBorders>
              <w:tl2br w:val="nil"/>
              <w:tr2bl w:val="nil"/>
            </w:tcBorders>
            <w:shd w:val="clear" w:color="auto" w:fill="auto"/>
            <w:vAlign w:val="center"/>
          </w:tcPr>
          <w:p w14:paraId="0C3E9C9F">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p>
        </w:tc>
        <w:tc>
          <w:tcPr>
            <w:tcW w:w="302" w:type="pct"/>
            <w:vMerge w:val="continue"/>
            <w:tcBorders>
              <w:tl2br w:val="nil"/>
              <w:tr2bl w:val="nil"/>
            </w:tcBorders>
            <w:shd w:val="clear" w:color="auto" w:fill="auto"/>
            <w:vAlign w:val="center"/>
          </w:tcPr>
          <w:p w14:paraId="39C0A405">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p>
        </w:tc>
        <w:tc>
          <w:tcPr>
            <w:tcW w:w="428" w:type="pct"/>
            <w:tcBorders>
              <w:tl2br w:val="nil"/>
              <w:tr2bl w:val="nil"/>
            </w:tcBorders>
            <w:shd w:val="clear" w:color="auto" w:fill="auto"/>
            <w:vAlign w:val="center"/>
          </w:tcPr>
          <w:p w14:paraId="4027883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污染治理设施编号</w:t>
            </w:r>
          </w:p>
        </w:tc>
        <w:tc>
          <w:tcPr>
            <w:tcW w:w="328" w:type="pct"/>
            <w:tcBorders>
              <w:tl2br w:val="nil"/>
              <w:tr2bl w:val="nil"/>
            </w:tcBorders>
            <w:shd w:val="clear" w:color="auto" w:fill="auto"/>
            <w:vAlign w:val="center"/>
          </w:tcPr>
          <w:p w14:paraId="49679D3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污染治理设施名称</w:t>
            </w:r>
          </w:p>
        </w:tc>
        <w:tc>
          <w:tcPr>
            <w:tcW w:w="668" w:type="pct"/>
            <w:tcBorders>
              <w:tl2br w:val="nil"/>
              <w:tr2bl w:val="nil"/>
            </w:tcBorders>
            <w:shd w:val="clear" w:color="auto" w:fill="auto"/>
            <w:vAlign w:val="center"/>
          </w:tcPr>
          <w:p w14:paraId="7D307BA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污水处理工艺</w:t>
            </w:r>
          </w:p>
        </w:tc>
        <w:tc>
          <w:tcPr>
            <w:tcW w:w="293" w:type="pct"/>
            <w:vMerge w:val="continue"/>
            <w:tcBorders>
              <w:tl2br w:val="nil"/>
              <w:tr2bl w:val="nil"/>
            </w:tcBorders>
            <w:shd w:val="clear" w:color="auto" w:fill="auto"/>
            <w:vAlign w:val="center"/>
          </w:tcPr>
          <w:p w14:paraId="76528C85">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p>
        </w:tc>
        <w:tc>
          <w:tcPr>
            <w:tcW w:w="312" w:type="pct"/>
            <w:vMerge w:val="continue"/>
            <w:tcBorders>
              <w:tl2br w:val="nil"/>
              <w:tr2bl w:val="nil"/>
            </w:tcBorders>
            <w:shd w:val="clear" w:color="auto" w:fill="auto"/>
            <w:vAlign w:val="center"/>
          </w:tcPr>
          <w:p w14:paraId="1F43768E">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p>
        </w:tc>
      </w:tr>
      <w:tr w14:paraId="1AE7B3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31" w:type="pct"/>
            <w:tcBorders>
              <w:tl2br w:val="nil"/>
              <w:tr2bl w:val="nil"/>
            </w:tcBorders>
            <w:shd w:val="clear" w:color="auto" w:fill="auto"/>
            <w:vAlign w:val="center"/>
          </w:tcPr>
          <w:p w14:paraId="0DD58E2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磴口县污水处理厂</w:t>
            </w:r>
          </w:p>
        </w:tc>
        <w:tc>
          <w:tcPr>
            <w:tcW w:w="431" w:type="pct"/>
            <w:tcBorders>
              <w:tl2br w:val="nil"/>
              <w:tr2bl w:val="nil"/>
            </w:tcBorders>
            <w:shd w:val="clear" w:color="auto" w:fill="auto"/>
            <w:vAlign w:val="center"/>
          </w:tcPr>
          <w:p w14:paraId="3A3773D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eastAsia"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15000</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m</w:t>
            </w:r>
            <w:r>
              <w:rPr>
                <w:rFonts w:hint="eastAsia" w:cs="Times New Roman" w:eastAsiaTheme="minorEastAsia"/>
                <w:b w:val="0"/>
                <w:bCs w:val="0"/>
                <w:i w:val="0"/>
                <w:iCs w:val="0"/>
                <w:color w:val="000000" w:themeColor="text1"/>
                <w:kern w:val="0"/>
                <w:sz w:val="21"/>
                <w:szCs w:val="21"/>
                <w:highlight w:val="none"/>
                <w:u w:val="none"/>
                <w:vertAlign w:val="superscript"/>
                <w:lang w:val="en-US" w:eastAsia="zh-CN" w:bidi="ar"/>
                <w14:textFill>
                  <w14:solidFill>
                    <w14:schemeClr w14:val="tx1"/>
                  </w14:solidFill>
                </w14:textFill>
              </w:rPr>
              <w:t>3</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/d</w:t>
            </w:r>
          </w:p>
        </w:tc>
        <w:tc>
          <w:tcPr>
            <w:tcW w:w="414" w:type="pct"/>
            <w:tcBorders>
              <w:tl2br w:val="nil"/>
              <w:tr2bl w:val="nil"/>
            </w:tcBorders>
            <w:shd w:val="clear" w:color="auto" w:fill="auto"/>
            <w:vAlign w:val="center"/>
          </w:tcPr>
          <w:p w14:paraId="6FDDB6D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生活污水、工业废水</w:t>
            </w:r>
          </w:p>
        </w:tc>
        <w:tc>
          <w:tcPr>
            <w:tcW w:w="532" w:type="pct"/>
            <w:tcBorders>
              <w:tl2br w:val="nil"/>
              <w:tr2bl w:val="nil"/>
            </w:tcBorders>
            <w:shd w:val="clear" w:color="auto" w:fill="auto"/>
            <w:vAlign w:val="center"/>
          </w:tcPr>
          <w:p w14:paraId="200ACF3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CODcr、BOD</w:t>
            </w: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₅、SS、NH₃-N、TN、TP</w:t>
            </w:r>
          </w:p>
        </w:tc>
        <w:tc>
          <w:tcPr>
            <w:tcW w:w="464" w:type="pct"/>
            <w:tcBorders>
              <w:tl2br w:val="nil"/>
              <w:tr2bl w:val="nil"/>
            </w:tcBorders>
            <w:shd w:val="clear" w:color="auto" w:fill="auto"/>
            <w:vAlign w:val="center"/>
          </w:tcPr>
          <w:p w14:paraId="142BD26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直接进入江、河、湖库等水环境</w:t>
            </w:r>
          </w:p>
        </w:tc>
        <w:tc>
          <w:tcPr>
            <w:tcW w:w="393" w:type="pct"/>
            <w:tcBorders>
              <w:tl2br w:val="nil"/>
              <w:tr2bl w:val="nil"/>
            </w:tcBorders>
            <w:shd w:val="clear" w:color="auto" w:fill="auto"/>
            <w:vAlign w:val="center"/>
          </w:tcPr>
          <w:p w14:paraId="053CC1A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连续排放、流量稳定</w:t>
            </w:r>
          </w:p>
        </w:tc>
        <w:tc>
          <w:tcPr>
            <w:tcW w:w="302" w:type="pct"/>
            <w:tcBorders>
              <w:tl2br w:val="nil"/>
              <w:tr2bl w:val="nil"/>
            </w:tcBorders>
            <w:shd w:val="clear" w:color="auto" w:fill="auto"/>
            <w:vAlign w:val="center"/>
          </w:tcPr>
          <w:p w14:paraId="16FA8E9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直接排放</w:t>
            </w:r>
          </w:p>
        </w:tc>
        <w:tc>
          <w:tcPr>
            <w:tcW w:w="428" w:type="pct"/>
            <w:tcBorders>
              <w:tl2br w:val="nil"/>
              <w:tr2bl w:val="nil"/>
            </w:tcBorders>
            <w:shd w:val="clear" w:color="auto" w:fill="auto"/>
            <w:vAlign w:val="center"/>
          </w:tcPr>
          <w:p w14:paraId="675BBF5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TW001</w:t>
            </w:r>
          </w:p>
        </w:tc>
        <w:tc>
          <w:tcPr>
            <w:tcW w:w="328" w:type="pct"/>
            <w:tcBorders>
              <w:tl2br w:val="nil"/>
              <w:tr2bl w:val="nil"/>
            </w:tcBorders>
            <w:shd w:val="clear" w:color="auto" w:fill="auto"/>
            <w:vAlign w:val="center"/>
          </w:tcPr>
          <w:p w14:paraId="775A62A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城镇污水处理</w:t>
            </w: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厂</w:t>
            </w:r>
          </w:p>
        </w:tc>
        <w:tc>
          <w:tcPr>
            <w:tcW w:w="668" w:type="pct"/>
            <w:tcBorders>
              <w:tl2br w:val="nil"/>
              <w:tr2bl w:val="nil"/>
            </w:tcBorders>
            <w:shd w:val="clear" w:color="auto" w:fill="auto"/>
            <w:vAlign w:val="center"/>
          </w:tcPr>
          <w:p w14:paraId="0CA855D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“调节池及提升泵房+细格栅及沉砂池+</w:t>
            </w:r>
            <w:r>
              <w:rPr>
                <w:rFonts w:hint="eastAsia"/>
                <w:color w:val="000000" w:themeColor="text1"/>
                <w:sz w:val="21"/>
                <w:szCs w:val="21"/>
                <w:highlight w:val="none"/>
                <w14:textFill>
                  <w14:solidFill>
                    <w14:schemeClr w14:val="tx1"/>
                  </w14:solidFill>
                </w14:textFill>
              </w:rPr>
              <w:t>A</w:t>
            </w:r>
            <w:r>
              <w:rPr>
                <w:rFonts w:hint="eastAsia"/>
                <w:color w:val="000000" w:themeColor="text1"/>
                <w:sz w:val="21"/>
                <w:szCs w:val="21"/>
                <w:highlight w:val="none"/>
                <w:vertAlign w:val="superscript"/>
                <w14:textFill>
                  <w14:solidFill>
                    <w14:schemeClr w14:val="tx1"/>
                  </w14:solidFill>
                </w14:textFill>
              </w:rPr>
              <w:t>2</w:t>
            </w:r>
            <w:r>
              <w:rPr>
                <w:rFonts w:hint="eastAsia"/>
                <w:color w:val="000000" w:themeColor="text1"/>
                <w:sz w:val="21"/>
                <w:szCs w:val="21"/>
                <w:highlight w:val="none"/>
                <w:vertAlign w:val="baseline"/>
                <w:lang w:val="en-US" w:eastAsia="zh-CN"/>
                <w14:textFill>
                  <w14:solidFill>
                    <w14:schemeClr w14:val="tx1"/>
                  </w14:solidFill>
                </w14:textFill>
              </w:rPr>
              <w:t>/O</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生化池+MBR膜+消毒”</w:t>
            </w:r>
          </w:p>
        </w:tc>
        <w:tc>
          <w:tcPr>
            <w:tcW w:w="293" w:type="pct"/>
            <w:tcBorders>
              <w:tl2br w:val="nil"/>
              <w:tr2bl w:val="nil"/>
            </w:tcBorders>
            <w:shd w:val="clear" w:color="auto" w:fill="auto"/>
            <w:vAlign w:val="center"/>
          </w:tcPr>
          <w:p w14:paraId="4FCC7B7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现状排污口DW001</w:t>
            </w:r>
          </w:p>
        </w:tc>
        <w:tc>
          <w:tcPr>
            <w:tcW w:w="312" w:type="pct"/>
            <w:tcBorders>
              <w:tl2br w:val="nil"/>
              <w:tr2bl w:val="nil"/>
            </w:tcBorders>
            <w:shd w:val="clear" w:color="auto" w:fill="auto"/>
            <w:vAlign w:val="center"/>
          </w:tcPr>
          <w:p w14:paraId="7C5B925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城镇污水处理厂混合入河排污口</w:t>
            </w:r>
          </w:p>
        </w:tc>
      </w:tr>
      <w:tr w14:paraId="6597DB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5000" w:type="pct"/>
            <w:gridSpan w:val="12"/>
            <w:tcBorders>
              <w:tl2br w:val="nil"/>
              <w:tr2bl w:val="nil"/>
            </w:tcBorders>
            <w:shd w:val="clear" w:color="auto" w:fill="auto"/>
            <w:vAlign w:val="center"/>
          </w:tcPr>
          <w:p w14:paraId="17EDC870">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top"/>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排放执行标准：《城镇污水处理厂污染物排放标准》</w:t>
            </w:r>
            <w:r>
              <w:rPr>
                <w:rFonts w:hint="eastAsia" w:cs="Times New Roman" w:eastAsiaTheme="minorEastAsia"/>
                <w:b w:val="0"/>
                <w:bCs w:val="0"/>
                <w:color w:val="000000" w:themeColor="text1"/>
                <w:sz w:val="21"/>
                <w:szCs w:val="21"/>
                <w:highlight w:val="none"/>
                <w:lang w:val="en-US" w:eastAsia="zh-CN" w:bidi="ar"/>
                <w14:textFill>
                  <w14:solidFill>
                    <w14:schemeClr w14:val="tx1"/>
                  </w14:solidFill>
                </w14:textFill>
              </w:rPr>
              <w:t>（</w:t>
            </w: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GB18918-2002</w:t>
            </w:r>
            <w:r>
              <w:rPr>
                <w:rFonts w:hint="eastAsia" w:cs="Times New Roman" w:eastAsiaTheme="minorEastAsia"/>
                <w:b w:val="0"/>
                <w:bCs w:val="0"/>
                <w:color w:val="000000" w:themeColor="text1"/>
                <w:sz w:val="21"/>
                <w:szCs w:val="21"/>
                <w:highlight w:val="none"/>
                <w:lang w:val="en-US" w:eastAsia="zh-CN" w:bidi="ar"/>
                <w14:textFill>
                  <w14:solidFill>
                    <w14:schemeClr w14:val="tx1"/>
                  </w14:solidFill>
                </w14:textFill>
              </w:rPr>
              <w:t>）（含2006年、2025年修改单）</w:t>
            </w: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一级A标准</w:t>
            </w:r>
          </w:p>
        </w:tc>
      </w:tr>
    </w:tbl>
    <w:p w14:paraId="2F2CECD9">
      <w:pPr>
        <w:pStyle w:val="20"/>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5.5-2</w:t>
      </w:r>
      <w:r>
        <w:rPr>
          <w:rFonts w:hint="default"/>
          <w:color w:val="000000" w:themeColor="text1"/>
          <w:highlight w:val="none"/>
          <w:lang w:val="en-US" w:eastAsia="zh-CN"/>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rFonts w:hint="default"/>
          <w:color w:val="000000" w:themeColor="text1"/>
          <w:highlight w:val="none"/>
          <w:lang w:val="en-US" w:eastAsia="zh-CN"/>
          <w14:textFill>
            <w14:solidFill>
              <w14:schemeClr w14:val="tx1"/>
            </w14:solidFill>
          </w14:textFill>
        </w:rPr>
        <w:t>废水直接排放口基本情况表</w:t>
      </w:r>
    </w:p>
    <w:tbl>
      <w:tblPr>
        <w:tblStyle w:val="12"/>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118"/>
        <w:gridCol w:w="943"/>
        <w:gridCol w:w="1880"/>
        <w:gridCol w:w="2047"/>
        <w:gridCol w:w="1282"/>
        <w:gridCol w:w="1252"/>
        <w:gridCol w:w="1225"/>
        <w:gridCol w:w="859"/>
        <w:gridCol w:w="1147"/>
        <w:gridCol w:w="1702"/>
      </w:tblGrid>
      <w:tr w14:paraId="0CB00D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415" w:type="pct"/>
            <w:vMerge w:val="restart"/>
            <w:tcBorders>
              <w:tl2br w:val="nil"/>
              <w:tr2bl w:val="nil"/>
            </w:tcBorders>
            <w:shd w:val="clear" w:color="auto" w:fill="auto"/>
            <w:vAlign w:val="center"/>
          </w:tcPr>
          <w:p w14:paraId="54B6474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排放口编号</w:t>
            </w:r>
          </w:p>
        </w:tc>
        <w:tc>
          <w:tcPr>
            <w:tcW w:w="350" w:type="pct"/>
            <w:vMerge w:val="restart"/>
            <w:tcBorders>
              <w:tl2br w:val="nil"/>
              <w:tr2bl w:val="nil"/>
            </w:tcBorders>
            <w:shd w:val="clear" w:color="auto" w:fill="auto"/>
            <w:vAlign w:val="center"/>
          </w:tcPr>
          <w:p w14:paraId="37EED82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排污口编号</w:t>
            </w:r>
          </w:p>
        </w:tc>
        <w:tc>
          <w:tcPr>
            <w:tcW w:w="698" w:type="pct"/>
            <w:vMerge w:val="restart"/>
            <w:tcBorders>
              <w:tl2br w:val="nil"/>
              <w:tr2bl w:val="nil"/>
            </w:tcBorders>
            <w:shd w:val="clear" w:color="auto" w:fill="auto"/>
            <w:vAlign w:val="center"/>
          </w:tcPr>
          <w:p w14:paraId="5972F48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排放口坐标</w:t>
            </w:r>
          </w:p>
        </w:tc>
        <w:tc>
          <w:tcPr>
            <w:tcW w:w="760" w:type="pct"/>
            <w:vMerge w:val="restart"/>
            <w:tcBorders>
              <w:tl2br w:val="nil"/>
              <w:tr2bl w:val="nil"/>
            </w:tcBorders>
            <w:shd w:val="clear" w:color="auto" w:fill="auto"/>
            <w:vAlign w:val="center"/>
          </w:tcPr>
          <w:p w14:paraId="35048E4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污水排放量</w:t>
            </w:r>
          </w:p>
        </w:tc>
        <w:tc>
          <w:tcPr>
            <w:tcW w:w="476" w:type="pct"/>
            <w:vMerge w:val="restart"/>
            <w:tcBorders>
              <w:tl2br w:val="nil"/>
              <w:tr2bl w:val="nil"/>
            </w:tcBorders>
            <w:shd w:val="clear" w:color="auto" w:fill="auto"/>
            <w:vAlign w:val="center"/>
          </w:tcPr>
          <w:p w14:paraId="5332027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废水类别</w:t>
            </w:r>
          </w:p>
        </w:tc>
        <w:tc>
          <w:tcPr>
            <w:tcW w:w="465" w:type="pct"/>
            <w:vMerge w:val="restart"/>
            <w:tcBorders>
              <w:tl2br w:val="nil"/>
              <w:tr2bl w:val="nil"/>
            </w:tcBorders>
            <w:shd w:val="clear" w:color="auto" w:fill="auto"/>
            <w:vAlign w:val="center"/>
          </w:tcPr>
          <w:p w14:paraId="233BD38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排放去向</w:t>
            </w:r>
          </w:p>
        </w:tc>
        <w:tc>
          <w:tcPr>
            <w:tcW w:w="455" w:type="pct"/>
            <w:vMerge w:val="restart"/>
            <w:tcBorders>
              <w:tl2br w:val="nil"/>
              <w:tr2bl w:val="nil"/>
            </w:tcBorders>
            <w:shd w:val="clear" w:color="auto" w:fill="auto"/>
            <w:vAlign w:val="center"/>
          </w:tcPr>
          <w:p w14:paraId="0DD11E0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排放规律</w:t>
            </w:r>
          </w:p>
        </w:tc>
        <w:tc>
          <w:tcPr>
            <w:tcW w:w="745" w:type="pct"/>
            <w:gridSpan w:val="2"/>
            <w:tcBorders>
              <w:tl2br w:val="nil"/>
              <w:tr2bl w:val="nil"/>
            </w:tcBorders>
            <w:shd w:val="clear" w:color="auto" w:fill="auto"/>
            <w:vAlign w:val="center"/>
          </w:tcPr>
          <w:p w14:paraId="1CBA756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受纳自然水体信息</w:t>
            </w:r>
          </w:p>
        </w:tc>
        <w:tc>
          <w:tcPr>
            <w:tcW w:w="632" w:type="pct"/>
            <w:vMerge w:val="restart"/>
            <w:tcBorders>
              <w:tl2br w:val="nil"/>
              <w:tr2bl w:val="nil"/>
            </w:tcBorders>
            <w:shd w:val="clear" w:color="auto" w:fill="auto"/>
            <w:vAlign w:val="center"/>
          </w:tcPr>
          <w:p w14:paraId="41DAD93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汇入受纳自然水体处地理坐标</w:t>
            </w:r>
          </w:p>
        </w:tc>
      </w:tr>
      <w:tr w14:paraId="0062AC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15" w:type="pct"/>
            <w:vMerge w:val="continue"/>
            <w:tcBorders>
              <w:tl2br w:val="nil"/>
              <w:tr2bl w:val="nil"/>
            </w:tcBorders>
            <w:shd w:val="clear" w:color="auto" w:fill="auto"/>
            <w:vAlign w:val="center"/>
          </w:tcPr>
          <w:p w14:paraId="1072AA2F">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p>
        </w:tc>
        <w:tc>
          <w:tcPr>
            <w:tcW w:w="350" w:type="pct"/>
            <w:vMerge w:val="continue"/>
            <w:tcBorders>
              <w:tl2br w:val="nil"/>
              <w:tr2bl w:val="nil"/>
            </w:tcBorders>
            <w:shd w:val="clear" w:color="auto" w:fill="auto"/>
            <w:vAlign w:val="center"/>
          </w:tcPr>
          <w:p w14:paraId="22341B99">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p>
        </w:tc>
        <w:tc>
          <w:tcPr>
            <w:tcW w:w="698" w:type="pct"/>
            <w:vMerge w:val="continue"/>
            <w:tcBorders>
              <w:tl2br w:val="nil"/>
              <w:tr2bl w:val="nil"/>
            </w:tcBorders>
            <w:shd w:val="clear" w:color="auto" w:fill="auto"/>
            <w:vAlign w:val="center"/>
          </w:tcPr>
          <w:p w14:paraId="11165A28">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p>
        </w:tc>
        <w:tc>
          <w:tcPr>
            <w:tcW w:w="760" w:type="pct"/>
            <w:vMerge w:val="continue"/>
            <w:tcBorders>
              <w:tl2br w:val="nil"/>
              <w:tr2bl w:val="nil"/>
            </w:tcBorders>
            <w:shd w:val="clear" w:color="auto" w:fill="auto"/>
            <w:vAlign w:val="center"/>
          </w:tcPr>
          <w:p w14:paraId="175E98BF">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p>
        </w:tc>
        <w:tc>
          <w:tcPr>
            <w:tcW w:w="476" w:type="pct"/>
            <w:vMerge w:val="continue"/>
            <w:tcBorders>
              <w:tl2br w:val="nil"/>
              <w:tr2bl w:val="nil"/>
            </w:tcBorders>
            <w:shd w:val="clear" w:color="auto" w:fill="auto"/>
            <w:vAlign w:val="center"/>
          </w:tcPr>
          <w:p w14:paraId="523B2AD4">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p>
        </w:tc>
        <w:tc>
          <w:tcPr>
            <w:tcW w:w="465" w:type="pct"/>
            <w:vMerge w:val="continue"/>
            <w:tcBorders>
              <w:tl2br w:val="nil"/>
              <w:tr2bl w:val="nil"/>
            </w:tcBorders>
            <w:shd w:val="clear" w:color="auto" w:fill="auto"/>
            <w:vAlign w:val="center"/>
          </w:tcPr>
          <w:p w14:paraId="2024C669">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p>
        </w:tc>
        <w:tc>
          <w:tcPr>
            <w:tcW w:w="455" w:type="pct"/>
            <w:vMerge w:val="continue"/>
            <w:tcBorders>
              <w:tl2br w:val="nil"/>
              <w:tr2bl w:val="nil"/>
            </w:tcBorders>
            <w:shd w:val="clear" w:color="auto" w:fill="auto"/>
            <w:vAlign w:val="center"/>
          </w:tcPr>
          <w:p w14:paraId="095BAF47">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p>
        </w:tc>
        <w:tc>
          <w:tcPr>
            <w:tcW w:w="319" w:type="pct"/>
            <w:tcBorders>
              <w:tl2br w:val="nil"/>
              <w:tr2bl w:val="nil"/>
            </w:tcBorders>
            <w:shd w:val="clear" w:color="auto" w:fill="auto"/>
            <w:vAlign w:val="center"/>
          </w:tcPr>
          <w:p w14:paraId="11AEB48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名称</w:t>
            </w:r>
          </w:p>
        </w:tc>
        <w:tc>
          <w:tcPr>
            <w:tcW w:w="426" w:type="pct"/>
            <w:tcBorders>
              <w:tl2br w:val="nil"/>
              <w:tr2bl w:val="nil"/>
            </w:tcBorders>
            <w:shd w:val="clear" w:color="auto" w:fill="auto"/>
            <w:vAlign w:val="center"/>
          </w:tcPr>
          <w:p w14:paraId="33D1D8E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受纳水体功能目标</w:t>
            </w:r>
          </w:p>
        </w:tc>
        <w:tc>
          <w:tcPr>
            <w:tcW w:w="632" w:type="pct"/>
            <w:vMerge w:val="continue"/>
            <w:tcBorders>
              <w:tl2br w:val="nil"/>
              <w:tr2bl w:val="nil"/>
            </w:tcBorders>
            <w:shd w:val="clear" w:color="auto" w:fill="auto"/>
            <w:vAlign w:val="center"/>
          </w:tcPr>
          <w:p w14:paraId="080175E3">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p>
        </w:tc>
      </w:tr>
      <w:tr w14:paraId="48C6D2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15" w:type="pct"/>
            <w:tcBorders>
              <w:tl2br w:val="nil"/>
              <w:tr2bl w:val="nil"/>
            </w:tcBorders>
            <w:shd w:val="clear" w:color="auto" w:fill="auto"/>
            <w:vAlign w:val="center"/>
          </w:tcPr>
          <w:p w14:paraId="239E464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现状排污口DW001</w:t>
            </w:r>
          </w:p>
        </w:tc>
        <w:tc>
          <w:tcPr>
            <w:tcW w:w="350" w:type="pct"/>
            <w:tcBorders>
              <w:tl2br w:val="nil"/>
              <w:tr2bl w:val="nil"/>
            </w:tcBorders>
            <w:shd w:val="clear" w:color="auto" w:fill="auto"/>
            <w:vAlign w:val="center"/>
          </w:tcPr>
          <w:p w14:paraId="1A2DBBB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w:t>
            </w:r>
          </w:p>
        </w:tc>
        <w:tc>
          <w:tcPr>
            <w:tcW w:w="698" w:type="pct"/>
            <w:tcBorders>
              <w:tl2br w:val="nil"/>
              <w:tr2bl w:val="nil"/>
            </w:tcBorders>
            <w:shd w:val="clear" w:color="auto" w:fill="auto"/>
            <w:vAlign w:val="center"/>
          </w:tcPr>
          <w:p w14:paraId="5352469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E</w:t>
            </w: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107°2′49.06″</w:t>
            </w:r>
          </w:p>
          <w:p w14:paraId="511C380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eastAsia"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N</w:t>
            </w: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40°24′45.17″</w:t>
            </w:r>
          </w:p>
        </w:tc>
        <w:tc>
          <w:tcPr>
            <w:tcW w:w="760" w:type="pct"/>
            <w:tcBorders>
              <w:tl2br w:val="nil"/>
              <w:tr2bl w:val="nil"/>
            </w:tcBorders>
            <w:shd w:val="clear" w:color="auto" w:fill="auto"/>
            <w:vAlign w:val="center"/>
          </w:tcPr>
          <w:p w14:paraId="3ED6E97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lang w:val="en-US"/>
                <w14:textFill>
                  <w14:solidFill>
                    <w14:schemeClr w14:val="tx1"/>
                  </w14:solidFill>
                </w14:textFill>
              </w:rPr>
            </w:pPr>
            <w:r>
              <w:rPr>
                <w:rFonts w:hint="eastAsia"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48950</w:t>
            </w: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m</w:t>
            </w:r>
            <w:r>
              <w:rPr>
                <w:rFonts w:hint="eastAsia" w:cs="Times New Roman" w:eastAsiaTheme="minorEastAsia"/>
                <w:i w:val="0"/>
                <w:iCs w:val="0"/>
                <w:color w:val="000000" w:themeColor="text1"/>
                <w:kern w:val="0"/>
                <w:sz w:val="21"/>
                <w:szCs w:val="21"/>
                <w:highlight w:val="none"/>
                <w:u w:val="none"/>
                <w:vertAlign w:val="superscript"/>
                <w:lang w:val="en-US" w:eastAsia="zh-CN" w:bidi="ar"/>
                <w14:textFill>
                  <w14:solidFill>
                    <w14:schemeClr w14:val="tx1"/>
                  </w14:solidFill>
                </w14:textFill>
              </w:rPr>
              <w:t>3</w:t>
            </w: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/d</w:t>
            </w:r>
            <w:r>
              <w:rPr>
                <w:rFonts w:hint="eastAsia"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（扩建部分15000+已有排污量33950）</w:t>
            </w:r>
          </w:p>
        </w:tc>
        <w:tc>
          <w:tcPr>
            <w:tcW w:w="476" w:type="pct"/>
            <w:tcBorders>
              <w:tl2br w:val="nil"/>
              <w:tr2bl w:val="nil"/>
            </w:tcBorders>
            <w:shd w:val="clear" w:color="auto" w:fill="auto"/>
            <w:vAlign w:val="center"/>
          </w:tcPr>
          <w:p w14:paraId="7032238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生活</w:t>
            </w: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污水+工业废水</w:t>
            </w:r>
          </w:p>
        </w:tc>
        <w:tc>
          <w:tcPr>
            <w:tcW w:w="465" w:type="pct"/>
            <w:tcBorders>
              <w:tl2br w:val="nil"/>
              <w:tr2bl w:val="nil"/>
            </w:tcBorders>
            <w:shd w:val="clear" w:color="auto" w:fill="auto"/>
            <w:vAlign w:val="center"/>
          </w:tcPr>
          <w:p w14:paraId="3EA98B6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直接排放进入</w:t>
            </w: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二排干</w:t>
            </w:r>
          </w:p>
        </w:tc>
        <w:tc>
          <w:tcPr>
            <w:tcW w:w="455" w:type="pct"/>
            <w:tcBorders>
              <w:tl2br w:val="nil"/>
              <w:tr2bl w:val="nil"/>
            </w:tcBorders>
            <w:shd w:val="clear" w:color="auto" w:fill="auto"/>
            <w:vAlign w:val="center"/>
          </w:tcPr>
          <w:p w14:paraId="722D95E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连续排放、流量稳定</w:t>
            </w:r>
          </w:p>
        </w:tc>
        <w:tc>
          <w:tcPr>
            <w:tcW w:w="319" w:type="pct"/>
            <w:tcBorders>
              <w:tl2br w:val="nil"/>
              <w:tr2bl w:val="nil"/>
            </w:tcBorders>
            <w:shd w:val="clear" w:color="auto" w:fill="auto"/>
            <w:vAlign w:val="center"/>
          </w:tcPr>
          <w:p w14:paraId="456D8D0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二排干</w:t>
            </w:r>
          </w:p>
        </w:tc>
        <w:tc>
          <w:tcPr>
            <w:tcW w:w="426" w:type="pct"/>
            <w:tcBorders>
              <w:tl2br w:val="nil"/>
              <w:tr2bl w:val="nil"/>
            </w:tcBorders>
            <w:shd w:val="clear" w:color="auto" w:fill="auto"/>
            <w:vAlign w:val="center"/>
          </w:tcPr>
          <w:p w14:paraId="0729D3B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V类</w:t>
            </w:r>
          </w:p>
        </w:tc>
        <w:tc>
          <w:tcPr>
            <w:tcW w:w="632" w:type="pct"/>
            <w:tcBorders>
              <w:tl2br w:val="nil"/>
              <w:tr2bl w:val="nil"/>
            </w:tcBorders>
            <w:shd w:val="clear" w:color="auto" w:fill="auto"/>
            <w:vAlign w:val="center"/>
          </w:tcPr>
          <w:p w14:paraId="5E4110B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E</w:t>
            </w: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107°03′5.12″</w:t>
            </w:r>
          </w:p>
          <w:p w14:paraId="224FB59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eastAsia"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N</w:t>
            </w: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40°24′31.94″</w:t>
            </w:r>
          </w:p>
        </w:tc>
      </w:tr>
    </w:tbl>
    <w:p w14:paraId="44F8EA05">
      <w:pPr>
        <w:pStyle w:val="20"/>
        <w:bidi w:val="0"/>
        <w:rPr>
          <w:rFonts w:hint="default"/>
          <w:color w:val="000000" w:themeColor="text1"/>
          <w:highlight w:val="none"/>
          <w:lang w:val="en-US" w:eastAsia="zh-CN"/>
          <w14:textFill>
            <w14:solidFill>
              <w14:schemeClr w14:val="tx1"/>
            </w14:solidFill>
          </w14:textFill>
        </w:rPr>
        <w:sectPr>
          <w:pgSz w:w="16838" w:h="11906" w:orient="landscape"/>
          <w:pgMar w:top="1440" w:right="1797" w:bottom="1440" w:left="1797" w:header="851" w:footer="851" w:gutter="0"/>
          <w:pgBorders>
            <w:top w:val="none" w:sz="0" w:space="0"/>
            <w:left w:val="none" w:sz="0" w:space="0"/>
            <w:bottom w:val="none" w:sz="0" w:space="0"/>
            <w:right w:val="none" w:sz="0" w:space="0"/>
          </w:pgBorders>
          <w:pgNumType w:fmt="decimal"/>
          <w:cols w:space="720" w:num="1"/>
          <w:docGrid w:linePitch="312" w:charSpace="0"/>
        </w:sectPr>
      </w:pPr>
    </w:p>
    <w:p w14:paraId="2D341E47">
      <w:pPr>
        <w:pStyle w:val="20"/>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 xml:space="preserve">5.5-3 </w:t>
      </w:r>
      <w:r>
        <w:rPr>
          <w:rFonts w:hint="default"/>
          <w:color w:val="000000" w:themeColor="text1"/>
          <w:highlight w:val="none"/>
          <w:lang w:val="en-US" w:eastAsia="zh-CN"/>
          <w14:textFill>
            <w14:solidFill>
              <w14:schemeClr w14:val="tx1"/>
            </w14:solidFill>
          </w14:textFill>
        </w:rPr>
        <w:t>项目废水污染物排放信息表</w:t>
      </w:r>
      <w:r>
        <w:rPr>
          <w:rFonts w:hint="eastAsia"/>
          <w:color w:val="000000" w:themeColor="text1"/>
          <w:highlight w:val="none"/>
          <w:lang w:val="en-US" w:eastAsia="zh-CN"/>
          <w14:textFill>
            <w14:solidFill>
              <w14:schemeClr w14:val="tx1"/>
            </w14:solidFill>
          </w14:textFill>
        </w:rPr>
        <w:t>（扩建部分）</w:t>
      </w:r>
    </w:p>
    <w:tbl>
      <w:tblPr>
        <w:tblStyle w:val="12"/>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312"/>
        <w:gridCol w:w="1878"/>
        <w:gridCol w:w="1361"/>
        <w:gridCol w:w="2030"/>
        <w:gridCol w:w="1944"/>
      </w:tblGrid>
      <w:tr w14:paraId="63AD66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769" w:type="pct"/>
            <w:tcBorders>
              <w:tl2br w:val="nil"/>
              <w:tr2bl w:val="nil"/>
            </w:tcBorders>
            <w:shd w:val="clear" w:color="auto" w:fill="auto"/>
            <w:vAlign w:val="center"/>
          </w:tcPr>
          <w:p w14:paraId="0F37C78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排放口编号</w:t>
            </w:r>
          </w:p>
        </w:tc>
        <w:tc>
          <w:tcPr>
            <w:tcW w:w="1101" w:type="pct"/>
            <w:tcBorders>
              <w:tl2br w:val="nil"/>
              <w:tr2bl w:val="nil"/>
            </w:tcBorders>
            <w:shd w:val="clear" w:color="auto" w:fill="auto"/>
            <w:vAlign w:val="center"/>
          </w:tcPr>
          <w:p w14:paraId="45492FF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污水处理厂处理规模</w:t>
            </w:r>
          </w:p>
        </w:tc>
        <w:tc>
          <w:tcPr>
            <w:tcW w:w="798" w:type="pct"/>
            <w:tcBorders>
              <w:tl2br w:val="nil"/>
              <w:tr2bl w:val="nil"/>
            </w:tcBorders>
            <w:shd w:val="clear" w:color="auto" w:fill="auto"/>
            <w:vAlign w:val="center"/>
          </w:tcPr>
          <w:p w14:paraId="60EADB6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污染物种类</w:t>
            </w:r>
          </w:p>
        </w:tc>
        <w:tc>
          <w:tcPr>
            <w:tcW w:w="1190" w:type="pct"/>
            <w:tcBorders>
              <w:tl2br w:val="nil"/>
              <w:tr2bl w:val="nil"/>
            </w:tcBorders>
            <w:shd w:val="clear" w:color="auto" w:fill="auto"/>
            <w:vAlign w:val="center"/>
          </w:tcPr>
          <w:p w14:paraId="53BC9C9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许可排放浓度</w:t>
            </w:r>
            <w:r>
              <w:rPr>
                <w:rFonts w:hint="eastAsia" w:cs="Times New Roman" w:eastAsiaTheme="minorEastAsia"/>
                <w:b w:val="0"/>
                <w:bCs w:val="0"/>
                <w:color w:val="000000" w:themeColor="text1"/>
                <w:sz w:val="21"/>
                <w:szCs w:val="21"/>
                <w:highlight w:val="none"/>
                <w:lang w:val="en-US" w:eastAsia="zh-CN" w:bidi="ar"/>
                <w14:textFill>
                  <w14:solidFill>
                    <w14:schemeClr w14:val="tx1"/>
                  </w14:solidFill>
                </w14:textFill>
              </w:rPr>
              <w:t>（</w:t>
            </w: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mg/L</w:t>
            </w:r>
            <w:r>
              <w:rPr>
                <w:rFonts w:hint="eastAsia" w:cs="Times New Roman" w:eastAsiaTheme="minorEastAsia"/>
                <w:b w:val="0"/>
                <w:bCs w:val="0"/>
                <w:color w:val="000000" w:themeColor="text1"/>
                <w:sz w:val="21"/>
                <w:szCs w:val="21"/>
                <w:highlight w:val="none"/>
                <w:lang w:val="en-US" w:eastAsia="zh-CN" w:bidi="ar"/>
                <w14:textFill>
                  <w14:solidFill>
                    <w14:schemeClr w14:val="tx1"/>
                  </w14:solidFill>
                </w14:textFill>
              </w:rPr>
              <w:t>）</w:t>
            </w:r>
          </w:p>
        </w:tc>
        <w:tc>
          <w:tcPr>
            <w:tcW w:w="1140" w:type="pct"/>
            <w:tcBorders>
              <w:tl2br w:val="nil"/>
              <w:tr2bl w:val="nil"/>
            </w:tcBorders>
            <w:shd w:val="clear" w:color="auto" w:fill="auto"/>
            <w:vAlign w:val="center"/>
          </w:tcPr>
          <w:p w14:paraId="43896D8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年允许排放量</w:t>
            </w:r>
            <w:r>
              <w:rPr>
                <w:rFonts w:hint="eastAsia" w:cs="Times New Roman" w:eastAsiaTheme="minorEastAsia"/>
                <w:b w:val="0"/>
                <w:bCs w:val="0"/>
                <w:color w:val="000000" w:themeColor="text1"/>
                <w:sz w:val="21"/>
                <w:szCs w:val="21"/>
                <w:highlight w:val="none"/>
                <w:lang w:val="en-US" w:eastAsia="zh-CN" w:bidi="ar"/>
                <w14:textFill>
                  <w14:solidFill>
                    <w14:schemeClr w14:val="tx1"/>
                  </w14:solidFill>
                </w14:textFill>
              </w:rPr>
              <w:t>（</w:t>
            </w: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t/a</w:t>
            </w:r>
            <w:r>
              <w:rPr>
                <w:rFonts w:hint="eastAsia" w:cs="Times New Roman" w:eastAsiaTheme="minorEastAsia"/>
                <w:b w:val="0"/>
                <w:bCs w:val="0"/>
                <w:color w:val="000000" w:themeColor="text1"/>
                <w:sz w:val="21"/>
                <w:szCs w:val="21"/>
                <w:highlight w:val="none"/>
                <w:lang w:val="en-US" w:eastAsia="zh-CN" w:bidi="ar"/>
                <w14:textFill>
                  <w14:solidFill>
                    <w14:schemeClr w14:val="tx1"/>
                  </w14:solidFill>
                </w14:textFill>
              </w:rPr>
              <w:t>）</w:t>
            </w:r>
          </w:p>
        </w:tc>
      </w:tr>
      <w:tr w14:paraId="49345B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769" w:type="pct"/>
            <w:vMerge w:val="restart"/>
            <w:tcBorders>
              <w:tl2br w:val="nil"/>
              <w:tr2bl w:val="nil"/>
            </w:tcBorders>
            <w:shd w:val="clear" w:color="auto" w:fill="auto"/>
            <w:vAlign w:val="center"/>
          </w:tcPr>
          <w:p w14:paraId="1D91EB1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现状排污口DW001</w:t>
            </w:r>
          </w:p>
        </w:tc>
        <w:tc>
          <w:tcPr>
            <w:tcW w:w="1101" w:type="pct"/>
            <w:vMerge w:val="restart"/>
            <w:tcBorders>
              <w:tl2br w:val="nil"/>
              <w:tr2bl w:val="nil"/>
            </w:tcBorders>
            <w:shd w:val="clear" w:color="auto" w:fill="auto"/>
            <w:vAlign w:val="center"/>
          </w:tcPr>
          <w:p w14:paraId="693A6B7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eastAsia"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15000</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m</w:t>
            </w:r>
            <w:r>
              <w:rPr>
                <w:rFonts w:hint="default" w:ascii="Times New Roman" w:hAnsi="Times New Roman" w:cs="Times New Roman" w:eastAsiaTheme="minorEastAsia"/>
                <w:b w:val="0"/>
                <w:bCs w:val="0"/>
                <w:i w:val="0"/>
                <w:iCs w:val="0"/>
                <w:color w:val="000000" w:themeColor="text1"/>
                <w:kern w:val="0"/>
                <w:sz w:val="21"/>
                <w:szCs w:val="21"/>
                <w:highlight w:val="none"/>
                <w:u w:val="none"/>
                <w:vertAlign w:val="superscript"/>
                <w:lang w:val="en-US" w:eastAsia="zh-CN" w:bidi="ar"/>
                <w14:textFill>
                  <w14:solidFill>
                    <w14:schemeClr w14:val="tx1"/>
                  </w14:solidFill>
                </w14:textFill>
              </w:rPr>
              <w:t>3</w:t>
            </w: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/d</w:t>
            </w:r>
          </w:p>
        </w:tc>
        <w:tc>
          <w:tcPr>
            <w:tcW w:w="798" w:type="pct"/>
            <w:tcBorders>
              <w:tl2br w:val="nil"/>
              <w:tr2bl w:val="nil"/>
            </w:tcBorders>
            <w:shd w:val="clear" w:color="auto" w:fill="auto"/>
            <w:vAlign w:val="center"/>
          </w:tcPr>
          <w:p w14:paraId="6D9ACB0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COD</w:t>
            </w:r>
          </w:p>
        </w:tc>
        <w:tc>
          <w:tcPr>
            <w:tcW w:w="1190" w:type="pct"/>
            <w:tcBorders>
              <w:tl2br w:val="nil"/>
              <w:tr2bl w:val="nil"/>
            </w:tcBorders>
            <w:shd w:val="clear" w:color="auto" w:fill="auto"/>
            <w:vAlign w:val="center"/>
          </w:tcPr>
          <w:p w14:paraId="6274529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≤50</w:t>
            </w:r>
          </w:p>
        </w:tc>
        <w:tc>
          <w:tcPr>
            <w:tcW w:w="1140" w:type="pct"/>
            <w:tcBorders>
              <w:tl2br w:val="nil"/>
              <w:tr2bl w:val="nil"/>
            </w:tcBorders>
            <w:shd w:val="clear" w:color="auto" w:fill="auto"/>
            <w:vAlign w:val="center"/>
          </w:tcPr>
          <w:p w14:paraId="16548C4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273.75</w:t>
            </w:r>
          </w:p>
        </w:tc>
      </w:tr>
      <w:tr w14:paraId="7EFBC0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769" w:type="pct"/>
            <w:vMerge w:val="continue"/>
            <w:tcBorders>
              <w:tl2br w:val="nil"/>
              <w:tr2bl w:val="nil"/>
            </w:tcBorders>
            <w:shd w:val="clear" w:color="auto" w:fill="auto"/>
            <w:vAlign w:val="center"/>
          </w:tcPr>
          <w:p w14:paraId="03B68C20">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p>
        </w:tc>
        <w:tc>
          <w:tcPr>
            <w:tcW w:w="1101" w:type="pct"/>
            <w:vMerge w:val="continue"/>
            <w:tcBorders>
              <w:tl2br w:val="nil"/>
              <w:tr2bl w:val="nil"/>
            </w:tcBorders>
            <w:shd w:val="clear" w:color="auto" w:fill="auto"/>
            <w:vAlign w:val="center"/>
          </w:tcPr>
          <w:p w14:paraId="16EB07A4">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p>
        </w:tc>
        <w:tc>
          <w:tcPr>
            <w:tcW w:w="798" w:type="pct"/>
            <w:tcBorders>
              <w:tl2br w:val="nil"/>
              <w:tr2bl w:val="nil"/>
            </w:tcBorders>
            <w:shd w:val="clear" w:color="auto" w:fill="auto"/>
            <w:vAlign w:val="center"/>
          </w:tcPr>
          <w:p w14:paraId="1251EC5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BOD</w:t>
            </w:r>
            <w:r>
              <w:rPr>
                <w:rFonts w:hint="default" w:ascii="Times New Roman" w:hAnsi="Times New Roman" w:cs="Times New Roman" w:eastAsiaTheme="minorEastAsia"/>
                <w:b w:val="0"/>
                <w:bCs w:val="0"/>
                <w:color w:val="000000" w:themeColor="text1"/>
                <w:sz w:val="21"/>
                <w:szCs w:val="21"/>
                <w:highlight w:val="none"/>
                <w:vertAlign w:val="subscript"/>
                <w:lang w:val="en-US" w:eastAsia="zh-CN" w:bidi="ar"/>
                <w14:textFill>
                  <w14:solidFill>
                    <w14:schemeClr w14:val="tx1"/>
                  </w14:solidFill>
                </w14:textFill>
              </w:rPr>
              <w:t>5</w:t>
            </w:r>
          </w:p>
        </w:tc>
        <w:tc>
          <w:tcPr>
            <w:tcW w:w="1190" w:type="pct"/>
            <w:tcBorders>
              <w:tl2br w:val="nil"/>
              <w:tr2bl w:val="nil"/>
            </w:tcBorders>
            <w:shd w:val="clear" w:color="auto" w:fill="auto"/>
            <w:vAlign w:val="center"/>
          </w:tcPr>
          <w:p w14:paraId="7C0826D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≤10</w:t>
            </w:r>
          </w:p>
        </w:tc>
        <w:tc>
          <w:tcPr>
            <w:tcW w:w="1140" w:type="pct"/>
            <w:tcBorders>
              <w:tl2br w:val="nil"/>
              <w:tr2bl w:val="nil"/>
            </w:tcBorders>
            <w:shd w:val="clear" w:color="auto" w:fill="auto"/>
            <w:vAlign w:val="center"/>
          </w:tcPr>
          <w:p w14:paraId="1A3965C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54.75</w:t>
            </w:r>
          </w:p>
        </w:tc>
      </w:tr>
      <w:tr w14:paraId="174F89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769" w:type="pct"/>
            <w:vMerge w:val="continue"/>
            <w:tcBorders>
              <w:tl2br w:val="nil"/>
              <w:tr2bl w:val="nil"/>
            </w:tcBorders>
            <w:shd w:val="clear" w:color="auto" w:fill="auto"/>
            <w:vAlign w:val="center"/>
          </w:tcPr>
          <w:p w14:paraId="6DDF627E">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p>
        </w:tc>
        <w:tc>
          <w:tcPr>
            <w:tcW w:w="1101" w:type="pct"/>
            <w:vMerge w:val="continue"/>
            <w:tcBorders>
              <w:tl2br w:val="nil"/>
              <w:tr2bl w:val="nil"/>
            </w:tcBorders>
            <w:shd w:val="clear" w:color="auto" w:fill="auto"/>
            <w:vAlign w:val="center"/>
          </w:tcPr>
          <w:p w14:paraId="2C1E8AB6">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p>
        </w:tc>
        <w:tc>
          <w:tcPr>
            <w:tcW w:w="798" w:type="pct"/>
            <w:tcBorders>
              <w:tl2br w:val="nil"/>
              <w:tr2bl w:val="nil"/>
            </w:tcBorders>
            <w:shd w:val="clear" w:color="auto" w:fill="auto"/>
            <w:vAlign w:val="center"/>
          </w:tcPr>
          <w:p w14:paraId="3D868A1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SS</w:t>
            </w:r>
          </w:p>
        </w:tc>
        <w:tc>
          <w:tcPr>
            <w:tcW w:w="1190" w:type="pct"/>
            <w:tcBorders>
              <w:tl2br w:val="nil"/>
              <w:tr2bl w:val="nil"/>
            </w:tcBorders>
            <w:shd w:val="clear" w:color="auto" w:fill="auto"/>
            <w:vAlign w:val="center"/>
          </w:tcPr>
          <w:p w14:paraId="0EB5AC1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≤10</w:t>
            </w:r>
          </w:p>
        </w:tc>
        <w:tc>
          <w:tcPr>
            <w:tcW w:w="1140" w:type="pct"/>
            <w:tcBorders>
              <w:tl2br w:val="nil"/>
              <w:tr2bl w:val="nil"/>
            </w:tcBorders>
            <w:shd w:val="clear" w:color="auto" w:fill="auto"/>
            <w:vAlign w:val="center"/>
          </w:tcPr>
          <w:p w14:paraId="5032A9E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54.75</w:t>
            </w:r>
          </w:p>
        </w:tc>
      </w:tr>
      <w:tr w14:paraId="4B8740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17" w:hRule="atLeast"/>
        </w:trPr>
        <w:tc>
          <w:tcPr>
            <w:tcW w:w="769" w:type="pct"/>
            <w:vMerge w:val="continue"/>
            <w:tcBorders>
              <w:tl2br w:val="nil"/>
              <w:tr2bl w:val="nil"/>
            </w:tcBorders>
            <w:shd w:val="clear" w:color="auto" w:fill="auto"/>
            <w:vAlign w:val="center"/>
          </w:tcPr>
          <w:p w14:paraId="492A1E3F">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p>
        </w:tc>
        <w:tc>
          <w:tcPr>
            <w:tcW w:w="1101" w:type="pct"/>
            <w:vMerge w:val="continue"/>
            <w:tcBorders>
              <w:tl2br w:val="nil"/>
              <w:tr2bl w:val="nil"/>
            </w:tcBorders>
            <w:shd w:val="clear" w:color="auto" w:fill="auto"/>
            <w:vAlign w:val="center"/>
          </w:tcPr>
          <w:p w14:paraId="767DE956">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p>
        </w:tc>
        <w:tc>
          <w:tcPr>
            <w:tcW w:w="798" w:type="pct"/>
            <w:tcBorders>
              <w:tl2br w:val="nil"/>
              <w:tr2bl w:val="nil"/>
            </w:tcBorders>
            <w:shd w:val="clear" w:color="auto" w:fill="auto"/>
            <w:vAlign w:val="center"/>
          </w:tcPr>
          <w:p w14:paraId="482CED6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NH</w:t>
            </w:r>
            <w:r>
              <w:rPr>
                <w:rFonts w:hint="default" w:ascii="Times New Roman" w:hAnsi="Times New Roman" w:cs="Times New Roman" w:eastAsiaTheme="minorEastAsia"/>
                <w:b w:val="0"/>
                <w:bCs w:val="0"/>
                <w:color w:val="000000" w:themeColor="text1"/>
                <w:sz w:val="21"/>
                <w:szCs w:val="21"/>
                <w:highlight w:val="none"/>
                <w:vertAlign w:val="subscript"/>
                <w:lang w:val="en-US" w:eastAsia="zh-CN" w:bidi="ar"/>
                <w14:textFill>
                  <w14:solidFill>
                    <w14:schemeClr w14:val="tx1"/>
                  </w14:solidFill>
                </w14:textFill>
              </w:rPr>
              <w:t>3</w:t>
            </w:r>
            <w:r>
              <w:rPr>
                <w:rFonts w:hint="default" w:ascii="Times New Roman" w:hAnsi="Times New Roman" w:cs="Times New Roman" w:eastAsiaTheme="minorEastAsia"/>
                <w:b w:val="0"/>
                <w:bCs w:val="0"/>
                <w:color w:val="000000" w:themeColor="text1"/>
                <w:sz w:val="21"/>
                <w:szCs w:val="21"/>
                <w:highlight w:val="none"/>
                <w:lang w:val="en-US" w:eastAsia="zh-CN" w:bidi="ar"/>
                <w14:textFill>
                  <w14:solidFill>
                    <w14:schemeClr w14:val="tx1"/>
                  </w14:solidFill>
                </w14:textFill>
              </w:rPr>
              <w:t>-N</w:t>
            </w:r>
          </w:p>
        </w:tc>
        <w:tc>
          <w:tcPr>
            <w:tcW w:w="1190" w:type="pct"/>
            <w:tcBorders>
              <w:tl2br w:val="nil"/>
              <w:tr2bl w:val="nil"/>
            </w:tcBorders>
            <w:shd w:val="clear" w:color="auto" w:fill="auto"/>
            <w:vAlign w:val="center"/>
          </w:tcPr>
          <w:p w14:paraId="3885B1E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≤5</w:t>
            </w:r>
          </w:p>
        </w:tc>
        <w:tc>
          <w:tcPr>
            <w:tcW w:w="1140" w:type="pct"/>
            <w:tcBorders>
              <w:tl2br w:val="nil"/>
              <w:tr2bl w:val="nil"/>
            </w:tcBorders>
            <w:shd w:val="clear" w:color="auto" w:fill="auto"/>
            <w:vAlign w:val="center"/>
          </w:tcPr>
          <w:p w14:paraId="30A7888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27.375</w:t>
            </w:r>
          </w:p>
        </w:tc>
      </w:tr>
      <w:tr w14:paraId="731132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769" w:type="pct"/>
            <w:vMerge w:val="continue"/>
            <w:tcBorders>
              <w:tl2br w:val="nil"/>
              <w:tr2bl w:val="nil"/>
            </w:tcBorders>
            <w:shd w:val="clear" w:color="auto" w:fill="auto"/>
            <w:vAlign w:val="center"/>
          </w:tcPr>
          <w:p w14:paraId="4E203F01">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p>
        </w:tc>
        <w:tc>
          <w:tcPr>
            <w:tcW w:w="1101" w:type="pct"/>
            <w:vMerge w:val="continue"/>
            <w:tcBorders>
              <w:tl2br w:val="nil"/>
              <w:tr2bl w:val="nil"/>
            </w:tcBorders>
            <w:shd w:val="clear" w:color="auto" w:fill="auto"/>
            <w:vAlign w:val="center"/>
          </w:tcPr>
          <w:p w14:paraId="7815BDCA">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p>
        </w:tc>
        <w:tc>
          <w:tcPr>
            <w:tcW w:w="798" w:type="pct"/>
            <w:tcBorders>
              <w:tl2br w:val="nil"/>
              <w:tr2bl w:val="nil"/>
            </w:tcBorders>
            <w:shd w:val="clear" w:color="auto" w:fill="auto"/>
            <w:vAlign w:val="center"/>
          </w:tcPr>
          <w:p w14:paraId="16F8DB9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TP</w:t>
            </w:r>
          </w:p>
        </w:tc>
        <w:tc>
          <w:tcPr>
            <w:tcW w:w="1190" w:type="pct"/>
            <w:tcBorders>
              <w:tl2br w:val="nil"/>
              <w:tr2bl w:val="nil"/>
            </w:tcBorders>
            <w:shd w:val="clear" w:color="auto" w:fill="auto"/>
            <w:vAlign w:val="center"/>
          </w:tcPr>
          <w:p w14:paraId="0FC6C4F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≤0.5</w:t>
            </w:r>
          </w:p>
        </w:tc>
        <w:tc>
          <w:tcPr>
            <w:tcW w:w="1140" w:type="pct"/>
            <w:tcBorders>
              <w:tl2br w:val="nil"/>
              <w:tr2bl w:val="nil"/>
            </w:tcBorders>
            <w:shd w:val="clear" w:color="auto" w:fill="auto"/>
            <w:vAlign w:val="center"/>
          </w:tcPr>
          <w:p w14:paraId="5FAC9FF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2.7375</w:t>
            </w:r>
          </w:p>
        </w:tc>
      </w:tr>
      <w:tr w14:paraId="4EDE05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769" w:type="pct"/>
            <w:vMerge w:val="continue"/>
            <w:tcBorders>
              <w:tl2br w:val="nil"/>
              <w:tr2bl w:val="nil"/>
            </w:tcBorders>
            <w:shd w:val="clear" w:color="auto" w:fill="auto"/>
            <w:vAlign w:val="center"/>
          </w:tcPr>
          <w:p w14:paraId="0F215D78">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p>
        </w:tc>
        <w:tc>
          <w:tcPr>
            <w:tcW w:w="1101" w:type="pct"/>
            <w:vMerge w:val="continue"/>
            <w:tcBorders>
              <w:tl2br w:val="nil"/>
              <w:tr2bl w:val="nil"/>
            </w:tcBorders>
            <w:shd w:val="clear" w:color="auto" w:fill="auto"/>
            <w:vAlign w:val="center"/>
          </w:tcPr>
          <w:p w14:paraId="05199022">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p>
        </w:tc>
        <w:tc>
          <w:tcPr>
            <w:tcW w:w="798" w:type="pct"/>
            <w:tcBorders>
              <w:tl2br w:val="nil"/>
              <w:tr2bl w:val="nil"/>
            </w:tcBorders>
            <w:shd w:val="clear" w:color="auto" w:fill="auto"/>
            <w:vAlign w:val="center"/>
          </w:tcPr>
          <w:p w14:paraId="15B1DE2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TN</w:t>
            </w:r>
          </w:p>
        </w:tc>
        <w:tc>
          <w:tcPr>
            <w:tcW w:w="1190" w:type="pct"/>
            <w:tcBorders>
              <w:tl2br w:val="nil"/>
              <w:tr2bl w:val="nil"/>
            </w:tcBorders>
            <w:shd w:val="clear" w:color="auto" w:fill="auto"/>
            <w:vAlign w:val="center"/>
          </w:tcPr>
          <w:p w14:paraId="132DF9B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cs="Times New Roman" w:eastAsiaTheme="minorEastAsia"/>
                <w:b w:val="0"/>
                <w:bCs w:val="0"/>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≤1</w:t>
            </w:r>
            <w:r>
              <w:rPr>
                <w:rFonts w:hint="eastAsia" w:cs="Times New Roman" w:eastAsiaTheme="minorEastAsia"/>
                <w:b w:val="0"/>
                <w:bCs w:val="0"/>
                <w:i w:val="0"/>
                <w:iCs w:val="0"/>
                <w:color w:val="000000" w:themeColor="text1"/>
                <w:kern w:val="0"/>
                <w:sz w:val="21"/>
                <w:szCs w:val="21"/>
                <w:highlight w:val="none"/>
                <w:u w:val="none"/>
                <w:lang w:val="en-US" w:eastAsia="zh-CN" w:bidi="ar"/>
                <w14:textFill>
                  <w14:solidFill>
                    <w14:schemeClr w14:val="tx1"/>
                  </w14:solidFill>
                </w14:textFill>
              </w:rPr>
              <w:t>5</w:t>
            </w:r>
          </w:p>
        </w:tc>
        <w:tc>
          <w:tcPr>
            <w:tcW w:w="1140" w:type="pct"/>
            <w:tcBorders>
              <w:tl2br w:val="nil"/>
              <w:tr2bl w:val="nil"/>
            </w:tcBorders>
            <w:shd w:val="clear" w:color="auto" w:fill="auto"/>
            <w:vAlign w:val="center"/>
          </w:tcPr>
          <w:p w14:paraId="2D61028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cs="Times New Roman" w:eastAsiaTheme="minorEastAsia"/>
                <w:b w:val="0"/>
                <w:bCs w:val="0"/>
                <w:i w:val="0"/>
                <w:iCs w:val="0"/>
                <w:color w:val="000000" w:themeColor="text1"/>
                <w:sz w:val="21"/>
                <w:szCs w:val="21"/>
                <w:highlight w:val="none"/>
                <w:u w:val="none"/>
                <w:lang w:val="en-US"/>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82.13</w:t>
            </w:r>
          </w:p>
        </w:tc>
      </w:tr>
    </w:tbl>
    <w:p w14:paraId="227D2236">
      <w:pPr>
        <w:pStyle w:val="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表5.5-4  地表水环境影响评价自查表</w:t>
      </w:r>
    </w:p>
    <w:tbl>
      <w:tblPr>
        <w:tblStyle w:val="22"/>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942"/>
        <w:gridCol w:w="1123"/>
        <w:gridCol w:w="937"/>
        <w:gridCol w:w="300"/>
        <w:gridCol w:w="178"/>
        <w:gridCol w:w="359"/>
        <w:gridCol w:w="559"/>
        <w:gridCol w:w="789"/>
        <w:gridCol w:w="299"/>
        <w:gridCol w:w="626"/>
        <w:gridCol w:w="372"/>
        <w:gridCol w:w="570"/>
        <w:gridCol w:w="1286"/>
      </w:tblGrid>
      <w:tr w14:paraId="1238A7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1238" w:type="pct"/>
            <w:gridSpan w:val="2"/>
            <w:tcBorders>
              <w:tl2br w:val="nil"/>
              <w:tr2bl w:val="nil"/>
            </w:tcBorders>
            <w:noWrap w:val="0"/>
            <w:vAlign w:val="center"/>
          </w:tcPr>
          <w:p w14:paraId="5FA71F1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工作内容</w:t>
            </w:r>
          </w:p>
        </w:tc>
        <w:tc>
          <w:tcPr>
            <w:tcW w:w="3761" w:type="pct"/>
            <w:gridSpan w:val="11"/>
            <w:tcBorders>
              <w:tl2br w:val="nil"/>
              <w:tr2bl w:val="nil"/>
            </w:tcBorders>
            <w:noWrap w:val="0"/>
            <w:vAlign w:val="center"/>
          </w:tcPr>
          <w:p w14:paraId="16554C4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自查项目</w:t>
            </w:r>
          </w:p>
        </w:tc>
      </w:tr>
      <w:tr w14:paraId="189AE1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restart"/>
            <w:tcBorders>
              <w:tl2br w:val="nil"/>
              <w:tr2bl w:val="nil"/>
            </w:tcBorders>
            <w:noWrap w:val="0"/>
            <w:vAlign w:val="center"/>
          </w:tcPr>
          <w:p w14:paraId="581195C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影响识别</w:t>
            </w:r>
          </w:p>
        </w:tc>
        <w:tc>
          <w:tcPr>
            <w:tcW w:w="672" w:type="pct"/>
            <w:tcBorders>
              <w:tl2br w:val="nil"/>
              <w:tr2bl w:val="nil"/>
            </w:tcBorders>
            <w:noWrap w:val="0"/>
            <w:vAlign w:val="center"/>
          </w:tcPr>
          <w:p w14:paraId="699D2DF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影响类型</w:t>
            </w:r>
          </w:p>
        </w:tc>
        <w:tc>
          <w:tcPr>
            <w:tcW w:w="3761" w:type="pct"/>
            <w:gridSpan w:val="11"/>
            <w:tcBorders>
              <w:tl2br w:val="nil"/>
              <w:tr2bl w:val="nil"/>
            </w:tcBorders>
            <w:noWrap w:val="0"/>
            <w:vAlign w:val="center"/>
          </w:tcPr>
          <w:p w14:paraId="74A37FD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水污染影响型</w:t>
            </w: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；水文要素影响型</w:t>
            </w: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w:t>
            </w:r>
          </w:p>
        </w:tc>
      </w:tr>
      <w:tr w14:paraId="2796B1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12138E7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tcBorders>
              <w:tl2br w:val="nil"/>
              <w:tr2bl w:val="nil"/>
            </w:tcBorders>
            <w:noWrap w:val="0"/>
            <w:vAlign w:val="center"/>
          </w:tcPr>
          <w:p w14:paraId="21076F1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水环境保护目标</w:t>
            </w:r>
          </w:p>
        </w:tc>
        <w:tc>
          <w:tcPr>
            <w:tcW w:w="3761" w:type="pct"/>
            <w:gridSpan w:val="11"/>
            <w:tcBorders>
              <w:tl2br w:val="nil"/>
              <w:tr2bl w:val="nil"/>
            </w:tcBorders>
            <w:noWrap w:val="0"/>
            <w:vAlign w:val="center"/>
          </w:tcPr>
          <w:p w14:paraId="22D679F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饮用水水源保护区</w:t>
            </w: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 xml:space="preserve"> </w:t>
            </w:r>
            <w:r>
              <w:rPr>
                <w:rFonts w:hint="eastAsia"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；饮用水取水口</w:t>
            </w: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w:t>
            </w:r>
          </w:p>
          <w:p w14:paraId="2805976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涉水的自然保护区 </w:t>
            </w:r>
            <w:r>
              <w:rPr>
                <w:rFonts w:hint="eastAsia"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；重要湿地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p>
          <w:p w14:paraId="229B893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eastAsia" w:cs="Times New Roman"/>
                <w:color w:val="000000" w:themeColor="text1"/>
                <w:spacing w:val="-2"/>
                <w:sz w:val="21"/>
                <w:szCs w:val="21"/>
                <w:highlight w:val="none"/>
                <w:lang w:eastAsia="zh-CN"/>
                <w14:textFill>
                  <w14:solidFill>
                    <w14:schemeClr w14:val="tx1"/>
                  </w14:solidFill>
                </w14:textFill>
              </w:rPr>
              <w:t>重点保护</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珍稀水生生物的栖息地</w:t>
            </w: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□；重要水生生物的自然产卵场及索饵场、越冬场和洄游通道、天然渔场等渔业水体 □；涉水的风景名胜区 □ ；其他</w:t>
            </w: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 xml:space="preserve"> </w:t>
            </w:r>
            <w:r>
              <w:rPr>
                <w:rFonts w:hint="eastAsia" w:cs="Times New Roman"/>
                <w:color w:val="000000" w:themeColor="text1"/>
                <w:spacing w:val="-2"/>
                <w:sz w:val="21"/>
                <w:szCs w:val="21"/>
                <w:highlight w:val="none"/>
                <w:lang w:eastAsia="zh-CN"/>
                <w14:textFill>
                  <w14:solidFill>
                    <w14:schemeClr w14:val="tx1"/>
                  </w14:solidFill>
                </w14:textFill>
              </w:rPr>
              <w:t>☑</w:t>
            </w:r>
          </w:p>
        </w:tc>
      </w:tr>
      <w:tr w14:paraId="311056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60D9910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vMerge w:val="restart"/>
            <w:tcBorders>
              <w:tl2br w:val="nil"/>
              <w:tr2bl w:val="nil"/>
            </w:tcBorders>
            <w:noWrap w:val="0"/>
            <w:vAlign w:val="center"/>
          </w:tcPr>
          <w:p w14:paraId="2646E16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影响途径</w:t>
            </w:r>
          </w:p>
        </w:tc>
        <w:tc>
          <w:tcPr>
            <w:tcW w:w="1399" w:type="pct"/>
            <w:gridSpan w:val="5"/>
            <w:tcBorders>
              <w:tl2br w:val="nil"/>
              <w:tr2bl w:val="nil"/>
            </w:tcBorders>
            <w:noWrap w:val="0"/>
            <w:vAlign w:val="center"/>
          </w:tcPr>
          <w:p w14:paraId="5716144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水污染影响型</w:t>
            </w:r>
          </w:p>
        </w:tc>
        <w:tc>
          <w:tcPr>
            <w:tcW w:w="2361" w:type="pct"/>
            <w:gridSpan w:val="6"/>
            <w:tcBorders>
              <w:tl2br w:val="nil"/>
              <w:tr2bl w:val="nil"/>
            </w:tcBorders>
            <w:noWrap w:val="0"/>
            <w:vAlign w:val="center"/>
          </w:tcPr>
          <w:p w14:paraId="47B1DAC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水文要素影响型</w:t>
            </w:r>
          </w:p>
        </w:tc>
      </w:tr>
      <w:tr w14:paraId="094211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0" w:hRule="atLeast"/>
        </w:trPr>
        <w:tc>
          <w:tcPr>
            <w:tcW w:w="565" w:type="pct"/>
            <w:vMerge w:val="continue"/>
            <w:tcBorders>
              <w:tl2br w:val="nil"/>
              <w:tr2bl w:val="nil"/>
            </w:tcBorders>
            <w:noWrap w:val="0"/>
            <w:textDirection w:val="tbRlV"/>
            <w:vAlign w:val="center"/>
          </w:tcPr>
          <w:p w14:paraId="2095C01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vMerge w:val="continue"/>
            <w:tcBorders>
              <w:tl2br w:val="nil"/>
              <w:tr2bl w:val="nil"/>
            </w:tcBorders>
            <w:noWrap w:val="0"/>
            <w:vAlign w:val="center"/>
          </w:tcPr>
          <w:p w14:paraId="6B1AECE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1399" w:type="pct"/>
            <w:gridSpan w:val="5"/>
            <w:tcBorders>
              <w:tl2br w:val="nil"/>
              <w:tr2bl w:val="nil"/>
            </w:tcBorders>
            <w:noWrap w:val="0"/>
            <w:vAlign w:val="center"/>
          </w:tcPr>
          <w:p w14:paraId="65B74F4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直接排放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 ；间接排放 □ ；其他 □</w:t>
            </w:r>
          </w:p>
        </w:tc>
        <w:tc>
          <w:tcPr>
            <w:tcW w:w="2361" w:type="pct"/>
            <w:gridSpan w:val="6"/>
            <w:tcBorders>
              <w:tl2br w:val="nil"/>
              <w:tr2bl w:val="nil"/>
            </w:tcBorders>
            <w:noWrap w:val="0"/>
            <w:vAlign w:val="center"/>
          </w:tcPr>
          <w:p w14:paraId="33C1606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水温 □ ；径流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 ；水域面积 □</w:t>
            </w:r>
          </w:p>
        </w:tc>
      </w:tr>
      <w:tr w14:paraId="1607CF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78F57F7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tcBorders>
              <w:tl2br w:val="nil"/>
              <w:tr2bl w:val="nil"/>
            </w:tcBorders>
            <w:noWrap w:val="0"/>
            <w:vAlign w:val="center"/>
          </w:tcPr>
          <w:p w14:paraId="7F3A5DB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影响因子</w:t>
            </w:r>
          </w:p>
        </w:tc>
        <w:tc>
          <w:tcPr>
            <w:tcW w:w="1399" w:type="pct"/>
            <w:gridSpan w:val="5"/>
            <w:tcBorders>
              <w:tl2br w:val="nil"/>
              <w:tr2bl w:val="nil"/>
            </w:tcBorders>
            <w:noWrap w:val="0"/>
            <w:vAlign w:val="center"/>
          </w:tcPr>
          <w:p w14:paraId="43541B9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持久性污染物 □ ；有毒有害污染物 </w:t>
            </w:r>
            <w:r>
              <w:rPr>
                <w:rFonts w:hint="eastAsia"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；非持久性污染物 </w:t>
            </w:r>
            <w:r>
              <w:rPr>
                <w:rFonts w:hint="eastAsia"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pH值 </w:t>
            </w:r>
            <w:r>
              <w:rPr>
                <w:rFonts w:hint="eastAsia"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；热污染</w:t>
            </w: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□；富营养化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；其他 □</w:t>
            </w:r>
          </w:p>
        </w:tc>
        <w:tc>
          <w:tcPr>
            <w:tcW w:w="2361" w:type="pct"/>
            <w:gridSpan w:val="6"/>
            <w:tcBorders>
              <w:tl2br w:val="nil"/>
              <w:tr2bl w:val="nil"/>
            </w:tcBorders>
            <w:noWrap w:val="0"/>
            <w:vAlign w:val="center"/>
          </w:tcPr>
          <w:p w14:paraId="2EA16F6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水温 □；水位（水深） □；流速 □；流量 □；其他 □</w:t>
            </w:r>
          </w:p>
        </w:tc>
      </w:tr>
      <w:tr w14:paraId="3E33B1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1238" w:type="pct"/>
            <w:gridSpan w:val="2"/>
            <w:vMerge w:val="restart"/>
            <w:tcBorders>
              <w:tl2br w:val="nil"/>
              <w:tr2bl w:val="nil"/>
            </w:tcBorders>
            <w:noWrap w:val="0"/>
            <w:vAlign w:val="center"/>
          </w:tcPr>
          <w:p w14:paraId="08DD35C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评价等级</w:t>
            </w:r>
          </w:p>
        </w:tc>
        <w:tc>
          <w:tcPr>
            <w:tcW w:w="1399" w:type="pct"/>
            <w:gridSpan w:val="5"/>
            <w:tcBorders>
              <w:tl2br w:val="nil"/>
              <w:tr2bl w:val="nil"/>
            </w:tcBorders>
            <w:noWrap w:val="0"/>
            <w:vAlign w:val="center"/>
          </w:tcPr>
          <w:p w14:paraId="47F248C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水污染影响型</w:t>
            </w:r>
          </w:p>
        </w:tc>
        <w:tc>
          <w:tcPr>
            <w:tcW w:w="2361" w:type="pct"/>
            <w:gridSpan w:val="6"/>
            <w:tcBorders>
              <w:tl2br w:val="nil"/>
              <w:tr2bl w:val="nil"/>
            </w:tcBorders>
            <w:noWrap w:val="0"/>
            <w:vAlign w:val="center"/>
          </w:tcPr>
          <w:p w14:paraId="1FB20D5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水文要素影响型</w:t>
            </w:r>
          </w:p>
        </w:tc>
      </w:tr>
      <w:tr w14:paraId="1CAD5A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1238" w:type="pct"/>
            <w:gridSpan w:val="2"/>
            <w:vMerge w:val="continue"/>
            <w:tcBorders>
              <w:tl2br w:val="nil"/>
              <w:tr2bl w:val="nil"/>
            </w:tcBorders>
            <w:noWrap w:val="0"/>
            <w:vAlign w:val="center"/>
          </w:tcPr>
          <w:p w14:paraId="3F998FE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1399" w:type="pct"/>
            <w:gridSpan w:val="5"/>
            <w:tcBorders>
              <w:tl2br w:val="nil"/>
              <w:tr2bl w:val="nil"/>
            </w:tcBorders>
            <w:noWrap w:val="0"/>
            <w:vAlign w:val="center"/>
          </w:tcPr>
          <w:p w14:paraId="549D45B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一级 </w:t>
            </w:r>
            <w:r>
              <w:rPr>
                <w:rFonts w:hint="eastAsia"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；二级 </w:t>
            </w:r>
            <w:r>
              <w:rPr>
                <w:rFonts w:hint="eastAsia"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；三级A □；三级B □</w:t>
            </w:r>
          </w:p>
        </w:tc>
        <w:tc>
          <w:tcPr>
            <w:tcW w:w="2361" w:type="pct"/>
            <w:gridSpan w:val="6"/>
            <w:tcBorders>
              <w:tl2br w:val="nil"/>
              <w:tr2bl w:val="nil"/>
            </w:tcBorders>
            <w:noWrap w:val="0"/>
            <w:vAlign w:val="center"/>
          </w:tcPr>
          <w:p w14:paraId="342A082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一级 □；二级 □；三级 □</w:t>
            </w:r>
          </w:p>
        </w:tc>
      </w:tr>
      <w:tr w14:paraId="5DCCC1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restart"/>
            <w:tcBorders>
              <w:tl2br w:val="nil"/>
              <w:tr2bl w:val="nil"/>
            </w:tcBorders>
            <w:noWrap w:val="0"/>
            <w:vAlign w:val="center"/>
          </w:tcPr>
          <w:p w14:paraId="5D98912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现状调查</w:t>
            </w:r>
          </w:p>
        </w:tc>
        <w:tc>
          <w:tcPr>
            <w:tcW w:w="672" w:type="pct"/>
            <w:vMerge w:val="restart"/>
            <w:tcBorders>
              <w:tl2br w:val="nil"/>
              <w:tr2bl w:val="nil"/>
            </w:tcBorders>
            <w:noWrap w:val="0"/>
            <w:vAlign w:val="center"/>
          </w:tcPr>
          <w:p w14:paraId="72EA613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区域污染源</w:t>
            </w:r>
          </w:p>
        </w:tc>
        <w:tc>
          <w:tcPr>
            <w:tcW w:w="1399" w:type="pct"/>
            <w:gridSpan w:val="5"/>
            <w:tcBorders>
              <w:tl2br w:val="nil"/>
              <w:tr2bl w:val="nil"/>
            </w:tcBorders>
            <w:noWrap w:val="0"/>
            <w:vAlign w:val="center"/>
          </w:tcPr>
          <w:p w14:paraId="40E6645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调查项目</w:t>
            </w:r>
          </w:p>
        </w:tc>
        <w:tc>
          <w:tcPr>
            <w:tcW w:w="2361" w:type="pct"/>
            <w:gridSpan w:val="6"/>
            <w:tcBorders>
              <w:tl2br w:val="nil"/>
              <w:tr2bl w:val="nil"/>
            </w:tcBorders>
            <w:noWrap w:val="0"/>
            <w:vAlign w:val="center"/>
          </w:tcPr>
          <w:p w14:paraId="7333F76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数据来源</w:t>
            </w:r>
          </w:p>
        </w:tc>
      </w:tr>
      <w:tr w14:paraId="4AE47C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31C869E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vMerge w:val="continue"/>
            <w:tcBorders>
              <w:tl2br w:val="nil"/>
              <w:tr2bl w:val="nil"/>
            </w:tcBorders>
            <w:noWrap w:val="0"/>
            <w:vAlign w:val="center"/>
          </w:tcPr>
          <w:p w14:paraId="388F80F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742" w:type="pct"/>
            <w:gridSpan w:val="2"/>
            <w:tcBorders>
              <w:tl2br w:val="nil"/>
              <w:tr2bl w:val="nil"/>
            </w:tcBorders>
            <w:noWrap w:val="0"/>
            <w:vAlign w:val="center"/>
          </w:tcPr>
          <w:p w14:paraId="7C1D728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已建 </w:t>
            </w:r>
            <w:r>
              <w:rPr>
                <w:rFonts w:hint="eastAsia"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；在建 </w:t>
            </w:r>
            <w:r>
              <w:rPr>
                <w:rFonts w:hint="eastAsia"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；拟建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其他 □</w:t>
            </w:r>
          </w:p>
        </w:tc>
        <w:tc>
          <w:tcPr>
            <w:tcW w:w="657" w:type="pct"/>
            <w:gridSpan w:val="3"/>
            <w:tcBorders>
              <w:tl2br w:val="nil"/>
              <w:tr2bl w:val="nil"/>
            </w:tcBorders>
            <w:noWrap w:val="0"/>
            <w:vAlign w:val="center"/>
          </w:tcPr>
          <w:p w14:paraId="55AD91A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拟替代的污染源</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p>
        </w:tc>
        <w:tc>
          <w:tcPr>
            <w:tcW w:w="2361" w:type="pct"/>
            <w:gridSpan w:val="6"/>
            <w:tcBorders>
              <w:tl2br w:val="nil"/>
              <w:tr2bl w:val="nil"/>
            </w:tcBorders>
            <w:noWrap w:val="0"/>
            <w:vAlign w:val="center"/>
          </w:tcPr>
          <w:p w14:paraId="3212B0F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排污许可证 </w:t>
            </w:r>
            <w:r>
              <w:rPr>
                <w:rFonts w:hint="eastAsia"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；环评 □；环保验收 □；既有实测 □；现场监测 </w:t>
            </w:r>
            <w:r>
              <w:rPr>
                <w:rFonts w:hint="eastAsia"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；入河排放口数据 </w:t>
            </w:r>
            <w:r>
              <w:rPr>
                <w:rFonts w:hint="eastAsia"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；其他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p>
        </w:tc>
      </w:tr>
      <w:tr w14:paraId="5EB748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7F5AA9A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vMerge w:val="restart"/>
            <w:tcBorders>
              <w:tl2br w:val="nil"/>
              <w:tr2bl w:val="nil"/>
            </w:tcBorders>
            <w:noWrap w:val="0"/>
            <w:vAlign w:val="center"/>
          </w:tcPr>
          <w:p w14:paraId="2767777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受影响水体水环境质量</w:t>
            </w:r>
          </w:p>
        </w:tc>
        <w:tc>
          <w:tcPr>
            <w:tcW w:w="1399" w:type="pct"/>
            <w:gridSpan w:val="5"/>
            <w:tcBorders>
              <w:tl2br w:val="nil"/>
              <w:tr2bl w:val="nil"/>
            </w:tcBorders>
            <w:noWrap w:val="0"/>
            <w:vAlign w:val="center"/>
          </w:tcPr>
          <w:p w14:paraId="03B18BA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调查时期</w:t>
            </w:r>
          </w:p>
        </w:tc>
        <w:tc>
          <w:tcPr>
            <w:tcW w:w="2361" w:type="pct"/>
            <w:gridSpan w:val="6"/>
            <w:tcBorders>
              <w:tl2br w:val="nil"/>
              <w:tr2bl w:val="nil"/>
            </w:tcBorders>
            <w:noWrap w:val="0"/>
            <w:vAlign w:val="center"/>
          </w:tcPr>
          <w:p w14:paraId="6F838AB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数据来源</w:t>
            </w:r>
          </w:p>
        </w:tc>
      </w:tr>
      <w:tr w14:paraId="2E7459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02AD7CD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vMerge w:val="continue"/>
            <w:tcBorders>
              <w:tl2br w:val="nil"/>
              <w:tr2bl w:val="nil"/>
            </w:tcBorders>
            <w:noWrap w:val="0"/>
            <w:vAlign w:val="center"/>
          </w:tcPr>
          <w:p w14:paraId="500E109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1399" w:type="pct"/>
            <w:gridSpan w:val="5"/>
            <w:tcBorders>
              <w:tl2br w:val="nil"/>
              <w:tr2bl w:val="nil"/>
            </w:tcBorders>
            <w:noWrap w:val="0"/>
            <w:vAlign w:val="center"/>
          </w:tcPr>
          <w:p w14:paraId="4AA363D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丰水期 </w:t>
            </w:r>
            <w:r>
              <w:rPr>
                <w:rFonts w:hint="eastAsia"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；平水期 □；枯水期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；冰封期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p>
          <w:p w14:paraId="3B034DB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春季 □；夏季 □；秋季 □；冬季 □</w:t>
            </w:r>
          </w:p>
        </w:tc>
        <w:tc>
          <w:tcPr>
            <w:tcW w:w="2361" w:type="pct"/>
            <w:gridSpan w:val="6"/>
            <w:tcBorders>
              <w:tl2br w:val="nil"/>
              <w:tr2bl w:val="nil"/>
            </w:tcBorders>
            <w:noWrap w:val="0"/>
            <w:vAlign w:val="center"/>
          </w:tcPr>
          <w:p w14:paraId="5D0BB84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生态环境保护主管部门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；补充监测 □；其他 □</w:t>
            </w:r>
          </w:p>
        </w:tc>
      </w:tr>
      <w:tr w14:paraId="25F564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079A051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tcBorders>
              <w:tl2br w:val="nil"/>
              <w:tr2bl w:val="nil"/>
            </w:tcBorders>
            <w:noWrap w:val="0"/>
            <w:vAlign w:val="center"/>
          </w:tcPr>
          <w:p w14:paraId="341DF2B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区域水资源开发利用状况</w:t>
            </w:r>
          </w:p>
        </w:tc>
        <w:tc>
          <w:tcPr>
            <w:tcW w:w="3761" w:type="pct"/>
            <w:gridSpan w:val="11"/>
            <w:tcBorders>
              <w:tl2br w:val="nil"/>
              <w:tr2bl w:val="nil"/>
            </w:tcBorders>
            <w:noWrap w:val="0"/>
            <w:vAlign w:val="center"/>
          </w:tcPr>
          <w:p w14:paraId="53E1DBF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未开发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；开发量40%以下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；开发量40%以上 □</w:t>
            </w:r>
          </w:p>
        </w:tc>
      </w:tr>
      <w:tr w14:paraId="6CC67F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3E02BA7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vMerge w:val="restart"/>
            <w:tcBorders>
              <w:tl2br w:val="nil"/>
              <w:tr2bl w:val="nil"/>
            </w:tcBorders>
            <w:noWrap w:val="0"/>
            <w:vAlign w:val="center"/>
          </w:tcPr>
          <w:p w14:paraId="2021D54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水文情势调查</w:t>
            </w:r>
          </w:p>
        </w:tc>
        <w:tc>
          <w:tcPr>
            <w:tcW w:w="1399" w:type="pct"/>
            <w:gridSpan w:val="5"/>
            <w:tcBorders>
              <w:tl2br w:val="nil"/>
              <w:tr2bl w:val="nil"/>
            </w:tcBorders>
            <w:noWrap w:val="0"/>
            <w:vAlign w:val="center"/>
          </w:tcPr>
          <w:p w14:paraId="0831721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调查时期</w:t>
            </w:r>
          </w:p>
        </w:tc>
        <w:tc>
          <w:tcPr>
            <w:tcW w:w="2361" w:type="pct"/>
            <w:gridSpan w:val="6"/>
            <w:tcBorders>
              <w:tl2br w:val="nil"/>
              <w:tr2bl w:val="nil"/>
            </w:tcBorders>
            <w:noWrap w:val="0"/>
            <w:vAlign w:val="center"/>
          </w:tcPr>
          <w:p w14:paraId="1C59188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数据来源</w:t>
            </w:r>
          </w:p>
        </w:tc>
      </w:tr>
      <w:tr w14:paraId="1A3221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vAlign w:val="center"/>
          </w:tcPr>
          <w:p w14:paraId="5C79688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vMerge w:val="continue"/>
            <w:tcBorders>
              <w:tl2br w:val="nil"/>
              <w:tr2bl w:val="nil"/>
            </w:tcBorders>
            <w:noWrap w:val="0"/>
            <w:vAlign w:val="center"/>
          </w:tcPr>
          <w:p w14:paraId="09E6741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1399" w:type="pct"/>
            <w:gridSpan w:val="5"/>
            <w:tcBorders>
              <w:tl2br w:val="nil"/>
              <w:tr2bl w:val="nil"/>
            </w:tcBorders>
            <w:noWrap w:val="0"/>
            <w:vAlign w:val="center"/>
          </w:tcPr>
          <w:p w14:paraId="03B7B6A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丰水期 </w:t>
            </w:r>
            <w:r>
              <w:rPr>
                <w:rFonts w:hint="eastAsia"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；平水期 □；枯水期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；冰封期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春季 □；夏季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；秋季 □；冬季 □</w:t>
            </w:r>
          </w:p>
        </w:tc>
        <w:tc>
          <w:tcPr>
            <w:tcW w:w="2361" w:type="pct"/>
            <w:gridSpan w:val="6"/>
            <w:tcBorders>
              <w:tl2br w:val="nil"/>
              <w:tr2bl w:val="nil"/>
            </w:tcBorders>
            <w:noWrap w:val="0"/>
            <w:vAlign w:val="center"/>
          </w:tcPr>
          <w:p w14:paraId="31A2AB5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水行政主管部门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 ；补充监测 </w:t>
            </w:r>
            <w:r>
              <w:rPr>
                <w:rFonts w:hint="eastAsia"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 ；其他 □</w:t>
            </w:r>
          </w:p>
        </w:tc>
      </w:tr>
      <w:tr w14:paraId="4C7B32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vAlign w:val="center"/>
          </w:tcPr>
          <w:p w14:paraId="7081C21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vMerge w:val="restart"/>
            <w:tcBorders>
              <w:tl2br w:val="nil"/>
              <w:tr2bl w:val="nil"/>
            </w:tcBorders>
            <w:noWrap w:val="0"/>
            <w:vAlign w:val="center"/>
          </w:tcPr>
          <w:p w14:paraId="6F7E541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补充监测</w:t>
            </w:r>
          </w:p>
        </w:tc>
        <w:tc>
          <w:tcPr>
            <w:tcW w:w="1399" w:type="pct"/>
            <w:gridSpan w:val="5"/>
            <w:tcBorders>
              <w:tl2br w:val="nil"/>
              <w:tr2bl w:val="nil"/>
            </w:tcBorders>
            <w:noWrap w:val="0"/>
            <w:vAlign w:val="center"/>
          </w:tcPr>
          <w:p w14:paraId="510C322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监测时期</w:t>
            </w:r>
          </w:p>
        </w:tc>
        <w:tc>
          <w:tcPr>
            <w:tcW w:w="1250" w:type="pct"/>
            <w:gridSpan w:val="4"/>
            <w:tcBorders>
              <w:tl2br w:val="nil"/>
              <w:tr2bl w:val="nil"/>
            </w:tcBorders>
            <w:noWrap w:val="0"/>
            <w:vAlign w:val="center"/>
          </w:tcPr>
          <w:p w14:paraId="7554C9E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监测因子</w:t>
            </w:r>
          </w:p>
        </w:tc>
        <w:tc>
          <w:tcPr>
            <w:tcW w:w="1111" w:type="pct"/>
            <w:gridSpan w:val="2"/>
            <w:tcBorders>
              <w:tl2br w:val="nil"/>
              <w:tr2bl w:val="nil"/>
            </w:tcBorders>
            <w:noWrap w:val="0"/>
            <w:vAlign w:val="center"/>
          </w:tcPr>
          <w:p w14:paraId="0F1BFE2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监测断面或点位</w:t>
            </w:r>
          </w:p>
        </w:tc>
      </w:tr>
      <w:tr w14:paraId="5FE3BF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vAlign w:val="center"/>
          </w:tcPr>
          <w:p w14:paraId="1EC0996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vMerge w:val="continue"/>
            <w:tcBorders>
              <w:tl2br w:val="nil"/>
              <w:tr2bl w:val="nil"/>
            </w:tcBorders>
            <w:noWrap w:val="0"/>
            <w:vAlign w:val="center"/>
          </w:tcPr>
          <w:p w14:paraId="70C7531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1399" w:type="pct"/>
            <w:gridSpan w:val="5"/>
            <w:tcBorders>
              <w:tl2br w:val="nil"/>
              <w:tr2bl w:val="nil"/>
            </w:tcBorders>
            <w:noWrap w:val="0"/>
            <w:vAlign w:val="center"/>
          </w:tcPr>
          <w:p w14:paraId="5CE9C29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丰水期 </w:t>
            </w:r>
            <w:r>
              <w:rPr>
                <w:rFonts w:hint="eastAsia"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；平水期 □；枯水期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；冰封期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春季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；夏季 □；秋季 □；冬季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p>
        </w:tc>
        <w:tc>
          <w:tcPr>
            <w:tcW w:w="1250" w:type="pct"/>
            <w:gridSpan w:val="4"/>
            <w:tcBorders>
              <w:tl2br w:val="nil"/>
              <w:tr2bl w:val="nil"/>
            </w:tcBorders>
            <w:noWrap w:val="0"/>
            <w:vAlign w:val="center"/>
          </w:tcPr>
          <w:p w14:paraId="4C85855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eastAsia" w:eastAsia="宋体" w:cs="Times New Roman"/>
                <w:color w:val="000000" w:themeColor="text1"/>
                <w:sz w:val="21"/>
                <w:szCs w:val="21"/>
                <w:highlight w:val="none"/>
                <w:lang w:val="en-US" w:eastAsia="zh-CN"/>
                <w14:textFill>
                  <w14:solidFill>
                    <w14:schemeClr w14:val="tx1"/>
                  </w14:solidFill>
                </w14:textFill>
              </w:rPr>
              <w:t>/</w:t>
            </w:r>
          </w:p>
        </w:tc>
        <w:tc>
          <w:tcPr>
            <w:tcW w:w="1111" w:type="pct"/>
            <w:gridSpan w:val="2"/>
            <w:tcBorders>
              <w:tl2br w:val="nil"/>
              <w:tr2bl w:val="nil"/>
            </w:tcBorders>
            <w:noWrap w:val="0"/>
            <w:vAlign w:val="center"/>
          </w:tcPr>
          <w:p w14:paraId="1D90A0F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eastAsia="宋体" w:cs="Times New Roman"/>
                <w:color w:val="000000" w:themeColor="text1"/>
                <w:spacing w:val="-1"/>
                <w:sz w:val="21"/>
                <w:szCs w:val="21"/>
                <w:highlight w:val="none"/>
                <w:lang w:val="en-US" w:eastAsia="zh-CN"/>
                <w14:textFill>
                  <w14:solidFill>
                    <w14:schemeClr w14:val="tx1"/>
                  </w14:solidFill>
                </w14:textFill>
              </w:rPr>
              <w:t>/</w:t>
            </w:r>
          </w:p>
        </w:tc>
      </w:tr>
      <w:tr w14:paraId="25D2B6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restart"/>
            <w:tcBorders>
              <w:tl2br w:val="nil"/>
              <w:tr2bl w:val="nil"/>
            </w:tcBorders>
            <w:noWrap w:val="0"/>
            <w:vAlign w:val="center"/>
          </w:tcPr>
          <w:p w14:paraId="47BEB73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现状评价</w:t>
            </w:r>
          </w:p>
        </w:tc>
        <w:tc>
          <w:tcPr>
            <w:tcW w:w="672" w:type="pct"/>
            <w:tcBorders>
              <w:tl2br w:val="nil"/>
              <w:tr2bl w:val="nil"/>
            </w:tcBorders>
            <w:noWrap w:val="0"/>
            <w:vAlign w:val="center"/>
          </w:tcPr>
          <w:p w14:paraId="43EAA21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评价范围</w:t>
            </w:r>
          </w:p>
        </w:tc>
        <w:tc>
          <w:tcPr>
            <w:tcW w:w="3761" w:type="pct"/>
            <w:gridSpan w:val="11"/>
            <w:tcBorders>
              <w:tl2br w:val="nil"/>
              <w:tr2bl w:val="nil"/>
            </w:tcBorders>
            <w:noWrap w:val="0"/>
            <w:vAlign w:val="center"/>
          </w:tcPr>
          <w:p w14:paraId="5D31D27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河流：长度64.178km；湖库、河口及近岸海域：面积（   ）km2</w:t>
            </w:r>
          </w:p>
        </w:tc>
      </w:tr>
      <w:tr w14:paraId="6AB929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6DECA78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tcBorders>
              <w:tl2br w:val="nil"/>
              <w:tr2bl w:val="nil"/>
            </w:tcBorders>
            <w:noWrap w:val="0"/>
            <w:vAlign w:val="center"/>
          </w:tcPr>
          <w:p w14:paraId="64973A0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评价因子</w:t>
            </w:r>
          </w:p>
        </w:tc>
        <w:tc>
          <w:tcPr>
            <w:tcW w:w="3761" w:type="pct"/>
            <w:gridSpan w:val="11"/>
            <w:tcBorders>
              <w:tl2br w:val="nil"/>
              <w:tr2bl w:val="nil"/>
            </w:tcBorders>
            <w:noWrap w:val="0"/>
            <w:vAlign w:val="center"/>
          </w:tcPr>
          <w:p w14:paraId="39A26D6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pH、COD、氨氮、高锰酸盐指数、总磷、总氮</w:t>
            </w:r>
          </w:p>
        </w:tc>
      </w:tr>
      <w:tr w14:paraId="4B19D1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6FAB2AD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tcBorders>
              <w:tl2br w:val="nil"/>
              <w:tr2bl w:val="nil"/>
            </w:tcBorders>
            <w:noWrap w:val="0"/>
            <w:vAlign w:val="center"/>
          </w:tcPr>
          <w:p w14:paraId="21B70D5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评价标准</w:t>
            </w:r>
          </w:p>
        </w:tc>
        <w:tc>
          <w:tcPr>
            <w:tcW w:w="3761" w:type="pct"/>
            <w:gridSpan w:val="11"/>
            <w:tcBorders>
              <w:tl2br w:val="nil"/>
              <w:tr2bl w:val="nil"/>
            </w:tcBorders>
            <w:noWrap w:val="0"/>
            <w:vAlign w:val="center"/>
          </w:tcPr>
          <w:p w14:paraId="4289401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河流、湖库、河口：Ⅰ类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Ⅱ类 </w:t>
            </w:r>
            <w:r>
              <w:rPr>
                <w:rFonts w:hint="eastAsia"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Ⅲ类 </w:t>
            </w:r>
            <w:r>
              <w:rPr>
                <w:rFonts w:hint="eastAsia"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 Ⅳ类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Ⅴ类 </w:t>
            </w:r>
            <w:r>
              <w:rPr>
                <w:rFonts w:hint="eastAsia" w:eastAsia="宋体" w:cs="Times New Roman"/>
                <w:color w:val="000000" w:themeColor="text1"/>
                <w:spacing w:val="-2"/>
                <w:sz w:val="21"/>
                <w:szCs w:val="21"/>
                <w:highlight w:val="none"/>
                <w:lang w:eastAsia="zh-CN"/>
                <w14:textFill>
                  <w14:solidFill>
                    <w14:schemeClr w14:val="tx1"/>
                  </w14:solidFill>
                </w14:textFill>
              </w:rPr>
              <w:t>☑</w:t>
            </w:r>
          </w:p>
          <w:p w14:paraId="5A832C2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近岸海域：第一类 □；第二类 □；第三类 □；第四类 □</w:t>
            </w:r>
          </w:p>
          <w:p w14:paraId="1A4A53F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规划年评价标准</w:t>
            </w:r>
            <w:r>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《地表水环境质量标准》</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GB3838</w:t>
            </w: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2002</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eastAsia" w:cs="Times New Roman"/>
                <w:color w:val="000000" w:themeColor="text1"/>
                <w:spacing w:val="-2"/>
                <w:sz w:val="21"/>
                <w:szCs w:val="21"/>
                <w:highlight w:val="none"/>
                <w:lang w:val="en-US" w:eastAsia="zh-CN"/>
                <w14:textFill>
                  <w14:solidFill>
                    <w14:schemeClr w14:val="tx1"/>
                  </w14:solidFill>
                </w14:textFill>
              </w:rPr>
              <w:t>V</w:t>
            </w:r>
            <w:r>
              <w:rPr>
                <w:rFonts w:hint="eastAsia" w:cs="Times New Roman"/>
                <w:color w:val="000000" w:themeColor="text1"/>
                <w:spacing w:val="-2"/>
                <w:sz w:val="21"/>
                <w:szCs w:val="21"/>
                <w:highlight w:val="none"/>
                <w:lang w:eastAsia="zh-CN"/>
                <w14:textFill>
                  <w14:solidFill>
                    <w14:schemeClr w14:val="tx1"/>
                  </w14:solidFill>
                </w14:textFill>
              </w:rPr>
              <w:t>类</w:t>
            </w:r>
            <w:r>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p>
        </w:tc>
      </w:tr>
      <w:tr w14:paraId="4D5323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30A8DC4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tcBorders>
              <w:tl2br w:val="nil"/>
              <w:tr2bl w:val="nil"/>
            </w:tcBorders>
            <w:noWrap w:val="0"/>
            <w:vAlign w:val="center"/>
          </w:tcPr>
          <w:p w14:paraId="3721CE2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评价时期</w:t>
            </w:r>
          </w:p>
        </w:tc>
        <w:tc>
          <w:tcPr>
            <w:tcW w:w="3761" w:type="pct"/>
            <w:gridSpan w:val="11"/>
            <w:tcBorders>
              <w:tl2br w:val="nil"/>
              <w:tr2bl w:val="nil"/>
            </w:tcBorders>
            <w:noWrap w:val="0"/>
            <w:vAlign w:val="center"/>
          </w:tcPr>
          <w:p w14:paraId="45E36B9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丰水期 </w:t>
            </w:r>
            <w:r>
              <w:rPr>
                <w:rFonts w:hint="eastAsia"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；平水期 □；枯水期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；冰封期 □</w:t>
            </w:r>
          </w:p>
          <w:p w14:paraId="396F051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春季 □；夏季 □；秋季 □；冬季 □</w:t>
            </w:r>
          </w:p>
        </w:tc>
      </w:tr>
      <w:tr w14:paraId="41345B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5D46A8E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tcBorders>
              <w:tl2br w:val="nil"/>
              <w:tr2bl w:val="nil"/>
            </w:tcBorders>
            <w:noWrap w:val="0"/>
            <w:vAlign w:val="center"/>
          </w:tcPr>
          <w:p w14:paraId="3A60BC7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评价结论</w:t>
            </w:r>
          </w:p>
        </w:tc>
        <w:tc>
          <w:tcPr>
            <w:tcW w:w="2991" w:type="pct"/>
            <w:gridSpan w:val="10"/>
            <w:tcBorders>
              <w:tl2br w:val="nil"/>
              <w:tr2bl w:val="nil"/>
            </w:tcBorders>
            <w:noWrap w:val="0"/>
            <w:vAlign w:val="center"/>
          </w:tcPr>
          <w:p w14:paraId="264BD84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水环境功能区或水功能区、近岸海域环境功能区水质达标状况 □：达标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；不达标 □</w:t>
            </w:r>
          </w:p>
          <w:p w14:paraId="5F38A22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水环境控制单元或断面水质达标状况 □：达标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；不达标 □</w:t>
            </w:r>
          </w:p>
          <w:p w14:paraId="02E0BFE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水环境保护目标质量状况 □：达标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；不达标 □</w:t>
            </w:r>
          </w:p>
          <w:p w14:paraId="6536A9B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对照断面、控制断面等代表性断面的水质状况 □：达标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；不达标 □</w:t>
            </w:r>
          </w:p>
          <w:p w14:paraId="6CE01DD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底泥污染评价 □</w:t>
            </w:r>
          </w:p>
          <w:p w14:paraId="56E0935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水资源与开发利用程度及其水文情势评价 </w:t>
            </w:r>
            <w:r>
              <w:rPr>
                <w:rFonts w:hint="eastAsia" w:cs="Times New Roman"/>
                <w:color w:val="000000" w:themeColor="text1"/>
                <w:spacing w:val="-2"/>
                <w:sz w:val="21"/>
                <w:szCs w:val="21"/>
                <w:highlight w:val="none"/>
                <w:lang w:eastAsia="zh-CN"/>
                <w14:textFill>
                  <w14:solidFill>
                    <w14:schemeClr w14:val="tx1"/>
                  </w14:solidFill>
                </w14:textFill>
              </w:rPr>
              <w:t>□</w:t>
            </w:r>
          </w:p>
          <w:p w14:paraId="7069673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水环境质量回顾评价 </w:t>
            </w:r>
            <w:r>
              <w:rPr>
                <w:rFonts w:hint="eastAsia" w:cs="Times New Roman"/>
                <w:color w:val="000000" w:themeColor="text1"/>
                <w:spacing w:val="-2"/>
                <w:sz w:val="21"/>
                <w:szCs w:val="21"/>
                <w:highlight w:val="none"/>
                <w:lang w:eastAsia="zh-CN"/>
                <w14:textFill>
                  <w14:solidFill>
                    <w14:schemeClr w14:val="tx1"/>
                  </w14:solidFill>
                </w14:textFill>
              </w:rPr>
              <w:t>□</w:t>
            </w:r>
          </w:p>
          <w:p w14:paraId="62BA6E0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流域（区域）水资源（包括水能资源）与开发利用总体状况、生态流量管理要求与现状满足程度、建设项目占用水域空间的水流状况与河湖演变状况 </w:t>
            </w:r>
            <w:r>
              <w:rPr>
                <w:rFonts w:hint="eastAsia" w:cs="Times New Roman"/>
                <w:color w:val="000000" w:themeColor="text1"/>
                <w:spacing w:val="-2"/>
                <w:sz w:val="21"/>
                <w:szCs w:val="21"/>
                <w:highlight w:val="none"/>
                <w:lang w:eastAsia="zh-CN"/>
                <w14:textFill>
                  <w14:solidFill>
                    <w14:schemeClr w14:val="tx1"/>
                  </w14:solidFill>
                </w14:textFill>
              </w:rPr>
              <w:t>□</w:t>
            </w:r>
          </w:p>
        </w:tc>
        <w:tc>
          <w:tcPr>
            <w:tcW w:w="770" w:type="pct"/>
            <w:tcBorders>
              <w:tl2br w:val="nil"/>
              <w:tr2bl w:val="nil"/>
            </w:tcBorders>
            <w:noWrap w:val="0"/>
            <w:vAlign w:val="center"/>
          </w:tcPr>
          <w:p w14:paraId="5E5CBD1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达标区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p>
          <w:p w14:paraId="2EE2F22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不达标区 □</w:t>
            </w:r>
          </w:p>
        </w:tc>
      </w:tr>
      <w:tr w14:paraId="4C11F8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restart"/>
            <w:tcBorders>
              <w:tl2br w:val="nil"/>
              <w:tr2bl w:val="nil"/>
            </w:tcBorders>
            <w:noWrap w:val="0"/>
            <w:vAlign w:val="center"/>
          </w:tcPr>
          <w:p w14:paraId="5753D4E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影响预测</w:t>
            </w:r>
          </w:p>
        </w:tc>
        <w:tc>
          <w:tcPr>
            <w:tcW w:w="672" w:type="pct"/>
            <w:tcBorders>
              <w:tl2br w:val="nil"/>
              <w:tr2bl w:val="nil"/>
            </w:tcBorders>
            <w:noWrap w:val="0"/>
            <w:vAlign w:val="center"/>
          </w:tcPr>
          <w:p w14:paraId="7262AD6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预测范围</w:t>
            </w:r>
          </w:p>
        </w:tc>
        <w:tc>
          <w:tcPr>
            <w:tcW w:w="3761" w:type="pct"/>
            <w:gridSpan w:val="11"/>
            <w:tcBorders>
              <w:tl2br w:val="nil"/>
              <w:tr2bl w:val="nil"/>
            </w:tcBorders>
            <w:noWrap w:val="0"/>
            <w:vAlign w:val="center"/>
          </w:tcPr>
          <w:p w14:paraId="62637B1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河流：长度64.178km；湖库、河口及近岸海域：面积（   ）km</w:t>
            </w:r>
            <w:r>
              <w:rPr>
                <w:rFonts w:hint="default" w:ascii="Times New Roman" w:hAnsi="Times New Roman" w:eastAsia="宋体" w:cs="Times New Roman"/>
                <w:color w:val="000000" w:themeColor="text1"/>
                <w:spacing w:val="-2"/>
                <w:sz w:val="21"/>
                <w:szCs w:val="21"/>
                <w:highlight w:val="none"/>
                <w:vertAlign w:val="superscript"/>
                <w14:textFill>
                  <w14:solidFill>
                    <w14:schemeClr w14:val="tx1"/>
                  </w14:solidFill>
                </w14:textFill>
              </w:rPr>
              <w:t>2</w:t>
            </w:r>
          </w:p>
        </w:tc>
      </w:tr>
      <w:tr w14:paraId="113AF0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3B5F225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tcBorders>
              <w:tl2br w:val="nil"/>
              <w:tr2bl w:val="nil"/>
            </w:tcBorders>
            <w:noWrap w:val="0"/>
            <w:vAlign w:val="center"/>
          </w:tcPr>
          <w:p w14:paraId="157E240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预测因子</w:t>
            </w:r>
          </w:p>
        </w:tc>
        <w:tc>
          <w:tcPr>
            <w:tcW w:w="3761" w:type="pct"/>
            <w:gridSpan w:val="11"/>
            <w:tcBorders>
              <w:tl2br w:val="nil"/>
              <w:tr2bl w:val="nil"/>
            </w:tcBorders>
            <w:noWrap w:val="0"/>
            <w:vAlign w:val="center"/>
          </w:tcPr>
          <w:p w14:paraId="3A06216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COD、NH</w:t>
            </w:r>
            <w:r>
              <w:rPr>
                <w:rFonts w:hint="default" w:ascii="Times New Roman" w:hAnsi="Times New Roman" w:eastAsia="宋体" w:cs="Times New Roman"/>
                <w:color w:val="000000" w:themeColor="text1"/>
                <w:spacing w:val="-2"/>
                <w:sz w:val="21"/>
                <w:szCs w:val="21"/>
                <w:highlight w:val="none"/>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-N</w:t>
            </w:r>
            <w:r>
              <w:rPr>
                <w:rFonts w:hint="eastAsia" w:cs="Times New Roman"/>
                <w:color w:val="000000" w:themeColor="text1"/>
                <w:spacing w:val="-2"/>
                <w:sz w:val="21"/>
                <w:szCs w:val="21"/>
                <w:highlight w:val="none"/>
                <w:lang w:val="en-US" w:eastAsia="zh-CN"/>
                <w14:textFill>
                  <w14:solidFill>
                    <w14:schemeClr w14:val="tx1"/>
                  </w14:solidFill>
                </w14:textFill>
              </w:rPr>
              <w:t>、总磷</w:t>
            </w:r>
          </w:p>
        </w:tc>
      </w:tr>
      <w:tr w14:paraId="1ACA76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5ED1A8A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vMerge w:val="restart"/>
            <w:tcBorders>
              <w:tl2br w:val="nil"/>
              <w:tr2bl w:val="nil"/>
            </w:tcBorders>
            <w:noWrap w:val="0"/>
            <w:vAlign w:val="center"/>
          </w:tcPr>
          <w:p w14:paraId="1A5F394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预测时期</w:t>
            </w:r>
          </w:p>
        </w:tc>
        <w:tc>
          <w:tcPr>
            <w:tcW w:w="3761" w:type="pct"/>
            <w:gridSpan w:val="11"/>
            <w:tcBorders>
              <w:tl2br w:val="nil"/>
              <w:tr2bl w:val="nil"/>
            </w:tcBorders>
            <w:noWrap w:val="0"/>
            <w:vAlign w:val="center"/>
          </w:tcPr>
          <w:p w14:paraId="1EC7C0D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丰水期</w:t>
            </w:r>
            <w:r>
              <w:rPr>
                <w:rFonts w:hint="eastAsia"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；平水期□；枯水期</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；冰封期□</w:t>
            </w:r>
          </w:p>
        </w:tc>
      </w:tr>
      <w:tr w14:paraId="3FCDEC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vAlign w:val="center"/>
          </w:tcPr>
          <w:p w14:paraId="62EABDC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vMerge w:val="continue"/>
            <w:tcBorders>
              <w:tl2br w:val="nil"/>
              <w:tr2bl w:val="nil"/>
            </w:tcBorders>
            <w:noWrap w:val="0"/>
            <w:vAlign w:val="center"/>
          </w:tcPr>
          <w:p w14:paraId="6664D9B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3761" w:type="pct"/>
            <w:gridSpan w:val="11"/>
            <w:tcBorders>
              <w:tl2br w:val="nil"/>
              <w:tr2bl w:val="nil"/>
            </w:tcBorders>
            <w:noWrap w:val="0"/>
            <w:vAlign w:val="center"/>
          </w:tcPr>
          <w:p w14:paraId="6866A77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春季 □；夏季 □；秋季 □；冬季 </w:t>
            </w:r>
            <w:r>
              <w:rPr>
                <w:rFonts w:hint="eastAsia" w:eastAsia="宋体" w:cs="Times New Roman"/>
                <w:color w:val="000000" w:themeColor="text1"/>
                <w:spacing w:val="-2"/>
                <w:sz w:val="21"/>
                <w:szCs w:val="21"/>
                <w:highlight w:val="none"/>
                <w:lang w:eastAsia="zh-CN"/>
                <w14:textFill>
                  <w14:solidFill>
                    <w14:schemeClr w14:val="tx1"/>
                  </w14:solidFill>
                </w14:textFill>
              </w:rPr>
              <w:t>☑</w:t>
            </w:r>
          </w:p>
          <w:p w14:paraId="63C354D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设计水文条件 </w:t>
            </w:r>
            <w:r>
              <w:rPr>
                <w:rFonts w:hint="eastAsia" w:eastAsia="宋体" w:cs="Times New Roman"/>
                <w:color w:val="000000" w:themeColor="text1"/>
                <w:spacing w:val="-2"/>
                <w:sz w:val="21"/>
                <w:szCs w:val="21"/>
                <w:highlight w:val="none"/>
                <w:lang w:eastAsia="zh-CN"/>
                <w14:textFill>
                  <w14:solidFill>
                    <w14:schemeClr w14:val="tx1"/>
                  </w14:solidFill>
                </w14:textFill>
              </w:rPr>
              <w:t>□</w:t>
            </w:r>
          </w:p>
        </w:tc>
      </w:tr>
      <w:tr w14:paraId="16F046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vAlign w:val="center"/>
          </w:tcPr>
          <w:p w14:paraId="5D59CC8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tcBorders>
              <w:tl2br w:val="nil"/>
              <w:tr2bl w:val="nil"/>
            </w:tcBorders>
            <w:noWrap w:val="0"/>
            <w:vAlign w:val="center"/>
          </w:tcPr>
          <w:p w14:paraId="4BCC811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预测情景</w:t>
            </w:r>
          </w:p>
        </w:tc>
        <w:tc>
          <w:tcPr>
            <w:tcW w:w="3761" w:type="pct"/>
            <w:gridSpan w:val="11"/>
            <w:tcBorders>
              <w:tl2br w:val="nil"/>
              <w:tr2bl w:val="nil"/>
            </w:tcBorders>
            <w:noWrap w:val="0"/>
            <w:vAlign w:val="center"/>
          </w:tcPr>
          <w:p w14:paraId="1BD28E2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建设期 □；生产运行期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；服务期满后 □</w:t>
            </w:r>
          </w:p>
          <w:p w14:paraId="3D37147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正常工况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；非正常工况 </w:t>
            </w:r>
            <w:r>
              <w:rPr>
                <w:rFonts w:hint="eastAsia" w:cs="Times New Roman"/>
                <w:color w:val="000000" w:themeColor="text1"/>
                <w:spacing w:val="-2"/>
                <w:sz w:val="21"/>
                <w:szCs w:val="21"/>
                <w:highlight w:val="none"/>
                <w:lang w:eastAsia="zh-CN"/>
                <w14:textFill>
                  <w14:solidFill>
                    <w14:schemeClr w14:val="tx1"/>
                  </w14:solidFill>
                </w14:textFill>
              </w:rPr>
              <w:t>☑</w:t>
            </w:r>
          </w:p>
          <w:p w14:paraId="7C03421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污染控制和减缓措施方案 □</w:t>
            </w:r>
          </w:p>
          <w:p w14:paraId="37A1DB3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区（流）域环境质量改善目标要求情景 □</w:t>
            </w:r>
          </w:p>
        </w:tc>
      </w:tr>
      <w:tr w14:paraId="0D7D35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vAlign w:val="center"/>
          </w:tcPr>
          <w:p w14:paraId="662D3DED">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72" w:type="pct"/>
            <w:tcBorders>
              <w:tl2br w:val="nil"/>
              <w:tr2bl w:val="nil"/>
            </w:tcBorders>
            <w:noWrap w:val="0"/>
            <w:vAlign w:val="center"/>
          </w:tcPr>
          <w:p w14:paraId="0CAF0B6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预测方法</w:t>
            </w:r>
          </w:p>
        </w:tc>
        <w:tc>
          <w:tcPr>
            <w:tcW w:w="3761" w:type="pct"/>
            <w:gridSpan w:val="11"/>
            <w:tcBorders>
              <w:tl2br w:val="nil"/>
              <w:tr2bl w:val="nil"/>
            </w:tcBorders>
            <w:noWrap w:val="0"/>
            <w:vAlign w:val="center"/>
          </w:tcPr>
          <w:p w14:paraId="377CE0F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数值解 □：解析解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；其他 □</w:t>
            </w:r>
            <w:r>
              <w:rPr>
                <w:rFonts w:hint="eastAsia"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导则推荐模式 □：其他 □</w:t>
            </w:r>
          </w:p>
        </w:tc>
      </w:tr>
      <w:tr w14:paraId="2C8233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restart"/>
            <w:tcBorders>
              <w:tl2br w:val="nil"/>
              <w:tr2bl w:val="nil"/>
            </w:tcBorders>
            <w:noWrap w:val="0"/>
            <w:vAlign w:val="center"/>
          </w:tcPr>
          <w:p w14:paraId="2A7E68F2">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影响评价</w:t>
            </w:r>
          </w:p>
        </w:tc>
        <w:tc>
          <w:tcPr>
            <w:tcW w:w="672" w:type="pct"/>
            <w:tcBorders>
              <w:tl2br w:val="nil"/>
              <w:tr2bl w:val="nil"/>
            </w:tcBorders>
            <w:noWrap w:val="0"/>
            <w:vAlign w:val="center"/>
          </w:tcPr>
          <w:p w14:paraId="377D409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水污染控制和水环境影响减缓措施有效性评价</w:t>
            </w:r>
          </w:p>
        </w:tc>
        <w:tc>
          <w:tcPr>
            <w:tcW w:w="3761" w:type="pct"/>
            <w:gridSpan w:val="11"/>
            <w:tcBorders>
              <w:tl2br w:val="nil"/>
              <w:tr2bl w:val="nil"/>
            </w:tcBorders>
            <w:noWrap w:val="0"/>
            <w:vAlign w:val="center"/>
          </w:tcPr>
          <w:p w14:paraId="10F70F1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区（流）域水环境质量改善目标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；替代削减源 □</w:t>
            </w:r>
          </w:p>
        </w:tc>
      </w:tr>
      <w:tr w14:paraId="6AB445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1E49376C">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72" w:type="pct"/>
            <w:tcBorders>
              <w:tl2br w:val="nil"/>
              <w:tr2bl w:val="nil"/>
            </w:tcBorders>
            <w:noWrap w:val="0"/>
            <w:vAlign w:val="center"/>
          </w:tcPr>
          <w:p w14:paraId="49A498E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水环境影响评价</w:t>
            </w:r>
          </w:p>
        </w:tc>
        <w:tc>
          <w:tcPr>
            <w:tcW w:w="3761" w:type="pct"/>
            <w:gridSpan w:val="11"/>
            <w:tcBorders>
              <w:tl2br w:val="nil"/>
              <w:tr2bl w:val="nil"/>
            </w:tcBorders>
            <w:noWrap w:val="0"/>
            <w:vAlign w:val="center"/>
          </w:tcPr>
          <w:p w14:paraId="354D49A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排放口混合区外满足水环境管理要求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p>
          <w:p w14:paraId="741E924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水环境功能区或水功能区、近岸海域环境功能区水质达标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p>
          <w:p w14:paraId="7D45E04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满足水环境保护目标水域水环境质量要求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p>
          <w:p w14:paraId="02E3C43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水环境控制单元或断面水质达标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p>
          <w:p w14:paraId="2A4E4FF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满足重点水污染物排放总量控制指标要求，重点行业建设项目，主要污染物排放满足等量或减量替代要求 </w:t>
            </w:r>
            <w:r>
              <w:rPr>
                <w:rFonts w:hint="eastAsia" w:cs="Times New Roman"/>
                <w:color w:val="000000" w:themeColor="text1"/>
                <w:spacing w:val="-2"/>
                <w:sz w:val="21"/>
                <w:szCs w:val="21"/>
                <w:highlight w:val="none"/>
                <w:lang w:eastAsia="zh-CN"/>
                <w14:textFill>
                  <w14:solidFill>
                    <w14:schemeClr w14:val="tx1"/>
                  </w14:solidFill>
                </w14:textFill>
              </w:rPr>
              <w:t>☑</w:t>
            </w:r>
          </w:p>
          <w:p w14:paraId="2DE1FD5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满足区（流）域水环境质量改善目标要求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p>
          <w:p w14:paraId="7C79740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水文要素影响型建设项目同时应包括水文情势变化评价、主要水文特征值影响评价、生态流量符合性评价 □</w:t>
            </w:r>
          </w:p>
          <w:p w14:paraId="4DB1486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对于新设或调整入河（湖库、近岸海域）排放口的建设项目，应包括排放口设置的环境合理性评价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p>
          <w:p w14:paraId="04EF099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满足生态保护红线、水环境质量底线、资源利用上线和环境准入清单管理要求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p>
        </w:tc>
      </w:tr>
      <w:tr w14:paraId="22D68D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0" w:hRule="atLeast"/>
        </w:trPr>
        <w:tc>
          <w:tcPr>
            <w:tcW w:w="565" w:type="pct"/>
            <w:vMerge w:val="continue"/>
            <w:tcBorders>
              <w:tl2br w:val="nil"/>
              <w:tr2bl w:val="nil"/>
            </w:tcBorders>
            <w:noWrap w:val="0"/>
            <w:textDirection w:val="tbRlV"/>
            <w:vAlign w:val="center"/>
          </w:tcPr>
          <w:p w14:paraId="212EAAED">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72" w:type="pct"/>
            <w:vMerge w:val="restart"/>
            <w:tcBorders>
              <w:tl2br w:val="nil"/>
              <w:tr2bl w:val="nil"/>
            </w:tcBorders>
            <w:noWrap w:val="0"/>
            <w:vAlign w:val="center"/>
          </w:tcPr>
          <w:p w14:paraId="4D02855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污染源排放量核算</w:t>
            </w:r>
          </w:p>
        </w:tc>
        <w:tc>
          <w:tcPr>
            <w:tcW w:w="849" w:type="pct"/>
            <w:gridSpan w:val="3"/>
            <w:tcBorders>
              <w:tl2br w:val="nil"/>
              <w:tr2bl w:val="nil"/>
            </w:tcBorders>
            <w:noWrap w:val="0"/>
            <w:vAlign w:val="center"/>
          </w:tcPr>
          <w:p w14:paraId="7B2FD4C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污染物名称</w:t>
            </w:r>
          </w:p>
        </w:tc>
        <w:tc>
          <w:tcPr>
            <w:tcW w:w="1023" w:type="pct"/>
            <w:gridSpan w:val="3"/>
            <w:tcBorders>
              <w:tl2br w:val="nil"/>
              <w:tr2bl w:val="nil"/>
            </w:tcBorders>
            <w:noWrap w:val="0"/>
            <w:vAlign w:val="center"/>
          </w:tcPr>
          <w:p w14:paraId="0DEEC63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排放量/（t/a）</w:t>
            </w:r>
          </w:p>
        </w:tc>
        <w:tc>
          <w:tcPr>
            <w:tcW w:w="1889" w:type="pct"/>
            <w:gridSpan w:val="5"/>
            <w:tcBorders>
              <w:tl2br w:val="nil"/>
              <w:tr2bl w:val="nil"/>
            </w:tcBorders>
            <w:noWrap w:val="0"/>
            <w:vAlign w:val="center"/>
          </w:tcPr>
          <w:p w14:paraId="777D5C8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排放浓度/（mg/L）</w:t>
            </w:r>
          </w:p>
        </w:tc>
      </w:tr>
      <w:tr w14:paraId="14644F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0" w:hRule="atLeast"/>
        </w:trPr>
        <w:tc>
          <w:tcPr>
            <w:tcW w:w="565" w:type="pct"/>
            <w:vMerge w:val="continue"/>
            <w:tcBorders>
              <w:tl2br w:val="nil"/>
              <w:tr2bl w:val="nil"/>
            </w:tcBorders>
            <w:noWrap w:val="0"/>
            <w:textDirection w:val="tbRlV"/>
            <w:vAlign w:val="center"/>
          </w:tcPr>
          <w:p w14:paraId="17B12627">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72" w:type="pct"/>
            <w:vMerge w:val="continue"/>
            <w:tcBorders>
              <w:tl2br w:val="nil"/>
              <w:tr2bl w:val="nil"/>
            </w:tcBorders>
            <w:noWrap w:val="0"/>
            <w:vAlign w:val="center"/>
          </w:tcPr>
          <w:p w14:paraId="0DD896E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849" w:type="pct"/>
            <w:gridSpan w:val="3"/>
            <w:tcBorders>
              <w:tl2br w:val="nil"/>
              <w:tr2bl w:val="nil"/>
            </w:tcBorders>
            <w:noWrap w:val="0"/>
            <w:vAlign w:val="center"/>
          </w:tcPr>
          <w:p w14:paraId="1DF57A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COD</w:t>
            </w:r>
          </w:p>
        </w:tc>
        <w:tc>
          <w:tcPr>
            <w:tcW w:w="1023" w:type="pct"/>
            <w:gridSpan w:val="3"/>
            <w:tcBorders>
              <w:tl2br w:val="nil"/>
              <w:tr2bl w:val="nil"/>
            </w:tcBorders>
            <w:noWrap w:val="0"/>
            <w:vAlign w:val="center"/>
          </w:tcPr>
          <w:p w14:paraId="6D11A0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eastAsia" w:cs="Times New Roman"/>
                <w:b w:val="0"/>
                <w:bCs/>
                <w:color w:val="000000" w:themeColor="text1"/>
                <w:spacing w:val="0"/>
                <w:sz w:val="21"/>
                <w:szCs w:val="21"/>
                <w:highlight w:val="none"/>
                <w:lang w:val="en-US" w:eastAsia="zh-CN"/>
                <w14:textFill>
                  <w14:solidFill>
                    <w14:schemeClr w14:val="tx1"/>
                  </w14:solidFill>
                </w14:textFill>
              </w:rPr>
              <w:t>273.75</w:t>
            </w:r>
          </w:p>
        </w:tc>
        <w:tc>
          <w:tcPr>
            <w:tcW w:w="1889" w:type="pct"/>
            <w:gridSpan w:val="5"/>
            <w:tcBorders>
              <w:tl2br w:val="nil"/>
              <w:tr2bl w:val="nil"/>
            </w:tcBorders>
            <w:noWrap w:val="0"/>
            <w:vAlign w:val="center"/>
          </w:tcPr>
          <w:p w14:paraId="4A07CB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50</w:t>
            </w:r>
          </w:p>
        </w:tc>
      </w:tr>
      <w:tr w14:paraId="7E5D51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0" w:hRule="atLeast"/>
        </w:trPr>
        <w:tc>
          <w:tcPr>
            <w:tcW w:w="565" w:type="pct"/>
            <w:vMerge w:val="continue"/>
            <w:tcBorders>
              <w:tl2br w:val="nil"/>
              <w:tr2bl w:val="nil"/>
            </w:tcBorders>
            <w:noWrap w:val="0"/>
            <w:textDirection w:val="tbRlV"/>
            <w:vAlign w:val="center"/>
          </w:tcPr>
          <w:p w14:paraId="774C691D">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72" w:type="pct"/>
            <w:vMerge w:val="continue"/>
            <w:tcBorders>
              <w:tl2br w:val="nil"/>
              <w:tr2bl w:val="nil"/>
            </w:tcBorders>
            <w:noWrap w:val="0"/>
            <w:vAlign w:val="center"/>
          </w:tcPr>
          <w:p w14:paraId="71273F1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849" w:type="pct"/>
            <w:gridSpan w:val="3"/>
            <w:tcBorders>
              <w:tl2br w:val="nil"/>
              <w:tr2bl w:val="nil"/>
            </w:tcBorders>
            <w:noWrap w:val="0"/>
            <w:vAlign w:val="center"/>
          </w:tcPr>
          <w:p w14:paraId="36CA9D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NH</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-N</w:t>
            </w:r>
          </w:p>
        </w:tc>
        <w:tc>
          <w:tcPr>
            <w:tcW w:w="1023" w:type="pct"/>
            <w:gridSpan w:val="3"/>
            <w:tcBorders>
              <w:tl2br w:val="nil"/>
              <w:tr2bl w:val="nil"/>
            </w:tcBorders>
            <w:noWrap w:val="0"/>
            <w:vAlign w:val="center"/>
          </w:tcPr>
          <w:p w14:paraId="0184C8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eastAsia" w:cs="Times New Roman"/>
                <w:b w:val="0"/>
                <w:bCs/>
                <w:color w:val="000000" w:themeColor="text1"/>
                <w:spacing w:val="0"/>
                <w:sz w:val="21"/>
                <w:szCs w:val="21"/>
                <w:highlight w:val="none"/>
                <w:lang w:val="en-US" w:eastAsia="zh-CN"/>
                <w14:textFill>
                  <w14:solidFill>
                    <w14:schemeClr w14:val="tx1"/>
                  </w14:solidFill>
                </w14:textFill>
              </w:rPr>
              <w:t>27.38</w:t>
            </w:r>
          </w:p>
        </w:tc>
        <w:tc>
          <w:tcPr>
            <w:tcW w:w="1889" w:type="pct"/>
            <w:gridSpan w:val="5"/>
            <w:tcBorders>
              <w:tl2br w:val="nil"/>
              <w:tr2bl w:val="nil"/>
            </w:tcBorders>
            <w:noWrap w:val="0"/>
            <w:vAlign w:val="center"/>
          </w:tcPr>
          <w:p w14:paraId="56EBA4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5</w:t>
            </w:r>
          </w:p>
        </w:tc>
      </w:tr>
      <w:tr w14:paraId="6A7E3C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3EF92775">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72" w:type="pct"/>
            <w:vMerge w:val="continue"/>
            <w:tcBorders>
              <w:tl2br w:val="nil"/>
              <w:tr2bl w:val="nil"/>
            </w:tcBorders>
            <w:noWrap w:val="0"/>
            <w:vAlign w:val="center"/>
          </w:tcPr>
          <w:p w14:paraId="11D1C27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849" w:type="pct"/>
            <w:gridSpan w:val="3"/>
            <w:tcBorders>
              <w:tl2br w:val="nil"/>
              <w:tr2bl w:val="nil"/>
            </w:tcBorders>
            <w:noWrap w:val="0"/>
            <w:vAlign w:val="center"/>
          </w:tcPr>
          <w:p w14:paraId="70A117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BOD</w:t>
            </w:r>
            <w:r>
              <w:rPr>
                <w:rFonts w:hint="eastAsia"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5</w:t>
            </w:r>
          </w:p>
        </w:tc>
        <w:tc>
          <w:tcPr>
            <w:tcW w:w="1023" w:type="pct"/>
            <w:gridSpan w:val="3"/>
            <w:tcBorders>
              <w:tl2br w:val="nil"/>
              <w:tr2bl w:val="nil"/>
            </w:tcBorders>
            <w:noWrap w:val="0"/>
            <w:vAlign w:val="center"/>
          </w:tcPr>
          <w:p w14:paraId="4E61E0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eastAsia" w:cs="Times New Roman"/>
                <w:b w:val="0"/>
                <w:bCs/>
                <w:color w:val="000000" w:themeColor="text1"/>
                <w:spacing w:val="0"/>
                <w:sz w:val="21"/>
                <w:szCs w:val="21"/>
                <w:highlight w:val="none"/>
                <w:lang w:val="en-US" w:eastAsia="zh-CN"/>
                <w14:textFill>
                  <w14:solidFill>
                    <w14:schemeClr w14:val="tx1"/>
                  </w14:solidFill>
                </w14:textFill>
              </w:rPr>
              <w:t>54.75</w:t>
            </w:r>
          </w:p>
        </w:tc>
        <w:tc>
          <w:tcPr>
            <w:tcW w:w="1889" w:type="pct"/>
            <w:gridSpan w:val="5"/>
            <w:tcBorders>
              <w:tl2br w:val="nil"/>
              <w:tr2bl w:val="nil"/>
            </w:tcBorders>
            <w:noWrap w:val="0"/>
            <w:vAlign w:val="center"/>
          </w:tcPr>
          <w:p w14:paraId="49D140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10</w:t>
            </w:r>
          </w:p>
        </w:tc>
      </w:tr>
      <w:tr w14:paraId="47F560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0" w:hRule="atLeast"/>
        </w:trPr>
        <w:tc>
          <w:tcPr>
            <w:tcW w:w="565" w:type="pct"/>
            <w:vMerge w:val="continue"/>
            <w:tcBorders>
              <w:tl2br w:val="nil"/>
              <w:tr2bl w:val="nil"/>
            </w:tcBorders>
            <w:noWrap w:val="0"/>
            <w:textDirection w:val="tbRlV"/>
            <w:vAlign w:val="center"/>
          </w:tcPr>
          <w:p w14:paraId="4FB005ED">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72" w:type="pct"/>
            <w:vMerge w:val="continue"/>
            <w:tcBorders>
              <w:tl2br w:val="nil"/>
              <w:tr2bl w:val="nil"/>
            </w:tcBorders>
            <w:noWrap w:val="0"/>
            <w:vAlign w:val="center"/>
          </w:tcPr>
          <w:p w14:paraId="49BD884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849" w:type="pct"/>
            <w:gridSpan w:val="3"/>
            <w:tcBorders>
              <w:tl2br w:val="nil"/>
              <w:tr2bl w:val="nil"/>
            </w:tcBorders>
            <w:noWrap w:val="0"/>
            <w:vAlign w:val="center"/>
          </w:tcPr>
          <w:p w14:paraId="7F9A39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SS</w:t>
            </w:r>
          </w:p>
        </w:tc>
        <w:tc>
          <w:tcPr>
            <w:tcW w:w="1023" w:type="pct"/>
            <w:gridSpan w:val="3"/>
            <w:tcBorders>
              <w:tl2br w:val="nil"/>
              <w:tr2bl w:val="nil"/>
            </w:tcBorders>
            <w:noWrap w:val="0"/>
            <w:vAlign w:val="center"/>
          </w:tcPr>
          <w:p w14:paraId="0626D8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eastAsia" w:cs="Times New Roman"/>
                <w:b w:val="0"/>
                <w:bCs/>
                <w:color w:val="000000" w:themeColor="text1"/>
                <w:spacing w:val="0"/>
                <w:sz w:val="21"/>
                <w:szCs w:val="21"/>
                <w:highlight w:val="none"/>
                <w:lang w:val="en-US" w:eastAsia="zh-CN"/>
                <w14:textFill>
                  <w14:solidFill>
                    <w14:schemeClr w14:val="tx1"/>
                  </w14:solidFill>
                </w14:textFill>
              </w:rPr>
              <w:t>273.75</w:t>
            </w:r>
          </w:p>
        </w:tc>
        <w:tc>
          <w:tcPr>
            <w:tcW w:w="1889" w:type="pct"/>
            <w:gridSpan w:val="5"/>
            <w:tcBorders>
              <w:tl2br w:val="nil"/>
              <w:tr2bl w:val="nil"/>
            </w:tcBorders>
            <w:noWrap w:val="0"/>
            <w:vAlign w:val="center"/>
          </w:tcPr>
          <w:p w14:paraId="21527D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50</w:t>
            </w:r>
          </w:p>
        </w:tc>
      </w:tr>
      <w:tr w14:paraId="75B20E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20094503">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72" w:type="pct"/>
            <w:vMerge w:val="continue"/>
            <w:tcBorders>
              <w:tl2br w:val="nil"/>
              <w:tr2bl w:val="nil"/>
            </w:tcBorders>
            <w:noWrap w:val="0"/>
            <w:vAlign w:val="center"/>
          </w:tcPr>
          <w:p w14:paraId="77ECA3B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849" w:type="pct"/>
            <w:gridSpan w:val="3"/>
            <w:tcBorders>
              <w:tl2br w:val="nil"/>
              <w:tr2bl w:val="nil"/>
            </w:tcBorders>
            <w:noWrap w:val="0"/>
            <w:vAlign w:val="center"/>
          </w:tcPr>
          <w:p w14:paraId="52D071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总磷</w:t>
            </w:r>
          </w:p>
        </w:tc>
        <w:tc>
          <w:tcPr>
            <w:tcW w:w="1023" w:type="pct"/>
            <w:gridSpan w:val="3"/>
            <w:tcBorders>
              <w:tl2br w:val="nil"/>
              <w:tr2bl w:val="nil"/>
            </w:tcBorders>
            <w:noWrap w:val="0"/>
            <w:vAlign w:val="center"/>
          </w:tcPr>
          <w:p w14:paraId="117C18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eastAsia" w:cs="Times New Roman"/>
                <w:b w:val="0"/>
                <w:bCs/>
                <w:color w:val="000000" w:themeColor="text1"/>
                <w:spacing w:val="0"/>
                <w:sz w:val="21"/>
                <w:szCs w:val="21"/>
                <w:highlight w:val="none"/>
                <w:lang w:val="en-US" w:eastAsia="zh-CN"/>
                <w14:textFill>
                  <w14:solidFill>
                    <w14:schemeClr w14:val="tx1"/>
                  </w14:solidFill>
                </w14:textFill>
              </w:rPr>
              <w:t>2.74</w:t>
            </w:r>
          </w:p>
        </w:tc>
        <w:tc>
          <w:tcPr>
            <w:tcW w:w="1889" w:type="pct"/>
            <w:gridSpan w:val="5"/>
            <w:tcBorders>
              <w:tl2br w:val="nil"/>
              <w:tr2bl w:val="nil"/>
            </w:tcBorders>
            <w:noWrap w:val="0"/>
            <w:vAlign w:val="center"/>
          </w:tcPr>
          <w:p w14:paraId="401B1D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w:t>
            </w:r>
            <w:r>
              <w:rPr>
                <w:rFonts w:hint="eastAsia" w:cs="Times New Roman"/>
                <w:color w:val="000000" w:themeColor="text1"/>
                <w:sz w:val="21"/>
                <w:szCs w:val="21"/>
                <w:highlight w:val="none"/>
                <w:vertAlign w:val="baseline"/>
                <w:lang w:val="en-US" w:eastAsia="zh-CN"/>
                <w14:textFill>
                  <w14:solidFill>
                    <w14:schemeClr w14:val="tx1"/>
                  </w14:solidFill>
                </w14:textFill>
              </w:rPr>
              <w:t>.5</w:t>
            </w:r>
          </w:p>
        </w:tc>
      </w:tr>
      <w:tr w14:paraId="2C5E1E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23F5F802">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72" w:type="pct"/>
            <w:vMerge w:val="continue"/>
            <w:tcBorders>
              <w:tl2br w:val="nil"/>
              <w:tr2bl w:val="nil"/>
            </w:tcBorders>
            <w:noWrap w:val="0"/>
            <w:vAlign w:val="center"/>
          </w:tcPr>
          <w:p w14:paraId="5B730C4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849" w:type="pct"/>
            <w:gridSpan w:val="3"/>
            <w:tcBorders>
              <w:tl2br w:val="nil"/>
              <w:tr2bl w:val="nil"/>
            </w:tcBorders>
            <w:noWrap w:val="0"/>
            <w:vAlign w:val="center"/>
          </w:tcPr>
          <w:p w14:paraId="527DE6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总氮</w:t>
            </w:r>
          </w:p>
        </w:tc>
        <w:tc>
          <w:tcPr>
            <w:tcW w:w="1023" w:type="pct"/>
            <w:gridSpan w:val="3"/>
            <w:tcBorders>
              <w:tl2br w:val="nil"/>
              <w:tr2bl w:val="nil"/>
            </w:tcBorders>
            <w:noWrap w:val="0"/>
            <w:vAlign w:val="center"/>
          </w:tcPr>
          <w:p w14:paraId="2AC930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eastAsia" w:cs="Times New Roman"/>
                <w:b w:val="0"/>
                <w:bCs/>
                <w:color w:val="000000" w:themeColor="text1"/>
                <w:spacing w:val="0"/>
                <w:sz w:val="21"/>
                <w:szCs w:val="21"/>
                <w:highlight w:val="none"/>
                <w:lang w:val="en-US" w:eastAsia="zh-CN"/>
                <w14:textFill>
                  <w14:solidFill>
                    <w14:schemeClr w14:val="tx1"/>
                  </w14:solidFill>
                </w14:textFill>
              </w:rPr>
              <w:t>82.13</w:t>
            </w:r>
          </w:p>
        </w:tc>
        <w:tc>
          <w:tcPr>
            <w:tcW w:w="1889" w:type="pct"/>
            <w:gridSpan w:val="5"/>
            <w:tcBorders>
              <w:tl2br w:val="nil"/>
              <w:tr2bl w:val="nil"/>
            </w:tcBorders>
            <w:noWrap w:val="0"/>
            <w:vAlign w:val="center"/>
          </w:tcPr>
          <w:p w14:paraId="30EA29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r>
              <w:rPr>
                <w:rFonts w:hint="eastAsia" w:cs="Times New Roman"/>
                <w:color w:val="000000" w:themeColor="text1"/>
                <w:sz w:val="21"/>
                <w:szCs w:val="21"/>
                <w:highlight w:val="none"/>
                <w:vertAlign w:val="baseline"/>
                <w:lang w:val="en-US" w:eastAsia="zh-CN"/>
                <w14:textFill>
                  <w14:solidFill>
                    <w14:schemeClr w14:val="tx1"/>
                  </w14:solidFill>
                </w14:textFill>
              </w:rPr>
              <w:t>5</w:t>
            </w:r>
          </w:p>
        </w:tc>
      </w:tr>
      <w:tr w14:paraId="42C31F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0" w:hRule="atLeast"/>
        </w:trPr>
        <w:tc>
          <w:tcPr>
            <w:tcW w:w="565" w:type="pct"/>
            <w:vMerge w:val="continue"/>
            <w:tcBorders>
              <w:tl2br w:val="nil"/>
              <w:tr2bl w:val="nil"/>
            </w:tcBorders>
            <w:noWrap w:val="0"/>
            <w:textDirection w:val="tbRlV"/>
            <w:vAlign w:val="center"/>
          </w:tcPr>
          <w:p w14:paraId="13457895">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72" w:type="pct"/>
            <w:vMerge w:val="restart"/>
            <w:tcBorders>
              <w:tl2br w:val="nil"/>
              <w:tr2bl w:val="nil"/>
            </w:tcBorders>
            <w:noWrap w:val="0"/>
            <w:vAlign w:val="center"/>
          </w:tcPr>
          <w:p w14:paraId="052C156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替代源排放情况</w:t>
            </w:r>
          </w:p>
        </w:tc>
        <w:tc>
          <w:tcPr>
            <w:tcW w:w="849" w:type="pct"/>
            <w:gridSpan w:val="3"/>
            <w:tcBorders>
              <w:tl2br w:val="nil"/>
              <w:tr2bl w:val="nil"/>
            </w:tcBorders>
            <w:noWrap w:val="0"/>
            <w:vAlign w:val="center"/>
          </w:tcPr>
          <w:p w14:paraId="095E7D9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污染源名称</w:t>
            </w:r>
          </w:p>
        </w:tc>
        <w:tc>
          <w:tcPr>
            <w:tcW w:w="1023" w:type="pct"/>
            <w:gridSpan w:val="3"/>
            <w:tcBorders>
              <w:tl2br w:val="nil"/>
              <w:tr2bl w:val="nil"/>
            </w:tcBorders>
            <w:noWrap w:val="0"/>
            <w:vAlign w:val="center"/>
          </w:tcPr>
          <w:p w14:paraId="33D17D0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排污许可证编号</w:t>
            </w:r>
          </w:p>
        </w:tc>
        <w:tc>
          <w:tcPr>
            <w:tcW w:w="554" w:type="pct"/>
            <w:gridSpan w:val="2"/>
            <w:tcBorders>
              <w:tl2br w:val="nil"/>
              <w:tr2bl w:val="nil"/>
            </w:tcBorders>
            <w:noWrap w:val="0"/>
            <w:vAlign w:val="center"/>
          </w:tcPr>
          <w:p w14:paraId="54E3BB4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污染物名称</w:t>
            </w:r>
          </w:p>
        </w:tc>
        <w:tc>
          <w:tcPr>
            <w:tcW w:w="563" w:type="pct"/>
            <w:gridSpan w:val="2"/>
            <w:tcBorders>
              <w:tl2br w:val="nil"/>
              <w:tr2bl w:val="nil"/>
            </w:tcBorders>
            <w:noWrap w:val="0"/>
            <w:vAlign w:val="center"/>
          </w:tcPr>
          <w:p w14:paraId="540D972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排放量/（t/a）</w:t>
            </w:r>
          </w:p>
        </w:tc>
        <w:tc>
          <w:tcPr>
            <w:tcW w:w="770" w:type="pct"/>
            <w:tcBorders>
              <w:tl2br w:val="nil"/>
              <w:tr2bl w:val="nil"/>
            </w:tcBorders>
            <w:noWrap w:val="0"/>
            <w:vAlign w:val="center"/>
          </w:tcPr>
          <w:p w14:paraId="6A21549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排放浓度/（mg/L）</w:t>
            </w:r>
          </w:p>
        </w:tc>
      </w:tr>
      <w:tr w14:paraId="579E41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0" w:hRule="atLeast"/>
        </w:trPr>
        <w:tc>
          <w:tcPr>
            <w:tcW w:w="565" w:type="pct"/>
            <w:vMerge w:val="continue"/>
            <w:tcBorders>
              <w:tl2br w:val="nil"/>
              <w:tr2bl w:val="nil"/>
            </w:tcBorders>
            <w:noWrap w:val="0"/>
            <w:textDirection w:val="tbRlV"/>
            <w:vAlign w:val="center"/>
          </w:tcPr>
          <w:p w14:paraId="3503C08D">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72" w:type="pct"/>
            <w:vMerge w:val="continue"/>
            <w:tcBorders>
              <w:tl2br w:val="nil"/>
              <w:tr2bl w:val="nil"/>
            </w:tcBorders>
            <w:noWrap w:val="0"/>
            <w:vAlign w:val="center"/>
          </w:tcPr>
          <w:p w14:paraId="648F4B5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849" w:type="pct"/>
            <w:gridSpan w:val="3"/>
            <w:tcBorders>
              <w:tl2br w:val="nil"/>
              <w:tr2bl w:val="nil"/>
            </w:tcBorders>
            <w:noWrap w:val="0"/>
            <w:vAlign w:val="center"/>
          </w:tcPr>
          <w:p w14:paraId="29B4C11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   </w:t>
            </w:r>
            <w:r>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p>
        </w:tc>
        <w:tc>
          <w:tcPr>
            <w:tcW w:w="1023" w:type="pct"/>
            <w:gridSpan w:val="3"/>
            <w:tcBorders>
              <w:tl2br w:val="nil"/>
              <w:tr2bl w:val="nil"/>
            </w:tcBorders>
            <w:noWrap w:val="0"/>
            <w:vAlign w:val="center"/>
          </w:tcPr>
          <w:p w14:paraId="33E6CDC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   </w:t>
            </w:r>
            <w:r>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p>
        </w:tc>
        <w:tc>
          <w:tcPr>
            <w:tcW w:w="554" w:type="pct"/>
            <w:gridSpan w:val="2"/>
            <w:tcBorders>
              <w:tl2br w:val="nil"/>
              <w:tr2bl w:val="nil"/>
            </w:tcBorders>
            <w:noWrap w:val="0"/>
            <w:vAlign w:val="center"/>
          </w:tcPr>
          <w:p w14:paraId="7C9177A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   </w:t>
            </w:r>
            <w:r>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p>
        </w:tc>
        <w:tc>
          <w:tcPr>
            <w:tcW w:w="563" w:type="pct"/>
            <w:gridSpan w:val="2"/>
            <w:tcBorders>
              <w:tl2br w:val="nil"/>
              <w:tr2bl w:val="nil"/>
            </w:tcBorders>
            <w:noWrap w:val="0"/>
            <w:vAlign w:val="center"/>
          </w:tcPr>
          <w:p w14:paraId="0675FF9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   </w:t>
            </w:r>
            <w:r>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p>
        </w:tc>
        <w:tc>
          <w:tcPr>
            <w:tcW w:w="770" w:type="pct"/>
            <w:tcBorders>
              <w:tl2br w:val="nil"/>
              <w:tr2bl w:val="nil"/>
            </w:tcBorders>
            <w:noWrap w:val="0"/>
            <w:vAlign w:val="center"/>
          </w:tcPr>
          <w:p w14:paraId="5D56A6C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   </w:t>
            </w:r>
            <w:r>
              <w:rPr>
                <w:rFonts w:hint="eastAsia"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p>
        </w:tc>
      </w:tr>
      <w:tr w14:paraId="723A49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30366CA7">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72" w:type="pct"/>
            <w:tcBorders>
              <w:tl2br w:val="nil"/>
              <w:tr2bl w:val="nil"/>
            </w:tcBorders>
            <w:noWrap w:val="0"/>
            <w:vAlign w:val="center"/>
          </w:tcPr>
          <w:p w14:paraId="4C2BAFF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生态流量确定</w:t>
            </w:r>
          </w:p>
        </w:tc>
        <w:tc>
          <w:tcPr>
            <w:tcW w:w="3761" w:type="pct"/>
            <w:gridSpan w:val="11"/>
            <w:tcBorders>
              <w:tl2br w:val="nil"/>
              <w:tr2bl w:val="nil"/>
            </w:tcBorders>
            <w:noWrap w:val="0"/>
            <w:vAlign w:val="center"/>
          </w:tcPr>
          <w:p w14:paraId="66AD06C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生态流量：一般水期</w:t>
            </w:r>
            <w:r>
              <w:rPr>
                <w:rFonts w:hint="default" w:ascii="Times New Roman" w:hAnsi="Times New Roman" w:eastAsia="宋体" w:cs="Times New Roman"/>
                <w:color w:val="000000" w:themeColor="text1"/>
                <w:spacing w:val="-15"/>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20"/>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15"/>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m</w:t>
            </w:r>
            <w:r>
              <w:rPr>
                <w:rFonts w:hint="default" w:ascii="Times New Roman" w:hAnsi="Times New Roman" w:eastAsia="宋体" w:cs="Times New Roman"/>
                <w:color w:val="000000" w:themeColor="text1"/>
                <w:spacing w:val="-3"/>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/s；鱼类繁殖期</w:t>
            </w:r>
            <w:r>
              <w:rPr>
                <w:rFonts w:hint="default" w:ascii="Times New Roman" w:hAnsi="Times New Roman" w:eastAsia="宋体" w:cs="Times New Roman"/>
                <w:color w:val="000000" w:themeColor="text1"/>
                <w:spacing w:val="-15"/>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19"/>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15"/>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m</w:t>
            </w:r>
            <w:r>
              <w:rPr>
                <w:rFonts w:hint="default" w:ascii="Times New Roman" w:hAnsi="Times New Roman" w:eastAsia="宋体" w:cs="Times New Roman"/>
                <w:color w:val="000000" w:themeColor="text1"/>
                <w:spacing w:val="-3"/>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/s；其他</w:t>
            </w:r>
            <w:r>
              <w:rPr>
                <w:rFonts w:hint="default" w:ascii="Times New Roman" w:hAnsi="Times New Roman" w:eastAsia="宋体" w:cs="Times New Roman"/>
                <w:color w:val="000000" w:themeColor="text1"/>
                <w:spacing w:val="-15"/>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18"/>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15"/>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m</w:t>
            </w:r>
            <w:r>
              <w:rPr>
                <w:rFonts w:hint="default" w:ascii="Times New Roman" w:hAnsi="Times New Roman" w:eastAsia="宋体" w:cs="Times New Roman"/>
                <w:color w:val="000000" w:themeColor="text1"/>
                <w:spacing w:val="-3"/>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/s</w:t>
            </w:r>
          </w:p>
          <w:p w14:paraId="72BB9A2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生态水位：一般水期</w:t>
            </w:r>
            <w:r>
              <w:rPr>
                <w:rFonts w:hint="default" w:ascii="Times New Roman" w:hAnsi="Times New Roman" w:eastAsia="宋体" w:cs="Times New Roman"/>
                <w:color w:val="000000" w:themeColor="text1"/>
                <w:spacing w:val="-13"/>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19"/>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13"/>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m；鱼类繁殖期</w:t>
            </w:r>
            <w:r>
              <w:rPr>
                <w:rFonts w:hint="default" w:ascii="Times New Roman" w:hAnsi="Times New Roman" w:eastAsia="宋体" w:cs="Times New Roman"/>
                <w:color w:val="000000" w:themeColor="text1"/>
                <w:spacing w:val="-13"/>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10"/>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13"/>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m；其他</w:t>
            </w:r>
            <w:r>
              <w:rPr>
                <w:rFonts w:hint="default" w:ascii="Times New Roman" w:hAnsi="Times New Roman" w:eastAsia="宋体" w:cs="Times New Roman"/>
                <w:color w:val="000000" w:themeColor="text1"/>
                <w:spacing w:val="-13"/>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10"/>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13"/>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m</w:t>
            </w:r>
          </w:p>
        </w:tc>
      </w:tr>
      <w:tr w14:paraId="11C269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restart"/>
            <w:tcBorders>
              <w:tl2br w:val="nil"/>
              <w:tr2bl w:val="nil"/>
            </w:tcBorders>
            <w:noWrap w:val="0"/>
            <w:vAlign w:val="center"/>
          </w:tcPr>
          <w:p w14:paraId="5158CDB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防治措施</w:t>
            </w:r>
          </w:p>
        </w:tc>
        <w:tc>
          <w:tcPr>
            <w:tcW w:w="672" w:type="pct"/>
            <w:tcBorders>
              <w:tl2br w:val="nil"/>
              <w:tr2bl w:val="nil"/>
            </w:tcBorders>
            <w:noWrap w:val="0"/>
            <w:vAlign w:val="center"/>
          </w:tcPr>
          <w:p w14:paraId="3FB7B33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环保措施</w:t>
            </w:r>
          </w:p>
        </w:tc>
        <w:tc>
          <w:tcPr>
            <w:tcW w:w="3761" w:type="pct"/>
            <w:gridSpan w:val="11"/>
            <w:tcBorders>
              <w:tl2br w:val="nil"/>
              <w:tr2bl w:val="nil"/>
            </w:tcBorders>
            <w:noWrap w:val="0"/>
            <w:vAlign w:val="center"/>
          </w:tcPr>
          <w:p w14:paraId="0D41409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污水处理设施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；水文减缓设施 □；生态流量保障设施 □；区域削减 □；依托其他工程措施 □；其他 □</w:t>
            </w:r>
          </w:p>
        </w:tc>
      </w:tr>
      <w:tr w14:paraId="1CE0FF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25869555">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vMerge w:val="restart"/>
            <w:tcBorders>
              <w:tl2br w:val="nil"/>
              <w:tr2bl w:val="nil"/>
            </w:tcBorders>
            <w:noWrap w:val="0"/>
            <w:vAlign w:val="center"/>
          </w:tcPr>
          <w:p w14:paraId="749B79E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监测计划</w:t>
            </w:r>
          </w:p>
        </w:tc>
        <w:tc>
          <w:tcPr>
            <w:tcW w:w="562" w:type="pct"/>
            <w:tcBorders>
              <w:tl2br w:val="nil"/>
              <w:tr2bl w:val="nil"/>
            </w:tcBorders>
            <w:noWrap w:val="0"/>
            <w:vAlign w:val="center"/>
          </w:tcPr>
          <w:p w14:paraId="2B727F29">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1489" w:type="pct"/>
            <w:gridSpan w:val="6"/>
            <w:tcBorders>
              <w:tl2br w:val="nil"/>
              <w:tr2bl w:val="nil"/>
            </w:tcBorders>
            <w:noWrap w:val="0"/>
            <w:vAlign w:val="center"/>
          </w:tcPr>
          <w:p w14:paraId="393A692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环境质量</w:t>
            </w:r>
          </w:p>
        </w:tc>
        <w:tc>
          <w:tcPr>
            <w:tcW w:w="1709" w:type="pct"/>
            <w:gridSpan w:val="4"/>
            <w:tcBorders>
              <w:tl2br w:val="nil"/>
              <w:tr2bl w:val="nil"/>
            </w:tcBorders>
            <w:noWrap w:val="0"/>
            <w:vAlign w:val="center"/>
          </w:tcPr>
          <w:p w14:paraId="28B578F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污染源</w:t>
            </w:r>
          </w:p>
        </w:tc>
      </w:tr>
      <w:tr w14:paraId="3F7355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70841C52">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672" w:type="pct"/>
            <w:vMerge w:val="continue"/>
            <w:tcBorders>
              <w:tl2br w:val="nil"/>
              <w:tr2bl w:val="nil"/>
            </w:tcBorders>
            <w:noWrap w:val="0"/>
            <w:vAlign w:val="center"/>
          </w:tcPr>
          <w:p w14:paraId="48924C8E">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562" w:type="pct"/>
            <w:tcBorders>
              <w:tl2br w:val="nil"/>
              <w:tr2bl w:val="nil"/>
            </w:tcBorders>
            <w:noWrap w:val="0"/>
            <w:vAlign w:val="center"/>
          </w:tcPr>
          <w:p w14:paraId="04B9C1D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监测方式</w:t>
            </w:r>
          </w:p>
        </w:tc>
        <w:tc>
          <w:tcPr>
            <w:tcW w:w="1489" w:type="pct"/>
            <w:gridSpan w:val="6"/>
            <w:tcBorders>
              <w:tl2br w:val="nil"/>
              <w:tr2bl w:val="nil"/>
            </w:tcBorders>
            <w:noWrap w:val="0"/>
            <w:vAlign w:val="center"/>
          </w:tcPr>
          <w:p w14:paraId="0351B8E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手动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 自动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；无监测 □</w:t>
            </w:r>
          </w:p>
        </w:tc>
        <w:tc>
          <w:tcPr>
            <w:tcW w:w="1709" w:type="pct"/>
            <w:gridSpan w:val="4"/>
            <w:tcBorders>
              <w:tl2br w:val="nil"/>
              <w:tr2bl w:val="nil"/>
            </w:tcBorders>
            <w:noWrap w:val="0"/>
            <w:vAlign w:val="center"/>
          </w:tcPr>
          <w:p w14:paraId="47DDD7E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手动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 xml:space="preserve"> ； 自动 </w:t>
            </w:r>
            <w:r>
              <w:rPr>
                <w:rFonts w:hint="default" w:ascii="Times New Roman" w:hAnsi="Times New Roman" w:eastAsia="宋体" w:cs="Times New Roman"/>
                <w:color w:val="000000" w:themeColor="text1"/>
                <w:spacing w:val="-2"/>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；无监测 □</w:t>
            </w:r>
          </w:p>
        </w:tc>
      </w:tr>
      <w:tr w14:paraId="067D96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6FB2DEE3">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72" w:type="pct"/>
            <w:vMerge w:val="continue"/>
            <w:tcBorders>
              <w:tl2br w:val="nil"/>
              <w:tr2bl w:val="nil"/>
            </w:tcBorders>
            <w:noWrap w:val="0"/>
            <w:vAlign w:val="center"/>
          </w:tcPr>
          <w:p w14:paraId="4497C171">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62" w:type="pct"/>
            <w:tcBorders>
              <w:tl2br w:val="nil"/>
              <w:tr2bl w:val="nil"/>
            </w:tcBorders>
            <w:noWrap w:val="0"/>
            <w:vAlign w:val="center"/>
          </w:tcPr>
          <w:p w14:paraId="7083E9B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监测点位</w:t>
            </w:r>
          </w:p>
        </w:tc>
        <w:tc>
          <w:tcPr>
            <w:tcW w:w="1489" w:type="pct"/>
            <w:gridSpan w:val="6"/>
            <w:tcBorders>
              <w:tl2br w:val="nil"/>
              <w:tr2bl w:val="nil"/>
            </w:tcBorders>
            <w:noWrap w:val="0"/>
            <w:vAlign w:val="center"/>
          </w:tcPr>
          <w:p w14:paraId="1ACB0FF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p>
        </w:tc>
        <w:tc>
          <w:tcPr>
            <w:tcW w:w="1709" w:type="pct"/>
            <w:gridSpan w:val="4"/>
            <w:tcBorders>
              <w:tl2br w:val="nil"/>
              <w:tr2bl w:val="nil"/>
            </w:tcBorders>
            <w:noWrap w:val="0"/>
            <w:vAlign w:val="center"/>
          </w:tcPr>
          <w:p w14:paraId="16B9799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pacing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厂区出水口</w:t>
            </w:r>
          </w:p>
        </w:tc>
      </w:tr>
      <w:tr w14:paraId="0D6B1C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textDirection w:val="tbRlV"/>
            <w:vAlign w:val="center"/>
          </w:tcPr>
          <w:p w14:paraId="1A35BD6E">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72" w:type="pct"/>
            <w:vMerge w:val="continue"/>
            <w:tcBorders>
              <w:tl2br w:val="nil"/>
              <w:tr2bl w:val="nil"/>
            </w:tcBorders>
            <w:noWrap w:val="0"/>
            <w:vAlign w:val="center"/>
          </w:tcPr>
          <w:p w14:paraId="76C37C13">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62" w:type="pct"/>
            <w:tcBorders>
              <w:tl2br w:val="nil"/>
              <w:tr2bl w:val="nil"/>
            </w:tcBorders>
            <w:noWrap w:val="0"/>
            <w:vAlign w:val="center"/>
          </w:tcPr>
          <w:p w14:paraId="58ECA3E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监测因子</w:t>
            </w:r>
          </w:p>
        </w:tc>
        <w:tc>
          <w:tcPr>
            <w:tcW w:w="1489" w:type="pct"/>
            <w:gridSpan w:val="6"/>
            <w:tcBorders>
              <w:tl2br w:val="nil"/>
              <w:tr2bl w:val="nil"/>
            </w:tcBorders>
            <w:noWrap w:val="0"/>
            <w:vAlign w:val="center"/>
          </w:tcPr>
          <w:p w14:paraId="69FBB9C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eastAsia"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eastAsia" w:eastAsia="宋体" w:cs="Times New Roman"/>
                <w:color w:val="000000" w:themeColor="text1"/>
                <w:spacing w:val="-2"/>
                <w:sz w:val="21"/>
                <w:szCs w:val="21"/>
                <w:highlight w:val="none"/>
                <w:lang w:val="en-US" w:eastAsia="zh-CN"/>
                <w14:textFill>
                  <w14:solidFill>
                    <w14:schemeClr w14:val="tx1"/>
                  </w14:solidFill>
                </w14:textFill>
              </w:rPr>
              <w:t>/</w:t>
            </w:r>
          </w:p>
        </w:tc>
        <w:tc>
          <w:tcPr>
            <w:tcW w:w="1709" w:type="pct"/>
            <w:gridSpan w:val="4"/>
            <w:tcBorders>
              <w:tl2br w:val="nil"/>
              <w:tr2bl w:val="nil"/>
            </w:tcBorders>
            <w:noWrap w:val="0"/>
            <w:vAlign w:val="center"/>
          </w:tcPr>
          <w:p w14:paraId="6A7D965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自动监测</w:t>
            </w:r>
            <w:r>
              <w:rPr>
                <w:rFonts w:hint="eastAsia" w:eastAsia="宋体" w:cs="Times New Roman"/>
                <w:color w:val="000000" w:themeColor="text1"/>
                <w:spacing w:val="-2"/>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流量、pH值、水温、化学需氧量、氨氮、总磷、总氮</w:t>
            </w:r>
            <w:r>
              <w:rPr>
                <w:rFonts w:hint="eastAsia" w:eastAsia="宋体" w:cs="Times New Roman"/>
                <w:color w:val="000000" w:themeColor="text1"/>
                <w:spacing w:val="-2"/>
                <w:sz w:val="21"/>
                <w:szCs w:val="21"/>
                <w:highlight w:val="none"/>
                <w:lang w:val="en-US" w:eastAsia="zh-CN"/>
                <w14:textFill>
                  <w14:solidFill>
                    <w14:schemeClr w14:val="tx1"/>
                  </w14:solidFill>
                </w14:textFill>
              </w:rPr>
              <w:t>人工监测：</w:t>
            </w: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悬浮物、色度、五日生化需氧量、动植物油、石油类、阴离子表面活性剂、粪大肠菌群</w:t>
            </w:r>
          </w:p>
          <w:p w14:paraId="0C78C49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总镉、总铬、总汞、总铅、总砷、六价铬</w:t>
            </w:r>
            <w:r>
              <w:rPr>
                <w:rFonts w:hint="eastAsia" w:eastAsia="宋体" w:cs="Times New Roman"/>
                <w:color w:val="000000" w:themeColor="text1"/>
                <w:spacing w:val="-2"/>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烷基汞</w:t>
            </w:r>
            <w:r>
              <w:rPr>
                <w:rFonts w:hint="eastAsia" w:eastAsia="宋体" w:cs="Times New Roman"/>
                <w:color w:val="000000" w:themeColor="text1"/>
                <w:spacing w:val="-2"/>
                <w:sz w:val="21"/>
                <w:szCs w:val="21"/>
                <w:highlight w:val="none"/>
                <w:lang w:val="en-US" w:eastAsia="zh-CN"/>
                <w14:textFill>
                  <w14:solidFill>
                    <w14:schemeClr w14:val="tx1"/>
                  </w14:solidFill>
                </w14:textFill>
              </w:rPr>
              <w:t>。</w:t>
            </w:r>
          </w:p>
        </w:tc>
      </w:tr>
      <w:tr w14:paraId="1B5C6D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65" w:type="pct"/>
            <w:vMerge w:val="continue"/>
            <w:tcBorders>
              <w:tl2br w:val="nil"/>
              <w:tr2bl w:val="nil"/>
            </w:tcBorders>
            <w:noWrap w:val="0"/>
            <w:vAlign w:val="center"/>
          </w:tcPr>
          <w:p w14:paraId="69A5CE87">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736" w:type="pct"/>
            <w:gridSpan w:val="5"/>
            <w:tcBorders>
              <w:tl2br w:val="nil"/>
              <w:tr2bl w:val="nil"/>
            </w:tcBorders>
            <w:noWrap w:val="0"/>
            <w:vAlign w:val="center"/>
          </w:tcPr>
          <w:p w14:paraId="193D5D3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污染物排放清单</w:t>
            </w:r>
          </w:p>
        </w:tc>
        <w:tc>
          <w:tcPr>
            <w:tcW w:w="2697" w:type="pct"/>
            <w:gridSpan w:val="7"/>
            <w:tcBorders>
              <w:tl2br w:val="nil"/>
              <w:tr2bl w:val="nil"/>
            </w:tcBorders>
            <w:noWrap w:val="0"/>
            <w:vAlign w:val="center"/>
          </w:tcPr>
          <w:p w14:paraId="435859F2">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tc>
      </w:tr>
      <w:tr w14:paraId="4471BD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2302" w:type="pct"/>
            <w:gridSpan w:val="6"/>
            <w:tcBorders>
              <w:tl2br w:val="nil"/>
              <w:tr2bl w:val="nil"/>
            </w:tcBorders>
            <w:noWrap w:val="0"/>
            <w:vAlign w:val="center"/>
          </w:tcPr>
          <w:p w14:paraId="3A3A0E81">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评价结论</w:t>
            </w:r>
          </w:p>
        </w:tc>
        <w:tc>
          <w:tcPr>
            <w:tcW w:w="2697" w:type="pct"/>
            <w:gridSpan w:val="7"/>
            <w:tcBorders>
              <w:tl2br w:val="nil"/>
              <w:tr2bl w:val="nil"/>
            </w:tcBorders>
            <w:noWrap w:val="0"/>
            <w:vAlign w:val="center"/>
          </w:tcPr>
          <w:p w14:paraId="5C65B728">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14:textFill>
                  <w14:solidFill>
                    <w14:schemeClr w14:val="tx1"/>
                  </w14:solidFill>
                </w14:textFill>
              </w:rPr>
              <w:t>可以接受</w:t>
            </w:r>
            <w:r>
              <w:rPr>
                <w:rFonts w:hint="default" w:ascii="Times New Roman" w:hAnsi="Times New Roman" w:eastAsia="宋体" w:cs="Times New Roman"/>
                <w:color w:val="000000" w:themeColor="text1"/>
                <w:spacing w:val="29"/>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5"/>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67"/>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5"/>
                <w:sz w:val="21"/>
                <w:szCs w:val="21"/>
                <w:highlight w:val="none"/>
                <w14:textFill>
                  <w14:solidFill>
                    <w14:schemeClr w14:val="tx1"/>
                  </w14:solidFill>
                </w14:textFill>
              </w:rPr>
              <w:t>；不可以接受</w:t>
            </w:r>
            <w:r>
              <w:rPr>
                <w:rFonts w:hint="default" w:ascii="Times New Roman" w:hAnsi="Times New Roman" w:eastAsia="宋体" w:cs="Times New Roman"/>
                <w:color w:val="000000" w:themeColor="text1"/>
                <w:spacing w:val="26"/>
                <w:w w:val="101"/>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5"/>
                <w:sz w:val="21"/>
                <w:szCs w:val="21"/>
                <w:highlight w:val="none"/>
                <w14:textFill>
                  <w14:solidFill>
                    <w14:schemeClr w14:val="tx1"/>
                  </w14:solidFill>
                </w14:textFill>
              </w:rPr>
              <w:t>□</w:t>
            </w:r>
          </w:p>
        </w:tc>
      </w:tr>
      <w:tr w14:paraId="618610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000" w:type="pct"/>
            <w:gridSpan w:val="13"/>
            <w:tcBorders>
              <w:tl2br w:val="nil"/>
              <w:tr2bl w:val="nil"/>
            </w:tcBorders>
            <w:noWrap w:val="0"/>
            <w:vAlign w:val="center"/>
          </w:tcPr>
          <w:p w14:paraId="24DBD1A0">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注：“□”为勾选项，可√</w:t>
            </w:r>
            <w:r>
              <w:rPr>
                <w:rFonts w:hint="default" w:ascii="Times New Roman" w:hAnsi="Times New Roman" w:eastAsia="宋体" w:cs="Times New Roman"/>
                <w:color w:val="000000" w:themeColor="text1"/>
                <w:spacing w:val="-51"/>
                <w:sz w:val="21"/>
                <w:szCs w:val="21"/>
                <w:highlight w:val="none"/>
                <w14:textFill>
                  <w14:solidFill>
                    <w14:schemeClr w14:val="tx1"/>
                  </w14:solidFill>
                </w14:textFill>
              </w:rPr>
              <w:t xml:space="preserve"> </w:t>
            </w:r>
            <w:r>
              <w:rPr>
                <w:rFonts w:hint="eastAsia" w:cs="Times New Roman"/>
                <w:color w:val="000000" w:themeColor="text1"/>
                <w:spacing w:val="-5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37"/>
                <w:sz w:val="21"/>
                <w:szCs w:val="21"/>
                <w:highlight w:val="none"/>
                <w14:textFill>
                  <w14:solidFill>
                    <w14:schemeClr w14:val="tx1"/>
                  </w14:solidFill>
                </w14:textFill>
              </w:rPr>
              <w:t xml:space="preserve"> </w:t>
            </w:r>
            <w:r>
              <w:rPr>
                <w:rFonts w:hint="eastAsia" w:ascii="Times New Roman" w:hAnsi="Times New Roman" w:eastAsia="宋体" w:cs="Times New Roman"/>
                <w:color w:val="000000" w:themeColor="text1"/>
                <w:spacing w:val="-3"/>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18"/>
                <w:sz w:val="21"/>
                <w:szCs w:val="21"/>
                <w:highlight w:val="none"/>
                <w14:textFill>
                  <w14:solidFill>
                    <w14:schemeClr w14:val="tx1"/>
                  </w14:solidFill>
                </w14:textFill>
              </w:rPr>
              <w:t xml:space="preserve">   </w:t>
            </w:r>
            <w:r>
              <w:rPr>
                <w:rFonts w:hint="eastAsia" w:ascii="Times New Roman" w:hAnsi="Times New Roman" w:eastAsia="宋体" w:cs="Times New Roman"/>
                <w:color w:val="000000" w:themeColor="text1"/>
                <w:spacing w:val="-3"/>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37"/>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”为内容填写项；“备注”为其他补充内容。</w:t>
            </w:r>
          </w:p>
        </w:tc>
      </w:tr>
    </w:tbl>
    <w:p w14:paraId="45F97B2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p>
    <w:p w14:paraId="014938CC">
      <w:pPr>
        <w:pStyle w:val="3"/>
        <w:bidi w:val="0"/>
        <w:rPr>
          <w:rFonts w:hint="default"/>
          <w:color w:val="000000" w:themeColor="text1"/>
          <w:highlight w:val="none"/>
          <w:lang w:val="en-US" w:eastAsia="zh-CN"/>
          <w14:textFill>
            <w14:solidFill>
              <w14:schemeClr w14:val="tx1"/>
            </w14:solidFill>
          </w14:textFill>
        </w:rPr>
      </w:pPr>
      <w:bookmarkStart w:id="140" w:name="_Toc13210"/>
      <w:r>
        <w:rPr>
          <w:rFonts w:hint="eastAsia"/>
          <w:color w:val="000000" w:themeColor="text1"/>
          <w:highlight w:val="none"/>
          <w:lang w:val="en-US" w:eastAsia="zh-CN"/>
          <w14:textFill>
            <w14:solidFill>
              <w14:schemeClr w14:val="tx1"/>
            </w14:solidFill>
          </w14:textFill>
        </w:rPr>
        <w:t>5.6</w:t>
      </w:r>
      <w:r>
        <w:rPr>
          <w:rFonts w:hint="default"/>
          <w:color w:val="000000" w:themeColor="text1"/>
          <w:highlight w:val="none"/>
          <w:lang w:val="en-US" w:eastAsia="zh-CN"/>
          <w14:textFill>
            <w14:solidFill>
              <w14:schemeClr w14:val="tx1"/>
            </w14:solidFill>
          </w14:textFill>
        </w:rPr>
        <w:t>排污合法性分析</w:t>
      </w:r>
      <w:bookmarkEnd w:id="140"/>
    </w:p>
    <w:p w14:paraId="4B0BD0C3">
      <w:pPr>
        <w:pStyle w:val="4"/>
        <w:bidi w:val="0"/>
        <w:rPr>
          <w:rFonts w:hint="default"/>
          <w:color w:val="000000" w:themeColor="text1"/>
          <w:highlight w:val="none"/>
          <w:lang w:val="en-US" w:eastAsia="zh-CN"/>
          <w14:textFill>
            <w14:solidFill>
              <w14:schemeClr w14:val="tx1"/>
            </w14:solidFill>
          </w14:textFill>
        </w:rPr>
      </w:pPr>
      <w:bookmarkStart w:id="141" w:name="_Toc30941"/>
      <w:bookmarkStart w:id="142" w:name="_Toc25261"/>
      <w:r>
        <w:rPr>
          <w:rFonts w:hint="eastAsia"/>
          <w:color w:val="000000" w:themeColor="text1"/>
          <w:highlight w:val="none"/>
          <w:lang w:val="en-US" w:eastAsia="zh-CN"/>
          <w14:textFill>
            <w14:solidFill>
              <w14:schemeClr w14:val="tx1"/>
            </w14:solidFill>
          </w14:textFill>
        </w:rPr>
        <w:t>5.6.1本项目对区域的削减贡献</w:t>
      </w:r>
      <w:bookmarkEnd w:id="141"/>
      <w:bookmarkEnd w:id="142"/>
    </w:p>
    <w:p w14:paraId="36CB952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项目通过高效污水处理工艺，重点削减化学需氧量（COD）、氨氮（NH</w:t>
      </w:r>
      <w:r>
        <w:rPr>
          <w:rFonts w:hint="eastAsia"/>
          <w:color w:val="000000" w:themeColor="text1"/>
          <w:highlight w:val="none"/>
          <w:vertAlign w:val="sub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-N）、总磷（TP）、总氮（TN）等HJ2.3-2018明确的水污染影响型核心评价因子及富营养化相关因子。</w:t>
      </w:r>
    </w:p>
    <w:p w14:paraId="1639060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结合二排干近三年水质变化趋势，项目实施后可有效遏制COD、高锰酸盐指数小幅上升态势，进一步巩固总磷浓度显著下降的良好局面，确保二排干地表水质持续稳定满足《地表水环境质量标准》（GB3838-2002）Ⅴ类标准。同时，污染因子的精准削减可降低河道内源污染累积风险，提升水体自净能力，为二排干水环境功能稳定发挥提供核心支撑。</w:t>
      </w:r>
    </w:p>
    <w:p w14:paraId="77BC28F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二排干作为乌梁素海流域的重要入流通道，其营养盐输入负荷直接影响湖库富营养化风险。项目针对性削减总磷、总氮等富营养化关键驱动因子，可有效减少进入乌梁素海的营养盐总量，缓解湖库水体营养盐累积压力，降低水华等生态环境问题发生风险。这一削减效应与乌梁素海流域生态保护目标高度契合，为湿地生态系统、水生生物栖息地保护及流域水环境质量改善目标的实现提供了重要保障。</w:t>
      </w:r>
    </w:p>
    <w:p w14:paraId="30BC0A6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二排干流域污染源以农业面源、生活污水为主，项目作为点源污染治理关键工程，其污染削减成果可与区域面源污染管控形成协同效应。通过系统性削减点源污染负荷，可有效腾挪二排干水环境容量，缓解区域污染物叠加影响，提升流域整体水环境承载能力。此外，项目对污染物的削减还可间接降低地表水体污染物下渗风险，助力流域“河-湖-地下水”协同保护体系构建。</w:t>
      </w:r>
    </w:p>
    <w:p w14:paraId="2A272BA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综上，本项目通过优化污水处理工艺，针对性削减COD、氨氮、总磷、总氮等核心污染因子及富营养化相关因子，为区域水环境改善提供有力支撑。项目实施后，可助力二排干巩固水质改善成效，保障其地表水质稳定达到Ⅴ类标准，同时提升水体自净能力，降低内源污染累积风险。</w:t>
      </w:r>
    </w:p>
    <w:p w14:paraId="63F6F910">
      <w:pPr>
        <w:pStyle w:val="4"/>
        <w:bidi w:val="0"/>
        <w:rPr>
          <w:rFonts w:hint="default"/>
          <w:color w:val="000000" w:themeColor="text1"/>
          <w:highlight w:val="none"/>
          <w:lang w:val="en-US" w:eastAsia="zh-CN"/>
          <w14:textFill>
            <w14:solidFill>
              <w14:schemeClr w14:val="tx1"/>
            </w14:solidFill>
          </w14:textFill>
        </w:rPr>
      </w:pPr>
      <w:bookmarkStart w:id="143" w:name="_Toc31473"/>
      <w:bookmarkStart w:id="144" w:name="_Toc12128"/>
      <w:r>
        <w:rPr>
          <w:rFonts w:hint="eastAsia"/>
          <w:color w:val="000000" w:themeColor="text1"/>
          <w:highlight w:val="none"/>
          <w:lang w:val="en-US" w:eastAsia="zh-CN"/>
          <w14:textFill>
            <w14:solidFill>
              <w14:schemeClr w14:val="tx1"/>
            </w14:solidFill>
          </w14:textFill>
        </w:rPr>
        <w:t>5.6.2排污合法性分析</w:t>
      </w:r>
      <w:bookmarkEnd w:id="143"/>
      <w:bookmarkEnd w:id="144"/>
    </w:p>
    <w:p w14:paraId="62825C3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本项目废水经处理达标后通过指定排污口排放至二排干，排污行为严格遵循《中华人民共和国水污染防治法》《建设项目环境保护管理条例》等法律法规，契合《环境影响评价技术导则 地表水环境》（HJ2.3-2018）及区域水环境管理相关要求，排污口设置、排放方式、污染物排放等各环节均符合合规性要求，具体分析如下：</w:t>
      </w:r>
    </w:p>
    <w:p w14:paraId="20B9E18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排污口设置合规：本项目排污口选址经科学论证，布设于二排干指定河段，未设置在饮用水水源保护区、自然保护区等水环境敏感区域，且与磴口县补隆淖尔镇地下水型饮用水水源地保持合理距离，排污口建设符合河道管理、水环境保护目标管控等相关规定；排污口设置形式、标识标注等均满足《排污口规范化整治技术要求》，具备规范的监测、采样条件，可实现排污状况的有效监控。</w:t>
      </w:r>
    </w:p>
    <w:p w14:paraId="1BE88302">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排放方式与去向合规：项目废水为连续稳定排放，无冲击型排放情况，排放去向为二排干—该水体水环境功能定位为区域排水通道、乌梁素海流域入流载体，项目排放未改变二排干原有水环境功能，且符合区域水环境规划及排污口布局要求，不存在违规排放至禁止水域的情形。</w:t>
      </w:r>
    </w:p>
    <w:p w14:paraId="2667A8E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污染物排放达标：项目废水经配套污水处理设施处理后，化学需氧量（COD）、氨氮（NH</w:t>
      </w:r>
      <w:r>
        <w:rPr>
          <w:rFonts w:hint="eastAsia"/>
          <w:color w:val="000000" w:themeColor="text1"/>
          <w:highlight w:val="none"/>
          <w:vertAlign w:val="sub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N）、总磷（TP）等核心污染物排放浓度均严格满足国家及地方相关行业排放标准限值；结合HJ2.3-2018要求，按二排干Ⅴ类水域标准预留8%以上安全余量后，排放污染物叠加受纳水体背景浓度，仍满足《地表水环境质量标准》（GB3838-2002）Ⅴ类标准，且经预测，污染物在二排干内沿程衰减，不会对下游水环境保护目标造成不利影响。</w:t>
      </w:r>
    </w:p>
    <w:p w14:paraId="7577F09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排放总量与管控要求合规：本项目污染物排放总量已纳入区域水环境控制单元总量分配方案，满足区域重点水污染物排放总量控制指标要求，总磷、总氮等富营养化因子排放量充分契合乌梁素海流域水环境质量改善目标；排污行为严格遵循“三线一单”区域环境管控要求，污染物排放强度、浓度均符合区域环境准入清单相关规定，未突破水环境质量底线和资源利用上线。</w:t>
      </w:r>
    </w:p>
    <w:p w14:paraId="5D1C418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配套管理与监测合规：项目已按规范制定完善的排污口日常管理、维护制度，同时依据HJ2.3-2018及《排污单位自行监测技术指南》要求，制定了涵盖排污口、下游控制断面的常态化监测计划，监测因子、频次、方法均符合规范，可实现排污数据的实时、准确监测，确保排污行为可监控、可追溯，满足排污许可管理制度相关要求。</w:t>
      </w:r>
    </w:p>
    <w:p w14:paraId="5676B74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综上，本项目排污口设置科学规范、排放方式与去向符合规定、污染物排放浓度及总量均满足相关标准和管控要求，且配套完善的监测与管理体系，项目整体排污行为合法合规，在严格落实各项水污染控制与减缓措施、确保废水稳定达标排放的前提下，排污行为不会对二排干及乌梁素海流域水环境造成违规影响。</w:t>
      </w:r>
    </w:p>
    <w:p w14:paraId="15D0F061">
      <w:pPr>
        <w:pStyle w:val="2"/>
        <w:bidi w:val="0"/>
        <w:rPr>
          <w:rFonts w:hint="eastAsia"/>
          <w:color w:val="000000" w:themeColor="text1"/>
          <w:highlight w:val="none"/>
          <w:lang w:val="en-US" w:eastAsia="zh-CN"/>
          <w14:textFill>
            <w14:solidFill>
              <w14:schemeClr w14:val="tx1"/>
            </w14:solidFill>
          </w14:textFill>
        </w:rPr>
      </w:pPr>
      <w:bookmarkStart w:id="145" w:name="_Toc8816"/>
      <w:r>
        <w:rPr>
          <w:rFonts w:hint="eastAsia"/>
          <w:color w:val="000000" w:themeColor="text1"/>
          <w:highlight w:val="none"/>
          <w:lang w:val="en-US" w:eastAsia="zh-CN"/>
          <w14:textFill>
            <w14:solidFill>
              <w14:schemeClr w14:val="tx1"/>
            </w14:solidFill>
          </w14:textFill>
        </w:rPr>
        <w:t>6环境保护措施及技术可行性</w:t>
      </w:r>
      <w:bookmarkEnd w:id="145"/>
    </w:p>
    <w:p w14:paraId="54A7A893">
      <w:pPr>
        <w:pStyle w:val="3"/>
        <w:bidi w:val="0"/>
        <w:rPr>
          <w:rFonts w:hint="eastAsia"/>
          <w:color w:val="000000" w:themeColor="text1"/>
          <w:highlight w:val="none"/>
          <w:lang w:val="en-US" w:eastAsia="zh-CN"/>
          <w14:textFill>
            <w14:solidFill>
              <w14:schemeClr w14:val="tx1"/>
            </w14:solidFill>
          </w14:textFill>
        </w:rPr>
      </w:pPr>
      <w:bookmarkStart w:id="146" w:name="_Toc18679"/>
      <w:r>
        <w:rPr>
          <w:rFonts w:hint="eastAsia"/>
          <w:color w:val="000000" w:themeColor="text1"/>
          <w:highlight w:val="none"/>
          <w:lang w:val="en-US" w:eastAsia="zh-CN"/>
          <w14:textFill>
            <w14:solidFill>
              <w14:schemeClr w14:val="tx1"/>
            </w14:solidFill>
          </w14:textFill>
        </w:rPr>
        <w:t>6.1环保措施</w:t>
      </w:r>
      <w:bookmarkEnd w:id="146"/>
    </w:p>
    <w:p w14:paraId="4F8570D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本项目城镇生活污水及部分工业废水采用“调节池及提升泵房+细格栅及沉砂池+A²/O生化池+MBR膜+消毒”处理工艺，磴口一期污水处理厂升级改造项目处理达标后的尾水部分接入中水厂进行深度处理后回用，剩余部分进入人工湿地进一步净化，最终达到《城镇污水处理厂污染物排放标准》（GB18918-2002）（含2006年、2025年修改单）一级A标准及《地表水环境质量标准》（GB3838-2002）Ⅴ类标准后，通过现有入河排污口（编码：DA-150822-0001-SH-00）排入二排干。</w:t>
      </w:r>
    </w:p>
    <w:p w14:paraId="247B108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本项目属于改扩建性质，不新增入河排污口，依托现有已获批入河排污口（编码：DA-150822-0001-SH-00）排放处理后尾水。该排污口位于磴口县食品工业园区，地理坐标为东经107°2′49.06″、北纬40°24′45.17″，类型为城镇污水处理厂排污口，排放方式为连续排放，入河方式为明渠+管道结合，原许可最大排放量为1239.175万m³/a，此前已作为一期、二期工程共用排污口履行合法设置手续。</w:t>
      </w:r>
    </w:p>
    <w:p w14:paraId="2B77F6A5">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鉴于本项目改扩建后，污水处理规模由现状1.5万m³/d提升至3万m³/d，尾水排放量相应增加，超出原排污口设置论证对应的排放规模，根据《入河入海排污口监督管理技术指南 入河排污口设置》（HJ1386-2024）及区域入河排污口管理相关规定，需针对排污口排放规模扩大情况，重新编制入河排污口设置论证报告，对排污口扩大排放后的水环境影响、承载能力适配性、安全余量保障等进行专项论证，报生态环境主管部门审查批准后，方可按新的排放规模依托该排污口实施排放，确保排污口设置及排放行为全程合法合规，符合地表水环境管理要求。</w:t>
      </w:r>
    </w:p>
    <w:p w14:paraId="758B6981">
      <w:pPr>
        <w:pStyle w:val="3"/>
        <w:bidi w:val="0"/>
        <w:rPr>
          <w:rFonts w:hint="default"/>
          <w:color w:val="000000" w:themeColor="text1"/>
          <w:highlight w:val="none"/>
          <w:lang w:val="en-US" w:eastAsia="zh-CN"/>
          <w14:textFill>
            <w14:solidFill>
              <w14:schemeClr w14:val="tx1"/>
            </w14:solidFill>
          </w14:textFill>
        </w:rPr>
      </w:pPr>
      <w:bookmarkStart w:id="147" w:name="_Toc29875"/>
      <w:r>
        <w:rPr>
          <w:rFonts w:hint="eastAsia"/>
          <w:color w:val="000000" w:themeColor="text1"/>
          <w:highlight w:val="none"/>
          <w:lang w:val="en-US" w:eastAsia="zh-CN"/>
          <w14:textFill>
            <w14:solidFill>
              <w14:schemeClr w14:val="tx1"/>
            </w14:solidFill>
          </w14:textFill>
        </w:rPr>
        <w:t>6.2污水处理工艺</w:t>
      </w:r>
      <w:bookmarkEnd w:id="147"/>
    </w:p>
    <w:p w14:paraId="3161590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污水处理厂的出水水质标准为《城镇污水处理厂污染物排放标准》（GB18918-2002）（含2006年、2025年修改单）一级A标准，可研、设计通过对处理工艺的分别论证，最终确定为：“调节池及提升泵房+细格栅及沉砂池+</w:t>
      </w:r>
      <w:r>
        <w:rPr>
          <w:rFonts w:hint="eastAsia"/>
          <w:color w:val="000000" w:themeColor="text1"/>
          <w:highlight w:val="none"/>
          <w14:textFill>
            <w14:solidFill>
              <w14:schemeClr w14:val="tx1"/>
            </w14:solidFill>
          </w14:textFill>
        </w:rPr>
        <w:t>A</w:t>
      </w:r>
      <w:r>
        <w:rPr>
          <w:rFonts w:hint="eastAsia"/>
          <w:color w:val="000000" w:themeColor="text1"/>
          <w:highlight w:val="none"/>
          <w:vertAlign w:val="superscript"/>
          <w14:textFill>
            <w14:solidFill>
              <w14:schemeClr w14:val="tx1"/>
            </w14:solidFill>
          </w14:textFill>
        </w:rPr>
        <w:t>2</w:t>
      </w:r>
      <w:r>
        <w:rPr>
          <w:rFonts w:hint="eastAsia"/>
          <w:color w:val="000000" w:themeColor="text1"/>
          <w:highlight w:val="none"/>
          <w:vertAlign w:val="baseline"/>
          <w:lang w:val="en-US" w:eastAsia="zh-CN"/>
          <w14:textFill>
            <w14:solidFill>
              <w14:schemeClr w14:val="tx1"/>
            </w14:solidFill>
          </w14:textFill>
        </w:rPr>
        <w:t>/O</w:t>
      </w:r>
      <w:r>
        <w:rPr>
          <w:rFonts w:hint="default" w:ascii="Times New Roman" w:hAnsi="Times New Roman" w:cs="Times New Roman"/>
          <w:bCs/>
          <w:color w:val="000000" w:themeColor="text1"/>
          <w:sz w:val="24"/>
          <w:highlight w:val="none"/>
          <w14:textFill>
            <w14:solidFill>
              <w14:schemeClr w14:val="tx1"/>
            </w14:solidFill>
          </w14:textFill>
        </w:rPr>
        <w:t>生化池+MBR膜+消毒”。根据现场调查，同建设单位、运营单位协商后，本次恶臭处理措施如下：</w:t>
      </w:r>
    </w:p>
    <w:p w14:paraId="0FCFE05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lang w:val="en-US" w:eastAsia="zh-CN"/>
          <w14:textFill>
            <w14:solidFill>
              <w14:schemeClr w14:val="tx1"/>
            </w14:solidFill>
          </w14:textFill>
        </w:rPr>
        <w:t>1</w:t>
      </w:r>
      <w:r>
        <w:rPr>
          <w:rFonts w:hint="default" w:ascii="Times New Roman" w:hAnsi="Times New Roman"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14:textFill>
            <w14:solidFill>
              <w14:schemeClr w14:val="tx1"/>
            </w14:solidFill>
          </w14:textFill>
        </w:rPr>
        <w:t>污水处理单元除臭措施</w:t>
      </w:r>
    </w:p>
    <w:p w14:paraId="5BCEB1B5">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预处理系统包括细格栅间、进水泵房、旋流沉砂池，是前端恶臭主要产生区域。</w:t>
      </w:r>
    </w:p>
    <w:p w14:paraId="172AF14F">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治理措施：对细格栅渠、旋流沉砂池主体构筑物实施密封加盖处理，进水泵房设置密闭式操作空间，减少臭气无组织散逸；通过密封罩配套的集气管道，将收集的臭气统一</w:t>
      </w:r>
      <w:r>
        <w:rPr>
          <w:rFonts w:hint="eastAsia" w:cs="Times New Roman"/>
          <w:color w:val="000000" w:themeColor="text1"/>
          <w:kern w:val="0"/>
          <w:szCs w:val="21"/>
          <w:highlight w:val="none"/>
          <w:lang w:val="en-US" w:eastAsia="zh-CN"/>
          <w14:textFill>
            <w14:solidFill>
              <w14:schemeClr w14:val="tx1"/>
            </w14:solidFill>
          </w14:textFill>
        </w:rPr>
        <w:t>经活性炭吸附后</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，以无组织形式排放。</w:t>
      </w:r>
    </w:p>
    <w:p w14:paraId="750E0AC3">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生化处理系统包括新建厌氧池、改造后缺氧池（原厌氧池、缺氧池改造）、后缺氧池、好氧池（原好氧池+二沉池改造），改造后工艺为A</w:t>
      </w:r>
      <w:r>
        <w:rPr>
          <w:rFonts w:hint="default" w:ascii="Times New Roman" w:hAnsi="Times New Roman" w:eastAsia="宋体" w:cs="Times New Roman"/>
          <w:color w:val="000000" w:themeColor="text1"/>
          <w:kern w:val="0"/>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/O+MBR，厌氧、缺氧区域停留时间延长，恶臭产生风险有所增加。</w:t>
      </w:r>
    </w:p>
    <w:p w14:paraId="30B726FD">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防控措施：定期清理生化池表面浮渣，避免有机物厌氧发酵加剧臭气释放；通过喷洒除臭剂抑制臭气扩散，同时优化生化池运行参数，控制厌氧、缺氧池内污泥停留时间及溶解氧浓度，减少恶臭气体产生量；生化池区域与厂界及周边敏感点利用厂区绿化隔离带吸附部分臭气；虽未设置专门废气收集系统，但通过构筑物半地下式设计、池体加盖密封（新增厌氧池、后缺氧池配套密封措施）减少臭气逸散。</w:t>
      </w:r>
    </w:p>
    <w:p w14:paraId="09325EFA">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新增MBR膜池及膜车间区域，膜池内污泥浓度高，曝气过程易伴随臭气释放。</w:t>
      </w:r>
    </w:p>
    <w:p w14:paraId="10F686A0">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治理措施：MBR膜池采用半地下式结构并配套密封盖板，膜车间设置密闭式围护结构，减少臭气无组织散逸；膜池曝气系统优化为低噪声、低扰动设计，降低曝气过程中臭气夹带强度；车间内配套通风换气装置，保持室内空气流通，同步利用厂区整体绿化隔离带吸附部分扩散臭气。</w:t>
      </w:r>
    </w:p>
    <w:p w14:paraId="6458506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lang w:val="en-US" w:eastAsia="zh-CN"/>
          <w14:textFill>
            <w14:solidFill>
              <w14:schemeClr w14:val="tx1"/>
            </w14:solidFill>
          </w14:textFill>
        </w:rPr>
        <w:t>2</w:t>
      </w:r>
      <w:r>
        <w:rPr>
          <w:rFonts w:hint="default" w:ascii="Times New Roman" w:hAnsi="Times New Roman"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14:textFill>
            <w14:solidFill>
              <w14:schemeClr w14:val="tx1"/>
            </w14:solidFill>
          </w14:textFill>
        </w:rPr>
        <w:t>污泥处理单元除臭措施</w:t>
      </w:r>
    </w:p>
    <w:p w14:paraId="516EDA39">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污泥处理区域包括污泥储池（利旧）、污泥斗、污泥脱水机房（设备更新改造），是恶臭污染重点产生区域。</w:t>
      </w:r>
    </w:p>
    <w:p w14:paraId="3978F6CA">
      <w:pPr>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t>治理措施：污泥储池采用密封盖板（配套密封胶条）；污泥脱水机房保持现有封闭结构，强化门窗密封性能，避免无组织泄漏。在脱水机房内定期置换室内空气以控制恶臭浓度。</w:t>
      </w:r>
    </w:p>
    <w:p w14:paraId="7A3B9F7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根据初步设计，污泥处理单元主要包括污泥储池、污泥脱水机房；其中污泥储池为利旧密闭设施，符合密封防臭要求；污泥脱水机房为改造后厂房式结构，具备密封防护条件；针对污泥转运过程，采取“密闭管道输送+定期清运”措施，同时对整个污泥处理单元常态化采取人工喷洒除臭剂喷雾的措施，有效减少恶臭气体对周边环境的影响。</w:t>
      </w:r>
    </w:p>
    <w:p w14:paraId="0911E32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lang w:val="en-US" w:eastAsia="zh-CN"/>
          <w14:textFill>
            <w14:solidFill>
              <w14:schemeClr w14:val="tx1"/>
            </w14:solidFill>
          </w14:textFill>
        </w:rPr>
        <w:t>3</w:t>
      </w:r>
      <w:r>
        <w:rPr>
          <w:rFonts w:hint="default" w:ascii="Times New Roman" w:hAnsi="Times New Roman"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14:textFill>
            <w14:solidFill>
              <w14:schemeClr w14:val="tx1"/>
            </w14:solidFill>
          </w14:textFill>
        </w:rPr>
        <w:t>总体工艺流程</w:t>
      </w:r>
    </w:p>
    <w:p w14:paraId="6C1328F1">
      <w:pPr>
        <w:keepNext w:val="0"/>
        <w:keepLines w:val="0"/>
        <w:pageBreakBefore w:val="0"/>
        <w:widowControl w:val="0"/>
        <w:kinsoku/>
        <w:wordWrap/>
        <w:overflowPunct/>
        <w:topLinePunct w:val="0"/>
        <w:autoSpaceDE/>
        <w:autoSpaceDN/>
        <w:bidi w:val="0"/>
        <w:adjustRightInd w:val="0"/>
        <w:snapToGrid w:val="0"/>
        <w:textAlignment w:val="auto"/>
        <w:rPr>
          <w:rFonts w:hint="eastAsia" w:ascii="Times New Roman" w:hAnsi="Times New Roman" w:eastAsia="宋体" w:cs="Times New Roman"/>
          <w:bCs/>
          <w:color w:val="000000" w:themeColor="text1"/>
          <w:sz w:val="24"/>
          <w:highlight w:val="none"/>
          <w:lang w:eastAsia="zh-CN"/>
          <w14:textFill>
            <w14:solidFill>
              <w14:schemeClr w14:val="tx1"/>
            </w14:solidFill>
          </w14:textFill>
        </w:rPr>
      </w:pPr>
      <w:r>
        <w:rPr>
          <w:rFonts w:hint="eastAsia" w:ascii="Times New Roman" w:hAnsi="Times New Roman" w:eastAsia="宋体" w:cs="Times New Roman"/>
          <w:bCs/>
          <w:color w:val="000000" w:themeColor="text1"/>
          <w:sz w:val="24"/>
          <w:highlight w:val="none"/>
          <w:lang w:eastAsia="zh-CN"/>
          <w14:textFill>
            <w14:solidFill>
              <w14:schemeClr w14:val="tx1"/>
            </w14:solidFill>
          </w14:textFill>
        </w:rPr>
        <w:drawing>
          <wp:inline distT="0" distB="0" distL="114300" distR="114300">
            <wp:extent cx="5249545" cy="2300605"/>
            <wp:effectExtent l="0" t="0" r="8255" b="4445"/>
            <wp:docPr id="89" name="图片 89" descr="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工艺流程图"/>
                    <pic:cNvPicPr>
                      <a:picLocks noChangeAspect="1"/>
                    </pic:cNvPicPr>
                  </pic:nvPicPr>
                  <pic:blipFill>
                    <a:blip r:embed="rId38"/>
                    <a:stretch>
                      <a:fillRect/>
                    </a:stretch>
                  </pic:blipFill>
                  <pic:spPr>
                    <a:xfrm>
                      <a:off x="0" y="0"/>
                      <a:ext cx="5249545" cy="2300605"/>
                    </a:xfrm>
                    <a:prstGeom prst="rect">
                      <a:avLst/>
                    </a:prstGeom>
                  </pic:spPr>
                </pic:pic>
              </a:graphicData>
            </a:graphic>
          </wp:inline>
        </w:drawing>
      </w:r>
    </w:p>
    <w:p w14:paraId="51CB9C3B">
      <w:pPr>
        <w:pStyle w:val="19"/>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图6.2-1  运营期工艺流程及产排污节点图</w:t>
      </w:r>
    </w:p>
    <w:p w14:paraId="2F21E39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lang w:val="en-US" w:eastAsia="zh-CN"/>
          <w14:textFill>
            <w14:solidFill>
              <w14:schemeClr w14:val="tx1"/>
            </w14:solidFill>
          </w14:textFill>
        </w:rPr>
        <w:t>1</w:t>
      </w:r>
      <w:r>
        <w:rPr>
          <w:rFonts w:hint="default" w:ascii="Times New Roman" w:hAnsi="Times New Roman" w:cs="Times New Roman"/>
          <w:bCs/>
          <w:color w:val="000000" w:themeColor="text1"/>
          <w:sz w:val="24"/>
          <w:highlight w:val="none"/>
          <w14:textFill>
            <w14:solidFill>
              <w14:schemeClr w14:val="tx1"/>
            </w14:solidFill>
          </w14:textFill>
        </w:rPr>
        <w:t>）污水处理工艺流程简述</w:t>
      </w:r>
    </w:p>
    <w:p w14:paraId="480B463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细格栅及提升泵房：细格栅采用转鼓式筛网（筛缝1mm），通过物理筛分截阻污水中大块悬浮固体、漂浮物及粒径≥0.2mm的颗粒物质，避免堵塞后续管道和设备；提升泵房内设置5台立式离心泵（4用1备），将污水提升后实现后续阶段重力流处理，保障工艺连续运行。</w:t>
      </w:r>
    </w:p>
    <w:p w14:paraId="6D95A27B">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旋流沉砂池：核心功能是去除污水中比重较大的无机砂粒，减轻无机颗粒对水泵管道的磨损，降低后续构筑物处理负荷，改善污泥处置条件，项目设旋流沉砂池2座，配套砂水分离器等辅助设备。</w:t>
      </w:r>
    </w:p>
    <w:p w14:paraId="16F8408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厌氧池、缺氧池、好氧池、后缺氧池：通过构筑物分区营造厌氧、缺氧、好氧交替环境，依托活性污泥中微生物的代谢作用，实现对污水中有机物的降解及脱氮除磷；后缺氧池前端投加乙酸钠补充碳源，强化反硝化反应，深度去除总氮，保障出水水质达标。</w:t>
      </w:r>
    </w:p>
    <w:p w14:paraId="51FA5308">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MBR膜池：采用进口PVDF中空纤维膜组件，通过膜过滤实现高效泥水分离，截留活性污泥及悬浮物，进一步提升出水清澈度；膜池配套曝气系统，通过气泡剪切力控制膜污染，保障系统稳定运行，设计膜通量13.8L/</w:t>
      </w:r>
      <w:r>
        <w:rPr>
          <w:rFonts w:hint="eastAsia"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14:textFill>
            <w14:solidFill>
              <w14:schemeClr w14:val="tx1"/>
            </w14:solidFill>
          </w14:textFill>
        </w:rPr>
        <w:t>m</w:t>
      </w:r>
      <w:r>
        <w:rPr>
          <w:rFonts w:hint="default" w:ascii="Times New Roman" w:hAnsi="Times New Roman" w:cs="Times New Roman"/>
          <w:bCs/>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4"/>
          <w:highlight w:val="none"/>
          <w14:textFill>
            <w14:solidFill>
              <w14:schemeClr w14:val="tx1"/>
            </w14:solidFill>
          </w14:textFill>
        </w:rPr>
        <w:t>・h</w:t>
      </w:r>
      <w:r>
        <w:rPr>
          <w:rFonts w:hint="eastAsia" w:cs="Times New Roman"/>
          <w:bCs/>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14:textFill>
            <w14:solidFill>
              <w14:schemeClr w14:val="tx1"/>
            </w14:solidFill>
          </w14:textFill>
        </w:rPr>
        <w:t>。</w:t>
      </w:r>
    </w:p>
    <w:p w14:paraId="2F8E2149">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消毒池：污水经全流程处理后，仍含有少量细菌及病毒，通过消毒池投加次氯酸钠进行消毒，杀灭病原微生物，确保出水卫生学指标符合要求。</w:t>
      </w:r>
    </w:p>
    <w:p w14:paraId="3F59AC8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中水回用及排放系统：消毒后出水水质达到《城镇污水处理厂污染物排放标准》（GB18918-2002）（含2006年、2025年修改单）一级A标准，通过厂区内配套工艺管线输送至</w:t>
      </w:r>
      <w:r>
        <w:rPr>
          <w:rFonts w:hint="eastAsia" w:cs="Times New Roman"/>
          <w:bCs/>
          <w:color w:val="000000" w:themeColor="text1"/>
          <w:sz w:val="24"/>
          <w:highlight w:val="none"/>
          <w:lang w:val="en-US" w:eastAsia="zh-CN"/>
          <w14:textFill>
            <w14:solidFill>
              <w14:schemeClr w14:val="tx1"/>
            </w14:solidFill>
          </w14:textFill>
        </w:rPr>
        <w:t>中水厂</w:t>
      </w:r>
      <w:r>
        <w:rPr>
          <w:rFonts w:hint="default" w:ascii="Times New Roman" w:hAnsi="Times New Roman" w:cs="Times New Roman"/>
          <w:bCs/>
          <w:color w:val="000000" w:themeColor="text1"/>
          <w:sz w:val="24"/>
          <w:highlight w:val="none"/>
          <w14:textFill>
            <w14:solidFill>
              <w14:schemeClr w14:val="tx1"/>
            </w14:solidFill>
          </w14:textFill>
        </w:rPr>
        <w:t>，通过中水管道输送至回用点（工业冷却、绿化灌溉、道路清扫等），另一部分排入后续</w:t>
      </w:r>
      <w:r>
        <w:rPr>
          <w:rFonts w:hint="eastAsia" w:cs="Times New Roman"/>
          <w:bCs/>
          <w:color w:val="000000" w:themeColor="text1"/>
          <w:sz w:val="24"/>
          <w:highlight w:val="none"/>
          <w:lang w:val="en-US" w:eastAsia="zh-CN"/>
          <w14:textFill>
            <w14:solidFill>
              <w14:schemeClr w14:val="tx1"/>
            </w14:solidFill>
          </w14:textFill>
        </w:rPr>
        <w:t>人工</w:t>
      </w:r>
      <w:r>
        <w:rPr>
          <w:rFonts w:hint="default" w:ascii="Times New Roman" w:hAnsi="Times New Roman" w:cs="Times New Roman"/>
          <w:bCs/>
          <w:color w:val="000000" w:themeColor="text1"/>
          <w:sz w:val="24"/>
          <w:highlight w:val="none"/>
          <w14:textFill>
            <w14:solidFill>
              <w14:schemeClr w14:val="tx1"/>
            </w14:solidFill>
          </w14:textFill>
        </w:rPr>
        <w:t>湿地进一步处理，湿地出水达到《地表水环境质量标准》（GB3838-2002）</w:t>
      </w:r>
      <w:r>
        <w:rPr>
          <w:rFonts w:hint="eastAsia" w:cs="Times New Roman"/>
          <w:bCs/>
          <w:color w:val="000000" w:themeColor="text1"/>
          <w:sz w:val="24"/>
          <w:highlight w:val="none"/>
          <w:lang w:val="en-US" w:eastAsia="zh-CN"/>
          <w14:textFill>
            <w14:solidFill>
              <w14:schemeClr w14:val="tx1"/>
            </w14:solidFill>
          </w14:textFill>
        </w:rPr>
        <w:t>V</w:t>
      </w:r>
      <w:r>
        <w:rPr>
          <w:rFonts w:hint="default" w:ascii="Times New Roman" w:hAnsi="Times New Roman" w:cs="Times New Roman"/>
          <w:bCs/>
          <w:color w:val="000000" w:themeColor="text1"/>
          <w:sz w:val="24"/>
          <w:highlight w:val="none"/>
          <w14:textFill>
            <w14:solidFill>
              <w14:schemeClr w14:val="tx1"/>
            </w14:solidFill>
          </w14:textFill>
        </w:rPr>
        <w:t>类水标准。</w:t>
      </w:r>
    </w:p>
    <w:p w14:paraId="7B33940C">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2）</w:t>
      </w:r>
      <w:r>
        <w:rPr>
          <w:rFonts w:hint="default" w:ascii="Times New Roman" w:hAnsi="Times New Roman" w:cs="Times New Roman"/>
          <w:bCs/>
          <w:color w:val="000000" w:themeColor="text1"/>
          <w:sz w:val="24"/>
          <w:highlight w:val="none"/>
          <w14:textFill>
            <w14:solidFill>
              <w14:schemeClr w14:val="tx1"/>
            </w14:solidFill>
          </w14:textFill>
        </w:rPr>
        <w:t>污泥处理工艺流程简述</w:t>
      </w:r>
    </w:p>
    <w:p w14:paraId="492DA25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污泥储池：MBR膜池产生的剩余污泥汇入利旧污泥储池临时储存，池体密闭设计减少臭气逸散，为后续脱水处理提供稳定污泥源。</w:t>
      </w:r>
    </w:p>
    <w:p w14:paraId="0FA8391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污泥脱水机房：污泥经污泥泵输送至3台带式压滤机，投加PAM絮凝剂辅助脱水，脱水后污泥含水率控制在80%，满足外运处置要求；脱水过程中产生的滤液回流至调节池前端，重新参与污水处理，避免二次污染。</w:t>
      </w:r>
    </w:p>
    <w:p w14:paraId="1D9A4C5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污泥外运处置：脱水后污泥委托有资质单位外运至蚯蚓厂，实现污泥资源化利用，处置过</w:t>
      </w:r>
      <w:r>
        <w:rPr>
          <w:rFonts w:hint="eastAsia" w:cs="Times New Roman"/>
          <w:bCs/>
          <w:color w:val="000000" w:themeColor="text1"/>
          <w:sz w:val="24"/>
          <w:highlight w:val="none"/>
          <w:lang w:eastAsia="zh-CN"/>
          <w14:textFill>
            <w14:solidFill>
              <w14:schemeClr w14:val="tx1"/>
            </w14:solidFill>
          </w14:textFill>
        </w:rPr>
        <w:t>程中</w:t>
      </w:r>
      <w:r>
        <w:rPr>
          <w:rFonts w:hint="default" w:ascii="Times New Roman" w:hAnsi="Times New Roman" w:cs="Times New Roman"/>
          <w:bCs/>
          <w:color w:val="000000" w:themeColor="text1"/>
          <w:sz w:val="24"/>
          <w:highlight w:val="none"/>
          <w14:textFill>
            <w14:solidFill>
              <w14:schemeClr w14:val="tx1"/>
            </w14:solidFill>
          </w14:textFill>
        </w:rPr>
        <w:t>严格遵守污泥资源化利用相关规范及环保要求。</w:t>
      </w:r>
    </w:p>
    <w:p w14:paraId="7FC934D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3</w:t>
      </w:r>
      <w:r>
        <w:rPr>
          <w:rFonts w:hint="default" w:ascii="Times New Roman" w:hAnsi="Times New Roman" w:cs="Times New Roman"/>
          <w:bCs/>
          <w:color w:val="000000" w:themeColor="text1"/>
          <w:sz w:val="24"/>
          <w:highlight w:val="none"/>
          <w14:textFill>
            <w14:solidFill>
              <w14:schemeClr w14:val="tx1"/>
            </w14:solidFill>
          </w14:textFill>
        </w:rPr>
        <w:t>）除臭设施补充说明</w:t>
      </w:r>
    </w:p>
    <w:p w14:paraId="4840B38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结合《排污许可证申请与核发技术规范 水处理（试行）》（HJ978-2018）中可行技术要求，本项目恶臭气体控制以“无组织排放防控”为主，具体补充措施如下：</w:t>
      </w:r>
    </w:p>
    <w:p w14:paraId="476455D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次氯酸钠使用量及除臭喷雾喷洒频率，根据当日污水处理量、进水水质波动及天气情况动态调整，确保除臭效果。</w:t>
      </w:r>
    </w:p>
    <w:p w14:paraId="0E15FFA1">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污水及污泥处理构筑物周边空余地栽植乔木、灌木及草坪等植被，利用植物吸附作用进一步净化臭气，降低扩散影响。</w:t>
      </w:r>
    </w:p>
    <w:p w14:paraId="6F10BFC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沿厂界周边设置防护绿化带，形成天然屏障，控制恶臭气体散逸范围。</w:t>
      </w:r>
    </w:p>
    <w:p w14:paraId="08411832">
      <w:pPr>
        <w:pStyle w:val="3"/>
        <w:bidi w:val="0"/>
        <w:rPr>
          <w:rFonts w:hint="eastAsia"/>
          <w:color w:val="000000" w:themeColor="text1"/>
          <w:highlight w:val="none"/>
          <w:lang w:val="en-US" w:eastAsia="zh-CN"/>
          <w14:textFill>
            <w14:solidFill>
              <w14:schemeClr w14:val="tx1"/>
            </w14:solidFill>
          </w14:textFill>
        </w:rPr>
      </w:pPr>
      <w:bookmarkStart w:id="148" w:name="_Toc30777"/>
      <w:r>
        <w:rPr>
          <w:rFonts w:hint="eastAsia"/>
          <w:color w:val="000000" w:themeColor="text1"/>
          <w:highlight w:val="none"/>
          <w:lang w:val="en-US" w:eastAsia="zh-CN"/>
          <w14:textFill>
            <w14:solidFill>
              <w14:schemeClr w14:val="tx1"/>
            </w14:solidFill>
          </w14:textFill>
        </w:rPr>
        <w:t>6.3污水处理工艺技术可行性分析</w:t>
      </w:r>
      <w:bookmarkEnd w:id="148"/>
    </w:p>
    <w:p w14:paraId="095362A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根据《排污许可证申请与核发技术规范 水处理（试行）》（HJ978-2018）表4污水处理可行技术参照表，本项目污水处理技术属于可行技术，处理可行技术对比见下表。</w:t>
      </w:r>
    </w:p>
    <w:p w14:paraId="1B92D5EF">
      <w:pPr>
        <w:pStyle w:val="20"/>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表6.3-1  污水处理可行技术对比表</w:t>
      </w:r>
    </w:p>
    <w:tbl>
      <w:tblPr>
        <w:tblStyle w:val="12"/>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175"/>
        <w:gridCol w:w="4571"/>
        <w:gridCol w:w="1718"/>
        <w:gridCol w:w="1061"/>
      </w:tblGrid>
      <w:tr w14:paraId="76E692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689" w:type="pct"/>
            <w:tcBorders>
              <w:tl2br w:val="nil"/>
              <w:tr2bl w:val="nil"/>
            </w:tcBorders>
            <w:shd w:val="clear" w:color="auto" w:fill="auto"/>
            <w:vAlign w:val="center"/>
          </w:tcPr>
          <w:p w14:paraId="55CB549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执行标准</w:t>
            </w:r>
          </w:p>
        </w:tc>
        <w:tc>
          <w:tcPr>
            <w:tcW w:w="2680" w:type="pct"/>
            <w:tcBorders>
              <w:tl2br w:val="nil"/>
              <w:tr2bl w:val="nil"/>
            </w:tcBorders>
            <w:shd w:val="clear" w:color="auto" w:fill="auto"/>
            <w:vAlign w:val="center"/>
          </w:tcPr>
          <w:p w14:paraId="7DAF2BC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可行技术</w:t>
            </w:r>
          </w:p>
        </w:tc>
        <w:tc>
          <w:tcPr>
            <w:tcW w:w="1007" w:type="pct"/>
            <w:tcBorders>
              <w:tl2br w:val="nil"/>
              <w:tr2bl w:val="nil"/>
            </w:tcBorders>
            <w:shd w:val="clear" w:color="auto" w:fill="auto"/>
            <w:vAlign w:val="center"/>
          </w:tcPr>
          <w:p w14:paraId="0264E62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本项目工程技术</w:t>
            </w:r>
          </w:p>
        </w:tc>
        <w:tc>
          <w:tcPr>
            <w:tcW w:w="622" w:type="pct"/>
            <w:tcBorders>
              <w:tl2br w:val="nil"/>
              <w:tr2bl w:val="nil"/>
            </w:tcBorders>
            <w:shd w:val="clear" w:color="auto" w:fill="auto"/>
            <w:vAlign w:val="center"/>
          </w:tcPr>
          <w:p w14:paraId="7CA96B3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是否属于可行技术</w:t>
            </w:r>
          </w:p>
        </w:tc>
      </w:tr>
      <w:tr w14:paraId="35B9BA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689" w:type="pct"/>
            <w:tcBorders>
              <w:tl2br w:val="nil"/>
              <w:tr2bl w:val="nil"/>
            </w:tcBorders>
            <w:shd w:val="clear" w:color="auto" w:fill="auto"/>
            <w:vAlign w:val="center"/>
          </w:tcPr>
          <w:p w14:paraId="6777F7E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执行GB18918中一级标准的A标准</w:t>
            </w:r>
          </w:p>
        </w:tc>
        <w:tc>
          <w:tcPr>
            <w:tcW w:w="2680" w:type="pct"/>
            <w:tcBorders>
              <w:tl2br w:val="nil"/>
              <w:tr2bl w:val="nil"/>
            </w:tcBorders>
            <w:shd w:val="clear" w:color="auto" w:fill="auto"/>
            <w:vAlign w:val="center"/>
          </w:tcPr>
          <w:p w14:paraId="3EA164BB">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预处理：</w:t>
            </w:r>
            <w:r>
              <w:rPr>
                <w:rFonts w:hint="default" w:ascii="Times New Roman" w:hAnsi="Times New Roman" w:eastAsia="宋体" w:cs="Times New Roman"/>
                <w:b/>
                <w:bCs/>
                <w:color w:val="000000" w:themeColor="text1"/>
                <w:sz w:val="21"/>
                <w:szCs w:val="21"/>
                <w:highlight w:val="none"/>
                <w:lang w:val="en-US" w:eastAsia="zh-CN" w:bidi="ar"/>
                <w14:textFill>
                  <w14:solidFill>
                    <w14:schemeClr w14:val="tx1"/>
                  </w14:solidFill>
                </w14:textFill>
              </w:rPr>
              <w:t>格栅、沉淀</w:t>
            </w:r>
            <w:r>
              <w:rPr>
                <w:rFonts w:hint="eastAsia"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b/>
                <w:bCs/>
                <w:color w:val="000000" w:themeColor="text1"/>
                <w:sz w:val="21"/>
                <w:szCs w:val="21"/>
                <w:highlight w:val="none"/>
                <w:lang w:val="en-US" w:eastAsia="zh-CN" w:bidi="ar"/>
                <w14:textFill>
                  <w14:solidFill>
                    <w14:schemeClr w14:val="tx1"/>
                  </w14:solidFill>
                </w14:textFill>
              </w:rPr>
              <w:t>沉砂</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、初沉</w:t>
            </w:r>
            <w:r>
              <w:rPr>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b/>
                <w:bCs/>
                <w:color w:val="000000" w:themeColor="text1"/>
                <w:sz w:val="21"/>
                <w:szCs w:val="21"/>
                <w:highlight w:val="none"/>
                <w:lang w:val="en-US" w:eastAsia="zh-CN" w:bidi="ar"/>
                <w14:textFill>
                  <w14:solidFill>
                    <w14:schemeClr w14:val="tx1"/>
                  </w14:solidFill>
                </w14:textFill>
              </w:rPr>
              <w:t>调节</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生化处理：</w:t>
            </w:r>
            <w:r>
              <w:rPr>
                <w:rFonts w:hint="default" w:ascii="Times New Roman" w:hAnsi="Times New Roman" w:eastAsia="宋体" w:cs="Times New Roman"/>
                <w:b/>
                <w:bCs/>
                <w:color w:val="000000" w:themeColor="text1"/>
                <w:sz w:val="21"/>
                <w:szCs w:val="21"/>
                <w:highlight w:val="none"/>
                <w:lang w:val="en-US" w:eastAsia="zh-CN" w:bidi="ar"/>
                <w14:textFill>
                  <w14:solidFill>
                    <w14:schemeClr w14:val="tx1"/>
                  </w14:solidFill>
                </w14:textFill>
              </w:rPr>
              <w:t>缺氧好氧、厌氧缺氧好氧</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、序批式活性污泥、接触氧化、氧化沟、移动生物床反应器、膜生物反应器；</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深度处理：混凝沉淀、过滤、曝气生物滤池、微滤、超滤、</w:t>
            </w:r>
            <w:r>
              <w:rPr>
                <w:rFonts w:hint="default" w:ascii="Times New Roman" w:hAnsi="Times New Roman" w:eastAsia="宋体" w:cs="Times New Roman"/>
                <w:b/>
                <w:bCs/>
                <w:color w:val="000000" w:themeColor="text1"/>
                <w:sz w:val="21"/>
                <w:szCs w:val="21"/>
                <w:highlight w:val="none"/>
                <w:lang w:val="en-US" w:eastAsia="zh-CN" w:bidi="ar"/>
                <w14:textFill>
                  <w14:solidFill>
                    <w14:schemeClr w14:val="tx1"/>
                  </w14:solidFill>
                </w14:textFill>
              </w:rPr>
              <w:t>消毒</w:t>
            </w:r>
            <w:r>
              <w:rPr>
                <w:rFonts w:hint="eastAsia" w:ascii="Times New Roman" w:hAnsi="Times New Roman" w:eastAsia="宋体" w:cs="Times New Roman"/>
                <w:b w:val="0"/>
                <w:bCs w:val="0"/>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b/>
                <w:bCs/>
                <w:color w:val="000000" w:themeColor="text1"/>
                <w:sz w:val="21"/>
                <w:szCs w:val="21"/>
                <w:highlight w:val="none"/>
                <w:lang w:val="en-US" w:eastAsia="zh-CN" w:bidi="ar"/>
                <w14:textFill>
                  <w14:solidFill>
                    <w14:schemeClr w14:val="tx1"/>
                  </w14:solidFill>
                </w14:textFill>
              </w:rPr>
              <w:t>次氯酸钠</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、臭氧、紫外、二氧化氯</w:t>
            </w:r>
            <w:r>
              <w:rPr>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1007" w:type="pct"/>
            <w:tcBorders>
              <w:tl2br w:val="nil"/>
              <w:tr2bl w:val="nil"/>
            </w:tcBorders>
            <w:shd w:val="clear" w:color="auto" w:fill="auto"/>
            <w:vAlign w:val="center"/>
          </w:tcPr>
          <w:p w14:paraId="77C9D23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调节池及提升泵房+细格栅及沉砂池+A²/O生化池+MBR膜+消毒</w:t>
            </w:r>
          </w:p>
        </w:tc>
        <w:tc>
          <w:tcPr>
            <w:tcW w:w="622" w:type="pct"/>
            <w:tcBorders>
              <w:tl2br w:val="nil"/>
              <w:tr2bl w:val="nil"/>
            </w:tcBorders>
            <w:shd w:val="clear" w:color="auto" w:fill="auto"/>
            <w:vAlign w:val="center"/>
          </w:tcPr>
          <w:p w14:paraId="3C985DC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是</w:t>
            </w:r>
          </w:p>
        </w:tc>
      </w:tr>
    </w:tbl>
    <w:p w14:paraId="785A7DB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p>
    <w:p w14:paraId="5805EF8C">
      <w:pPr>
        <w:pStyle w:val="2"/>
        <w:bidi w:val="0"/>
        <w:rPr>
          <w:rFonts w:hint="eastAsia"/>
          <w:color w:val="000000" w:themeColor="text1"/>
          <w:highlight w:val="none"/>
          <w:lang w:val="en-US" w:eastAsia="zh-CN"/>
          <w14:textFill>
            <w14:solidFill>
              <w14:schemeClr w14:val="tx1"/>
            </w14:solidFill>
          </w14:textFill>
        </w:rPr>
      </w:pPr>
      <w:bookmarkStart w:id="149" w:name="_Toc27492"/>
      <w:r>
        <w:rPr>
          <w:rFonts w:hint="eastAsia"/>
          <w:color w:val="000000" w:themeColor="text1"/>
          <w:highlight w:val="none"/>
          <w:lang w:val="en-US" w:eastAsia="zh-CN"/>
          <w14:textFill>
            <w14:solidFill>
              <w14:schemeClr w14:val="tx1"/>
            </w14:solidFill>
          </w14:textFill>
        </w:rPr>
        <w:t>7环境监测计划</w:t>
      </w:r>
      <w:bookmarkEnd w:id="149"/>
    </w:p>
    <w:p w14:paraId="1E15AB7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根据《排污许可证申请与核发技术规范 水处理（试行）》（HJ978-2018）要求，本次排污单位废水监测点位、监测指标及最低频次见下表</w:t>
      </w:r>
      <w:r>
        <w:rPr>
          <w:rFonts w:hint="eastAsia" w:eastAsia="宋体" w:cs="Times New Roman"/>
          <w:color w:val="000000" w:themeColor="text1"/>
          <w:sz w:val="24"/>
          <w:szCs w:val="24"/>
          <w:highlight w:val="none"/>
          <w:lang w:val="en-US" w:eastAsia="zh-CN"/>
          <w14:textFill>
            <w14:solidFill>
              <w14:schemeClr w14:val="tx1"/>
            </w14:solidFill>
          </w14:textFill>
        </w:rPr>
        <w:t>。</w:t>
      </w:r>
    </w:p>
    <w:p w14:paraId="7BDDA0D4">
      <w:pPr>
        <w:pStyle w:val="20"/>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7.1-1</w:t>
      </w:r>
      <w:r>
        <w:rPr>
          <w:rFonts w:hint="default"/>
          <w:color w:val="000000" w:themeColor="text1"/>
          <w:highlight w:val="none"/>
          <w:lang w:val="en-US" w:eastAsia="zh-CN"/>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rFonts w:hint="default"/>
          <w:color w:val="000000" w:themeColor="text1"/>
          <w:highlight w:val="none"/>
          <w:lang w:val="en-US" w:eastAsia="zh-CN"/>
          <w14:textFill>
            <w14:solidFill>
              <w14:schemeClr w14:val="tx1"/>
            </w14:solidFill>
          </w14:textFill>
        </w:rPr>
        <w:t>污水处理厂运营期水质监测计划一览表</w:t>
      </w:r>
    </w:p>
    <w:tbl>
      <w:tblPr>
        <w:tblStyle w:val="12"/>
        <w:tblW w:w="4998" w:type="pct"/>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747"/>
        <w:gridCol w:w="6028"/>
        <w:gridCol w:w="1750"/>
      </w:tblGrid>
      <w:tr w14:paraId="48D885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38" w:type="pct"/>
            <w:vMerge w:val="restart"/>
            <w:tcBorders>
              <w:tl2br w:val="nil"/>
              <w:tr2bl w:val="nil"/>
            </w:tcBorders>
            <w:shd w:val="clear" w:color="auto" w:fill="auto"/>
            <w:vAlign w:val="center"/>
          </w:tcPr>
          <w:p w14:paraId="43084F1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监测点位</w:t>
            </w:r>
          </w:p>
        </w:tc>
        <w:tc>
          <w:tcPr>
            <w:tcW w:w="3535" w:type="pct"/>
            <w:vMerge w:val="restart"/>
            <w:tcBorders>
              <w:tl2br w:val="nil"/>
              <w:tr2bl w:val="nil"/>
            </w:tcBorders>
            <w:shd w:val="clear" w:color="auto" w:fill="auto"/>
            <w:vAlign w:val="center"/>
          </w:tcPr>
          <w:p w14:paraId="6BCD0AE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监测指标</w:t>
            </w:r>
          </w:p>
        </w:tc>
        <w:tc>
          <w:tcPr>
            <w:tcW w:w="1026" w:type="pct"/>
            <w:tcBorders>
              <w:tl2br w:val="nil"/>
              <w:tr2bl w:val="nil"/>
            </w:tcBorders>
            <w:shd w:val="clear" w:color="auto" w:fill="auto"/>
            <w:vAlign w:val="center"/>
          </w:tcPr>
          <w:p w14:paraId="528F2C2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监测频次</w:t>
            </w:r>
          </w:p>
        </w:tc>
      </w:tr>
      <w:tr w14:paraId="009F3E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38" w:type="pct"/>
            <w:vMerge w:val="continue"/>
            <w:tcBorders>
              <w:tl2br w:val="nil"/>
              <w:tr2bl w:val="nil"/>
            </w:tcBorders>
            <w:shd w:val="clear" w:color="auto" w:fill="auto"/>
            <w:vAlign w:val="center"/>
          </w:tcPr>
          <w:p w14:paraId="62AF0B9F">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p>
        </w:tc>
        <w:tc>
          <w:tcPr>
            <w:tcW w:w="3535" w:type="pct"/>
            <w:vMerge w:val="continue"/>
            <w:tcBorders>
              <w:tl2br w:val="nil"/>
              <w:tr2bl w:val="nil"/>
            </w:tcBorders>
            <w:shd w:val="clear" w:color="auto" w:fill="auto"/>
            <w:vAlign w:val="center"/>
          </w:tcPr>
          <w:p w14:paraId="3806B1B3">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p>
        </w:tc>
        <w:tc>
          <w:tcPr>
            <w:tcW w:w="1026" w:type="pct"/>
            <w:tcBorders>
              <w:tl2br w:val="nil"/>
              <w:tr2bl w:val="nil"/>
            </w:tcBorders>
            <w:shd w:val="clear" w:color="auto" w:fill="auto"/>
            <w:vAlign w:val="center"/>
          </w:tcPr>
          <w:p w14:paraId="57D2830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b/>
                <w:bCs/>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处理量≥2万m</w:t>
            </w:r>
            <w:r>
              <w:rPr>
                <w:rFonts w:hint="eastAsia" w:cs="Times New Roman" w:eastAsiaTheme="minorEastAsia"/>
                <w:color w:val="000000" w:themeColor="text1"/>
                <w:sz w:val="21"/>
                <w:szCs w:val="21"/>
                <w:highlight w:val="none"/>
                <w:vertAlign w:val="superscript"/>
                <w:lang w:val="en-US" w:eastAsia="zh-CN" w:bidi="ar"/>
                <w14:textFill>
                  <w14:solidFill>
                    <w14:schemeClr w14:val="tx1"/>
                  </w14:solidFill>
                </w14:textFill>
              </w:rPr>
              <w:t>3</w:t>
            </w: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/d</w:t>
            </w:r>
          </w:p>
        </w:tc>
      </w:tr>
      <w:tr w14:paraId="3C6C3C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38" w:type="pct"/>
            <w:vMerge w:val="restart"/>
            <w:tcBorders>
              <w:tl2br w:val="nil"/>
              <w:tr2bl w:val="nil"/>
            </w:tcBorders>
            <w:shd w:val="clear" w:color="auto" w:fill="auto"/>
            <w:vAlign w:val="center"/>
          </w:tcPr>
          <w:p w14:paraId="46944B2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废水总排放口a</w:t>
            </w:r>
          </w:p>
        </w:tc>
        <w:tc>
          <w:tcPr>
            <w:tcW w:w="3535" w:type="pct"/>
            <w:tcBorders>
              <w:tl2br w:val="nil"/>
              <w:tr2bl w:val="nil"/>
            </w:tcBorders>
            <w:shd w:val="clear" w:color="auto" w:fill="auto"/>
            <w:vAlign w:val="center"/>
          </w:tcPr>
          <w:p w14:paraId="7AF3A8A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left"/>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流量、pH值、水温、化学需氧量、氨氮、总磷、总氮</w:t>
            </w:r>
          </w:p>
        </w:tc>
        <w:tc>
          <w:tcPr>
            <w:tcW w:w="1026" w:type="pct"/>
            <w:tcBorders>
              <w:tl2br w:val="nil"/>
              <w:tr2bl w:val="nil"/>
            </w:tcBorders>
            <w:shd w:val="clear" w:color="auto" w:fill="auto"/>
            <w:vAlign w:val="center"/>
          </w:tcPr>
          <w:p w14:paraId="62ADF06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自动监测</w:t>
            </w:r>
          </w:p>
        </w:tc>
      </w:tr>
      <w:tr w14:paraId="4126C2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38" w:type="pct"/>
            <w:vMerge w:val="continue"/>
            <w:tcBorders>
              <w:tl2br w:val="nil"/>
              <w:tr2bl w:val="nil"/>
            </w:tcBorders>
            <w:shd w:val="clear" w:color="auto" w:fill="auto"/>
            <w:vAlign w:val="center"/>
          </w:tcPr>
          <w:p w14:paraId="1B575413">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3535" w:type="pct"/>
            <w:tcBorders>
              <w:tl2br w:val="nil"/>
              <w:tr2bl w:val="nil"/>
            </w:tcBorders>
            <w:shd w:val="clear" w:color="auto" w:fill="auto"/>
            <w:vAlign w:val="top"/>
          </w:tcPr>
          <w:p w14:paraId="556EFBC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left"/>
              <w:textAlignment w:val="top"/>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悬浮物、色度、五日生化需氧量、动植物油、石油类、阴离子表面活性剂、粪大肠菌群</w:t>
            </w:r>
          </w:p>
        </w:tc>
        <w:tc>
          <w:tcPr>
            <w:tcW w:w="1026" w:type="pct"/>
            <w:tcBorders>
              <w:tl2br w:val="nil"/>
              <w:tr2bl w:val="nil"/>
            </w:tcBorders>
            <w:shd w:val="clear" w:color="auto" w:fill="auto"/>
            <w:vAlign w:val="center"/>
          </w:tcPr>
          <w:p w14:paraId="1ABEB57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1次/月</w:t>
            </w:r>
          </w:p>
        </w:tc>
      </w:tr>
      <w:tr w14:paraId="4EFF0C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38" w:type="pct"/>
            <w:vMerge w:val="continue"/>
            <w:tcBorders>
              <w:tl2br w:val="nil"/>
              <w:tr2bl w:val="nil"/>
            </w:tcBorders>
            <w:shd w:val="clear" w:color="auto" w:fill="auto"/>
            <w:vAlign w:val="center"/>
          </w:tcPr>
          <w:p w14:paraId="3AA790F8">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3535" w:type="pct"/>
            <w:tcBorders>
              <w:tl2br w:val="nil"/>
              <w:tr2bl w:val="nil"/>
            </w:tcBorders>
            <w:shd w:val="clear" w:color="auto" w:fill="auto"/>
            <w:vAlign w:val="center"/>
          </w:tcPr>
          <w:p w14:paraId="7CFFBA8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总镉、总铬、总汞、总铅、总砷、六价铬</w:t>
            </w:r>
          </w:p>
        </w:tc>
        <w:tc>
          <w:tcPr>
            <w:tcW w:w="1026" w:type="pct"/>
            <w:tcBorders>
              <w:tl2br w:val="nil"/>
              <w:tr2bl w:val="nil"/>
            </w:tcBorders>
            <w:shd w:val="clear" w:color="auto" w:fill="auto"/>
            <w:vAlign w:val="center"/>
          </w:tcPr>
          <w:p w14:paraId="39511B5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1次/季度</w:t>
            </w:r>
          </w:p>
        </w:tc>
      </w:tr>
      <w:tr w14:paraId="3B17E8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38" w:type="pct"/>
            <w:vMerge w:val="continue"/>
            <w:tcBorders>
              <w:tl2br w:val="nil"/>
              <w:tr2bl w:val="nil"/>
            </w:tcBorders>
            <w:shd w:val="clear" w:color="auto" w:fill="auto"/>
            <w:vAlign w:val="center"/>
          </w:tcPr>
          <w:p w14:paraId="6529A40A">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3535" w:type="pct"/>
            <w:tcBorders>
              <w:tl2br w:val="nil"/>
              <w:tr2bl w:val="nil"/>
            </w:tcBorders>
            <w:shd w:val="clear" w:color="auto" w:fill="auto"/>
            <w:vAlign w:val="center"/>
          </w:tcPr>
          <w:p w14:paraId="7285F96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烷基汞</w:t>
            </w:r>
          </w:p>
        </w:tc>
        <w:tc>
          <w:tcPr>
            <w:tcW w:w="1026" w:type="pct"/>
            <w:tcBorders>
              <w:tl2br w:val="nil"/>
              <w:tr2bl w:val="nil"/>
            </w:tcBorders>
            <w:shd w:val="clear" w:color="auto" w:fill="auto"/>
            <w:vAlign w:val="center"/>
          </w:tcPr>
          <w:p w14:paraId="712E31C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1次/半年</w:t>
            </w:r>
          </w:p>
        </w:tc>
      </w:tr>
      <w:tr w14:paraId="36496D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38" w:type="pct"/>
            <w:vMerge w:val="continue"/>
            <w:tcBorders>
              <w:tl2br w:val="nil"/>
              <w:tr2bl w:val="nil"/>
            </w:tcBorders>
            <w:shd w:val="clear" w:color="auto" w:fill="auto"/>
            <w:vAlign w:val="center"/>
          </w:tcPr>
          <w:p w14:paraId="4C14BB18">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3535" w:type="pct"/>
            <w:tcBorders>
              <w:tl2br w:val="nil"/>
              <w:tr2bl w:val="nil"/>
            </w:tcBorders>
            <w:shd w:val="clear" w:color="auto" w:fill="auto"/>
            <w:vAlign w:val="center"/>
          </w:tcPr>
          <w:p w14:paraId="5DCA719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GB18918的表3中纳入许可的指标</w:t>
            </w:r>
          </w:p>
        </w:tc>
        <w:tc>
          <w:tcPr>
            <w:tcW w:w="1026" w:type="pct"/>
            <w:tcBorders>
              <w:tl2br w:val="nil"/>
              <w:tr2bl w:val="nil"/>
            </w:tcBorders>
            <w:shd w:val="clear" w:color="auto" w:fill="auto"/>
            <w:vAlign w:val="center"/>
          </w:tcPr>
          <w:p w14:paraId="16E2AFC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1次/半年</w:t>
            </w:r>
          </w:p>
        </w:tc>
      </w:tr>
      <w:tr w14:paraId="2FFEB2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438" w:type="pct"/>
            <w:vMerge w:val="continue"/>
            <w:tcBorders>
              <w:tl2br w:val="nil"/>
              <w:tr2bl w:val="nil"/>
            </w:tcBorders>
            <w:shd w:val="clear" w:color="auto" w:fill="auto"/>
            <w:vAlign w:val="center"/>
          </w:tcPr>
          <w:p w14:paraId="4AE975E9">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p>
        </w:tc>
        <w:tc>
          <w:tcPr>
            <w:tcW w:w="3535" w:type="pct"/>
            <w:tcBorders>
              <w:tl2br w:val="nil"/>
              <w:tr2bl w:val="nil"/>
            </w:tcBorders>
            <w:shd w:val="clear" w:color="auto" w:fill="auto"/>
            <w:vAlign w:val="center"/>
          </w:tcPr>
          <w:p w14:paraId="7B27FA1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val="en-US" w:eastAsia="zh-CN" w:bidi="ar"/>
                <w14:textFill>
                  <w14:solidFill>
                    <w14:schemeClr w14:val="tx1"/>
                  </w14:solidFill>
                </w14:textFill>
              </w:rPr>
              <w:t>其他污染物C</w:t>
            </w:r>
          </w:p>
        </w:tc>
        <w:tc>
          <w:tcPr>
            <w:tcW w:w="1026" w:type="pct"/>
            <w:tcBorders>
              <w:tl2br w:val="nil"/>
              <w:tr2bl w:val="nil"/>
            </w:tcBorders>
            <w:shd w:val="clear" w:color="auto" w:fill="auto"/>
            <w:vAlign w:val="center"/>
          </w:tcPr>
          <w:p w14:paraId="13C259C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cs="Times New Roman" w:eastAsiaTheme="minorEastAsia"/>
                <w:i w:val="0"/>
                <w:iCs w:val="0"/>
                <w:color w:val="000000" w:themeColor="text1"/>
                <w:sz w:val="21"/>
                <w:szCs w:val="21"/>
                <w:highlight w:val="none"/>
                <w:u w:val="none"/>
                <w14:textFill>
                  <w14:solidFill>
                    <w14:schemeClr w14:val="tx1"/>
                  </w14:solidFill>
                </w14:textFill>
              </w:rPr>
            </w:pPr>
            <w:r>
              <w:rPr>
                <w:rFonts w:hint="default" w:ascii="Times New Roman" w:hAnsi="Times New Roman" w:cs="Times New Roman" w:eastAsiaTheme="minorEastAsia"/>
                <w:i w:val="0"/>
                <w:iCs w:val="0"/>
                <w:color w:val="000000" w:themeColor="text1"/>
                <w:kern w:val="0"/>
                <w:sz w:val="21"/>
                <w:szCs w:val="21"/>
                <w:highlight w:val="none"/>
                <w:u w:val="none"/>
                <w:lang w:val="en-US" w:eastAsia="zh-CN" w:bidi="ar"/>
                <w14:textFill>
                  <w14:solidFill>
                    <w14:schemeClr w14:val="tx1"/>
                  </w14:solidFill>
                </w14:textFill>
              </w:rPr>
              <w:t>1次/半年</w:t>
            </w:r>
          </w:p>
        </w:tc>
      </w:tr>
    </w:tbl>
    <w:p w14:paraId="16790A58">
      <w:pPr>
        <w:pStyle w:val="2"/>
        <w:bidi w:val="0"/>
        <w:rPr>
          <w:rFonts w:hint="default"/>
          <w:color w:val="000000" w:themeColor="text1"/>
          <w:highlight w:val="none"/>
          <w:lang w:val="en-US" w:eastAsia="zh-CN"/>
          <w14:textFill>
            <w14:solidFill>
              <w14:schemeClr w14:val="tx1"/>
            </w14:solidFill>
          </w14:textFill>
        </w:rPr>
      </w:pPr>
      <w:bookmarkStart w:id="150" w:name="_Toc28471"/>
      <w:bookmarkStart w:id="151" w:name="_Toc17327"/>
      <w:bookmarkStart w:id="152" w:name="_Toc8924"/>
      <w:bookmarkStart w:id="153" w:name="_Toc9434"/>
      <w:bookmarkStart w:id="154" w:name="_Toc27038"/>
      <w:bookmarkStart w:id="155" w:name="_Toc6405"/>
      <w:r>
        <w:rPr>
          <w:rFonts w:hint="eastAsia"/>
          <w:color w:val="000000" w:themeColor="text1"/>
          <w:highlight w:val="none"/>
          <w:lang w:val="en-US" w:eastAsia="zh-CN"/>
          <w14:textFill>
            <w14:solidFill>
              <w14:schemeClr w14:val="tx1"/>
            </w14:solidFill>
          </w14:textFill>
        </w:rPr>
        <w:t>8地表水环境影响专项评价结论</w:t>
      </w:r>
      <w:bookmarkEnd w:id="150"/>
      <w:bookmarkEnd w:id="151"/>
      <w:bookmarkEnd w:id="152"/>
      <w:bookmarkEnd w:id="153"/>
      <w:bookmarkEnd w:id="154"/>
      <w:bookmarkEnd w:id="155"/>
    </w:p>
    <w:p w14:paraId="099344B6">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本项目为磴口一期污水处理厂升级改造工程，本次改扩建规模为15000m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/d，采用“调节池及提升泵房+细格栅及沉砂池+A²/O生化池+ MBR膜+消毒”工艺处理城镇生活污水及部分工业废水，处理后出水严格执行《城镇污水处理厂污染物排放标准》（GB18918-2002）（含2006年、2025年修改单）一级A标准，部分尾水接入中水厂深度处理后回用，剩余部分经人工湿地进一步净化，湿地出水主控指标pH、溶解氧、高锰酸盐指数、氨氮、总磷、BOD</w:t>
      </w:r>
      <w:r>
        <w:rPr>
          <w:rFonts w:hint="eastAsia"/>
          <w:color w:val="000000" w:themeColor="text1"/>
          <w:highlight w:val="none"/>
          <w:vertAlign w:val="subscript"/>
          <w:lang w:val="en-US" w:eastAsia="zh-CN"/>
          <w14:textFill>
            <w14:solidFill>
              <w14:schemeClr w14:val="tx1"/>
            </w14:solidFill>
          </w14:textFill>
        </w:rPr>
        <w:t>5</w:t>
      </w:r>
      <w:r>
        <w:rPr>
          <w:rFonts w:hint="eastAsia"/>
          <w:color w:val="000000" w:themeColor="text1"/>
          <w:highlight w:val="none"/>
          <w:lang w:val="en-US" w:eastAsia="zh-CN"/>
          <w14:textFill>
            <w14:solidFill>
              <w14:schemeClr w14:val="tx1"/>
            </w14:solidFill>
          </w14:textFill>
        </w:rPr>
        <w:t>、COD达到《地表水环境质量标准》（GB3838-2002）V类标准后，通过现有入河排污口（编码：DA-150822-0001-SH-00）排入二排干。</w:t>
      </w:r>
    </w:p>
    <w:p w14:paraId="2091191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项目选用的污水处理工艺，符合《排污许可证申请与核发技术规范 水处理（试行）》（HJ978-2018）中废水污染防治可行技术要求，预处理、生化处理及深度处理单元适配受纳水体功能与污染物特性，工艺选型科学合规，为出水稳定达标提供了可靠技术支撑。</w:t>
      </w:r>
    </w:p>
    <w:p w14:paraId="10CF51A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经一维水质模型预测，处理后的尾水排入二排干后，COD、NH</w:t>
      </w:r>
      <w:r>
        <w:rPr>
          <w:rFonts w:hint="eastAsia"/>
          <w:color w:val="000000" w:themeColor="text1"/>
          <w:highlight w:val="none"/>
          <w:vertAlign w:val="sub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N、总磷（TP）等主要污染物指标在入河排污口处即满足对应标准要求，经河道自然降解后浓度持续衰减，项目建设有利于削减区域水污染物负荷，改善二排干及乌梁素海流域水体水质，不会影响区域水功能区水质目标的实现。</w:t>
      </w:r>
    </w:p>
    <w:p w14:paraId="198CA45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同时，项目运行期将通过强化处理设施日常运维、开展操作人员岗位培训、完善应急防控措施等，确保出水水质持续达标，有效防范事故排放引发的环境问题。</w:t>
      </w:r>
    </w:p>
    <w:p w14:paraId="53D5548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综上，本项目尾水经处理达标后排入二排干，对区域地表水环境、水生态系统及地下水环境的影响处于可控范围，符合相关环保管理要求及“三线一单”管控原则，影响可以接受。</w:t>
      </w:r>
    </w:p>
    <w:p w14:paraId="0958F98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p>
    <w:p w14:paraId="7B5D114D">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000000" w:themeColor="text1"/>
          <w:highlight w:val="none"/>
          <w:lang w:val="en-US" w:eastAsia="zh-CN"/>
          <w14:textFill>
            <w14:solidFill>
              <w14:schemeClr w14:val="tx1"/>
            </w14:solidFill>
          </w14:textFill>
        </w:rPr>
      </w:pPr>
    </w:p>
    <w:p w14:paraId="33623AE8">
      <w:pPr>
        <w:pStyle w:val="2"/>
        <w:bidi w:val="0"/>
        <w:rPr>
          <w:rFonts w:hint="eastAsia"/>
          <w:color w:val="000000" w:themeColor="text1"/>
          <w:highlight w:val="none"/>
          <w:lang w:val="en-US" w:eastAsia="zh-CN"/>
          <w14:textFill>
            <w14:solidFill>
              <w14:schemeClr w14:val="tx1"/>
            </w14:solidFill>
          </w14:textFill>
        </w:rPr>
        <w:sectPr>
          <w:pgSz w:w="11906" w:h="16838"/>
          <w:pgMar w:top="1440" w:right="1797" w:bottom="1440" w:left="1797" w:header="851" w:footer="851" w:gutter="0"/>
          <w:pgBorders>
            <w:top w:val="none" w:sz="0" w:space="0"/>
            <w:left w:val="none" w:sz="0" w:space="0"/>
            <w:bottom w:val="none" w:sz="0" w:space="0"/>
            <w:right w:val="none" w:sz="0" w:space="0"/>
          </w:pgBorders>
          <w:pgNumType w:fmt="decimal"/>
          <w:cols w:space="720" w:num="1"/>
          <w:docGrid w:linePitch="312" w:charSpace="0"/>
        </w:sectPr>
      </w:pPr>
      <w:bookmarkStart w:id="156" w:name="_Toc2200"/>
      <w:bookmarkStart w:id="157" w:name="_Toc11229"/>
    </w:p>
    <w:p w14:paraId="0729BA9B">
      <w:pPr>
        <w:pStyle w:val="2"/>
        <w:bidi w:val="0"/>
        <w:rPr>
          <w:rFonts w:hint="eastAsia"/>
          <w:color w:val="000000" w:themeColor="text1"/>
          <w:highlight w:val="none"/>
          <w:lang w:val="en-US" w:eastAsia="zh-CN"/>
          <w14:textFill>
            <w14:solidFill>
              <w14:schemeClr w14:val="tx1"/>
            </w14:solidFill>
          </w14:textFill>
        </w:rPr>
      </w:pPr>
      <w:bookmarkStart w:id="158" w:name="_Toc27384"/>
      <w:r>
        <w:rPr>
          <w:rFonts w:hint="eastAsia"/>
          <w:color w:val="000000" w:themeColor="text1"/>
          <w:highlight w:val="none"/>
          <w:lang w:val="en-US" w:eastAsia="zh-CN"/>
          <w14:textFill>
            <w14:solidFill>
              <w14:schemeClr w14:val="tx1"/>
            </w14:solidFill>
          </w14:textFill>
        </w:rPr>
        <w:t>附件</w:t>
      </w:r>
      <w:bookmarkEnd w:id="156"/>
      <w:bookmarkEnd w:id="157"/>
      <w:bookmarkEnd w:id="158"/>
    </w:p>
    <w:p w14:paraId="1B465E2D">
      <w:pP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附件1 《关于磴口一期污水处理厂升级改造项目可行性研究报告的批复》（磴发改审字〔2025〕138号）</w:t>
      </w:r>
    </w:p>
    <w:p w14:paraId="0AF97651">
      <w:pP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附件2 《关于磴口一期污水处理厂升级改造项目初步设计的批复》（磴发改审字〔2025〕146号）</w:t>
      </w:r>
    </w:p>
    <w:p w14:paraId="33AB5D6A">
      <w:pP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附件3 《关于对内蒙古巴彦淖尔市磴口县巴彦高勒镇污水处理工程环境影响报告书的批复》（巴环审发〔2008〕14号）</w:t>
      </w:r>
    </w:p>
    <w:p w14:paraId="028CD1B2">
      <w:pP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附件4《 巴彦淖尔市磴口县巴彦高勒镇污水处理厂提标改造工程环保审批意见》（巴环审表〔2014〕074号）</w:t>
      </w:r>
    </w:p>
    <w:p w14:paraId="5E7BDE99">
      <w:pP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附件5 排污许可证及排污许可执行报告（2025年）</w:t>
      </w:r>
    </w:p>
    <w:p w14:paraId="7217CCD8">
      <w:pP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附件6 引用的例行监测报告</w:t>
      </w:r>
    </w:p>
    <w:p w14:paraId="02F8E442">
      <w:pP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附件7 污水处理厂入河排污口批复</w:t>
      </w:r>
    </w:p>
    <w:p w14:paraId="22A6C1A2">
      <w:pP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附件8 详细设备清单</w:t>
      </w:r>
    </w:p>
    <w:p w14:paraId="2E740420">
      <w:pP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附件9 土地证</w:t>
      </w:r>
    </w:p>
    <w:p w14:paraId="7D0322A2">
      <w:pP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 xml:space="preserve"> </w:t>
      </w:r>
    </w:p>
    <w:p w14:paraId="466AA104">
      <w:pPr>
        <w:keepNext w:val="0"/>
        <w:keepLines w:val="0"/>
        <w:pageBreakBefore/>
        <w:widowControl w:val="0"/>
        <w:kinsoku/>
        <w:wordWrap/>
        <w:overflowPunct/>
        <w:topLinePunct w:val="0"/>
        <w:autoSpaceDE/>
        <w:autoSpaceDN/>
        <w:bidi w:val="0"/>
        <w:adjustRightInd w:val="0"/>
        <w:snapToGrid w:val="0"/>
        <w:textAlignment w:val="auto"/>
        <w:outlineLvl w:val="1"/>
        <w:rPr>
          <w:rFonts w:hint="eastAsia"/>
          <w:b/>
          <w:bCs/>
          <w:color w:val="000000" w:themeColor="text1"/>
          <w:highlight w:val="none"/>
          <w:lang w:val="en-US" w:eastAsia="zh-CN"/>
          <w14:textFill>
            <w14:solidFill>
              <w14:schemeClr w14:val="tx1"/>
            </w14:solidFill>
          </w14:textFill>
        </w:rPr>
        <w:sectPr>
          <w:footerReference r:id="rId10" w:type="default"/>
          <w:pgSz w:w="11906" w:h="16838"/>
          <w:pgMar w:top="1440" w:right="1797" w:bottom="1440" w:left="1797" w:header="851" w:footer="851" w:gutter="0"/>
          <w:pgBorders>
            <w:top w:val="none" w:sz="0" w:space="0"/>
            <w:left w:val="none" w:sz="0" w:space="0"/>
            <w:bottom w:val="none" w:sz="0" w:space="0"/>
            <w:right w:val="none" w:sz="0" w:space="0"/>
          </w:pgBorders>
          <w:pgNumType w:fmt="decimal"/>
          <w:cols w:space="720" w:num="1"/>
          <w:docGrid w:linePitch="312" w:charSpace="0"/>
        </w:sectPr>
      </w:pPr>
      <w:bookmarkStart w:id="159" w:name="_Toc21696"/>
      <w:bookmarkStart w:id="160" w:name="_Toc17092"/>
    </w:p>
    <w:p w14:paraId="5D4F321B">
      <w:pPr>
        <w:keepNext w:val="0"/>
        <w:keepLines w:val="0"/>
        <w:pageBreakBefore/>
        <w:widowControl w:val="0"/>
        <w:kinsoku/>
        <w:wordWrap/>
        <w:overflowPunct/>
        <w:topLinePunct w:val="0"/>
        <w:autoSpaceDE/>
        <w:autoSpaceDN/>
        <w:bidi w:val="0"/>
        <w:adjustRightInd w:val="0"/>
        <w:snapToGrid w:val="0"/>
        <w:textAlignment w:val="auto"/>
        <w:outlineLvl w:val="1"/>
        <w:rPr>
          <w:rFonts w:hint="default"/>
          <w:b/>
          <w:bCs/>
          <w:color w:val="000000" w:themeColor="text1"/>
          <w:highlight w:val="none"/>
          <w:lang w:val="en-US" w:eastAsia="zh-CN"/>
          <w14:textFill>
            <w14:solidFill>
              <w14:schemeClr w14:val="tx1"/>
            </w14:solidFill>
          </w14:textFill>
        </w:rPr>
      </w:pPr>
      <w:bookmarkStart w:id="161" w:name="_Toc8905"/>
      <w:r>
        <w:rPr>
          <w:rFonts w:hint="eastAsia"/>
          <w:b/>
          <w:bCs/>
          <w:color w:val="000000" w:themeColor="text1"/>
          <w:highlight w:val="none"/>
          <w:lang w:val="en-US" w:eastAsia="zh-CN"/>
          <w14:textFill>
            <w14:solidFill>
              <w14:schemeClr w14:val="tx1"/>
            </w14:solidFill>
          </w14:textFill>
        </w:rPr>
        <w:t>附件1 《关于磴口一期污水处理厂升级改造项目可行性研究报告的批复》（磴发改审字〔2025〕138号）</w:t>
      </w:r>
      <w:bookmarkEnd w:id="159"/>
      <w:bookmarkEnd w:id="160"/>
      <w:bookmarkEnd w:id="161"/>
    </w:p>
    <w:p w14:paraId="58F2457D">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drawing>
          <wp:inline distT="0" distB="0" distL="114300" distR="114300">
            <wp:extent cx="5260340" cy="7439660"/>
            <wp:effectExtent l="0" t="0" r="16510" b="8890"/>
            <wp:docPr id="27" name="图片 27" descr="磴口县一期污水处理厂升级改造项目可研报告的批复10.17(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磴口县一期污水处理厂升级改造项目可研报告的批复10.17(1)_01"/>
                    <pic:cNvPicPr>
                      <a:picLocks noChangeAspect="1"/>
                    </pic:cNvPicPr>
                  </pic:nvPicPr>
                  <pic:blipFill>
                    <a:blip r:embed="rId51"/>
                    <a:stretch>
                      <a:fillRect/>
                    </a:stretch>
                  </pic:blipFill>
                  <pic:spPr>
                    <a:xfrm>
                      <a:off x="0" y="0"/>
                      <a:ext cx="5260340" cy="74396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60340" cy="7439660"/>
            <wp:effectExtent l="0" t="0" r="16510" b="8890"/>
            <wp:docPr id="26" name="图片 26" descr="磴口县一期污水处理厂升级改造项目可研报告的批复10.17(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磴口县一期污水处理厂升级改造项目可研报告的批复10.17(1)_02"/>
                    <pic:cNvPicPr>
                      <a:picLocks noChangeAspect="1"/>
                    </pic:cNvPicPr>
                  </pic:nvPicPr>
                  <pic:blipFill>
                    <a:blip r:embed="rId52"/>
                    <a:stretch>
                      <a:fillRect/>
                    </a:stretch>
                  </pic:blipFill>
                  <pic:spPr>
                    <a:xfrm>
                      <a:off x="0" y="0"/>
                      <a:ext cx="5260340" cy="74396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60340" cy="7439660"/>
            <wp:effectExtent l="0" t="0" r="16510" b="8890"/>
            <wp:docPr id="24" name="图片 24" descr="磴口县一期污水处理厂升级改造项目可研报告的批复10.17(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磴口县一期污水处理厂升级改造项目可研报告的批复10.17(1)_03"/>
                    <pic:cNvPicPr>
                      <a:picLocks noChangeAspect="1"/>
                    </pic:cNvPicPr>
                  </pic:nvPicPr>
                  <pic:blipFill>
                    <a:blip r:embed="rId53"/>
                    <a:stretch>
                      <a:fillRect/>
                    </a:stretch>
                  </pic:blipFill>
                  <pic:spPr>
                    <a:xfrm>
                      <a:off x="0" y="0"/>
                      <a:ext cx="5260340" cy="7439660"/>
                    </a:xfrm>
                    <a:prstGeom prst="rect">
                      <a:avLst/>
                    </a:prstGeom>
                  </pic:spPr>
                </pic:pic>
              </a:graphicData>
            </a:graphic>
          </wp:inline>
        </w:drawing>
      </w:r>
    </w:p>
    <w:p w14:paraId="11E92626">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p>
    <w:p w14:paraId="54012B40">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p>
    <w:p w14:paraId="2D7847E4">
      <w:pPr>
        <w:keepNext w:val="0"/>
        <w:keepLines w:val="0"/>
        <w:pageBreakBefore/>
        <w:widowControl w:val="0"/>
        <w:kinsoku/>
        <w:wordWrap/>
        <w:overflowPunct/>
        <w:topLinePunct w:val="0"/>
        <w:autoSpaceDE/>
        <w:autoSpaceDN/>
        <w:bidi w:val="0"/>
        <w:adjustRightInd w:val="0"/>
        <w:snapToGrid w:val="0"/>
        <w:textAlignment w:val="auto"/>
        <w:outlineLvl w:val="1"/>
        <w:rPr>
          <w:rFonts w:hint="eastAsia" w:eastAsia="宋体"/>
          <w:b/>
          <w:bCs/>
          <w:color w:val="000000" w:themeColor="text1"/>
          <w:highlight w:val="none"/>
          <w:lang w:val="en-US" w:eastAsia="zh-CN"/>
          <w14:textFill>
            <w14:solidFill>
              <w14:schemeClr w14:val="tx1"/>
            </w14:solidFill>
          </w14:textFill>
        </w:rPr>
      </w:pPr>
      <w:bookmarkStart w:id="162" w:name="_Toc13153"/>
      <w:bookmarkStart w:id="163" w:name="_Toc4762"/>
      <w:bookmarkStart w:id="164" w:name="_Toc30675"/>
      <w:r>
        <w:rPr>
          <w:rFonts w:hint="eastAsia" w:eastAsia="宋体"/>
          <w:b/>
          <w:bCs/>
          <w:color w:val="000000" w:themeColor="text1"/>
          <w:highlight w:val="none"/>
          <w:lang w:val="en-US" w:eastAsia="zh-CN"/>
          <w14:textFill>
            <w14:solidFill>
              <w14:schemeClr w14:val="tx1"/>
            </w14:solidFill>
          </w14:textFill>
        </w:rPr>
        <w:t>附件2</w:t>
      </w:r>
      <w:r>
        <w:rPr>
          <w:rFonts w:hint="eastAsia"/>
          <w:b/>
          <w:bCs/>
          <w:color w:val="000000" w:themeColor="text1"/>
          <w:highlight w:val="none"/>
          <w:lang w:val="en-US" w:eastAsia="zh-CN"/>
          <w14:textFill>
            <w14:solidFill>
              <w14:schemeClr w14:val="tx1"/>
            </w14:solidFill>
          </w14:textFill>
        </w:rPr>
        <w:t xml:space="preserve"> </w:t>
      </w:r>
      <w:r>
        <w:rPr>
          <w:rFonts w:hint="eastAsia" w:eastAsia="宋体"/>
          <w:b/>
          <w:bCs/>
          <w:color w:val="000000" w:themeColor="text1"/>
          <w:highlight w:val="none"/>
          <w:lang w:val="en-US" w:eastAsia="zh-CN"/>
          <w14:textFill>
            <w14:solidFill>
              <w14:schemeClr w14:val="tx1"/>
            </w14:solidFill>
          </w14:textFill>
        </w:rPr>
        <w:t>《关于磴口一期污水处理厂升级改造项目初步设计的批复》（磴发改审字</w:t>
      </w:r>
      <w:r>
        <w:rPr>
          <w:rFonts w:hint="eastAsia"/>
          <w:b/>
          <w:bCs/>
          <w:color w:val="000000" w:themeColor="text1"/>
          <w:highlight w:val="none"/>
          <w:lang w:val="en-US" w:eastAsia="zh-CN"/>
          <w14:textFill>
            <w14:solidFill>
              <w14:schemeClr w14:val="tx1"/>
            </w14:solidFill>
          </w14:textFill>
        </w:rPr>
        <w:t>〔</w:t>
      </w:r>
      <w:r>
        <w:rPr>
          <w:rFonts w:hint="eastAsia" w:eastAsia="宋体"/>
          <w:b/>
          <w:bCs/>
          <w:color w:val="000000" w:themeColor="text1"/>
          <w:highlight w:val="none"/>
          <w:lang w:val="en-US" w:eastAsia="zh-CN"/>
          <w14:textFill>
            <w14:solidFill>
              <w14:schemeClr w14:val="tx1"/>
            </w14:solidFill>
          </w14:textFill>
        </w:rPr>
        <w:t>2025〕146号）</w:t>
      </w:r>
      <w:bookmarkEnd w:id="162"/>
      <w:bookmarkEnd w:id="163"/>
      <w:bookmarkEnd w:id="164"/>
    </w:p>
    <w:p w14:paraId="0B0AA872">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drawing>
          <wp:inline distT="0" distB="0" distL="114300" distR="114300">
            <wp:extent cx="5260340" cy="7439660"/>
            <wp:effectExtent l="0" t="0" r="16510" b="8890"/>
            <wp:docPr id="30" name="图片 30" descr="关于磴口一期污水处理厂升级改造项目初设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关于磴口一期污水处理厂升级改造项目初设批复_01"/>
                    <pic:cNvPicPr>
                      <a:picLocks noChangeAspect="1"/>
                    </pic:cNvPicPr>
                  </pic:nvPicPr>
                  <pic:blipFill>
                    <a:blip r:embed="rId54"/>
                    <a:stretch>
                      <a:fillRect/>
                    </a:stretch>
                  </pic:blipFill>
                  <pic:spPr>
                    <a:xfrm>
                      <a:off x="0" y="0"/>
                      <a:ext cx="5260340" cy="74396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60340" cy="7439660"/>
            <wp:effectExtent l="0" t="0" r="16510" b="8890"/>
            <wp:docPr id="29" name="图片 29" descr="关于磴口一期污水处理厂升级改造项目初设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关于磴口一期污水处理厂升级改造项目初设批复_02"/>
                    <pic:cNvPicPr>
                      <a:picLocks noChangeAspect="1"/>
                    </pic:cNvPicPr>
                  </pic:nvPicPr>
                  <pic:blipFill>
                    <a:blip r:embed="rId55"/>
                    <a:stretch>
                      <a:fillRect/>
                    </a:stretch>
                  </pic:blipFill>
                  <pic:spPr>
                    <a:xfrm>
                      <a:off x="0" y="0"/>
                      <a:ext cx="5260340" cy="74396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60340" cy="7439660"/>
            <wp:effectExtent l="0" t="0" r="16510" b="8890"/>
            <wp:docPr id="28" name="图片 28" descr="关于磴口一期污水处理厂升级改造项目初设批复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关于磴口一期污水处理厂升级改造项目初设批复_03"/>
                    <pic:cNvPicPr>
                      <a:picLocks noChangeAspect="1"/>
                    </pic:cNvPicPr>
                  </pic:nvPicPr>
                  <pic:blipFill>
                    <a:blip r:embed="rId56"/>
                    <a:stretch>
                      <a:fillRect/>
                    </a:stretch>
                  </pic:blipFill>
                  <pic:spPr>
                    <a:xfrm>
                      <a:off x="0" y="0"/>
                      <a:ext cx="5260340" cy="7439660"/>
                    </a:xfrm>
                    <a:prstGeom prst="rect">
                      <a:avLst/>
                    </a:prstGeom>
                  </pic:spPr>
                </pic:pic>
              </a:graphicData>
            </a:graphic>
          </wp:inline>
        </w:drawing>
      </w:r>
    </w:p>
    <w:p w14:paraId="1D1775CD">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p>
    <w:p w14:paraId="622B7C43">
      <w:pPr>
        <w:keepNext w:val="0"/>
        <w:keepLines w:val="0"/>
        <w:pageBreakBefore/>
        <w:widowControl w:val="0"/>
        <w:kinsoku/>
        <w:wordWrap/>
        <w:overflowPunct/>
        <w:topLinePunct w:val="0"/>
        <w:autoSpaceDE/>
        <w:autoSpaceDN/>
        <w:bidi w:val="0"/>
        <w:adjustRightInd w:val="0"/>
        <w:snapToGrid w:val="0"/>
        <w:textAlignment w:val="auto"/>
        <w:outlineLvl w:val="1"/>
        <w:rPr>
          <w:rFonts w:hint="default" w:eastAsia="宋体"/>
          <w:b/>
          <w:bCs/>
          <w:color w:val="000000" w:themeColor="text1"/>
          <w:highlight w:val="none"/>
          <w:lang w:val="en-US" w:eastAsia="zh-CN"/>
          <w14:textFill>
            <w14:solidFill>
              <w14:schemeClr w14:val="tx1"/>
            </w14:solidFill>
          </w14:textFill>
        </w:rPr>
      </w:pPr>
      <w:bookmarkStart w:id="165" w:name="_Toc1870"/>
      <w:bookmarkStart w:id="166" w:name="_Toc19510"/>
      <w:bookmarkStart w:id="167" w:name="_Toc15473"/>
      <w:r>
        <w:rPr>
          <w:rFonts w:hint="eastAsia" w:eastAsia="宋体"/>
          <w:b/>
          <w:bCs/>
          <w:color w:val="000000" w:themeColor="text1"/>
          <w:highlight w:val="none"/>
          <w:lang w:val="en-US" w:eastAsia="zh-CN"/>
          <w14:textFill>
            <w14:solidFill>
              <w14:schemeClr w14:val="tx1"/>
            </w14:solidFill>
          </w14:textFill>
        </w:rPr>
        <w:t>附件3</w:t>
      </w:r>
      <w:r>
        <w:rPr>
          <w:rFonts w:hint="eastAsia"/>
          <w:b/>
          <w:bCs/>
          <w:color w:val="000000" w:themeColor="text1"/>
          <w:highlight w:val="none"/>
          <w:lang w:val="en-US" w:eastAsia="zh-CN"/>
          <w14:textFill>
            <w14:solidFill>
              <w14:schemeClr w14:val="tx1"/>
            </w14:solidFill>
          </w14:textFill>
        </w:rPr>
        <w:t xml:space="preserve"> </w:t>
      </w:r>
      <w:r>
        <w:rPr>
          <w:rFonts w:hint="eastAsia" w:eastAsia="宋体"/>
          <w:b/>
          <w:bCs/>
          <w:color w:val="000000" w:themeColor="text1"/>
          <w:highlight w:val="none"/>
          <w:lang w:val="en-US" w:eastAsia="zh-CN"/>
          <w14:textFill>
            <w14:solidFill>
              <w14:schemeClr w14:val="tx1"/>
            </w14:solidFill>
          </w14:textFill>
        </w:rPr>
        <w:t>《关于对内蒙古巴彦淖尔市磴口县巴彦高勒镇污水处理工程环境影响报告书的批复》（巴环审发</w:t>
      </w:r>
      <w:r>
        <w:rPr>
          <w:rFonts w:hint="eastAsia"/>
          <w:b/>
          <w:bCs/>
          <w:color w:val="000000" w:themeColor="text1"/>
          <w:highlight w:val="none"/>
          <w:lang w:val="en-US" w:eastAsia="zh-CN"/>
          <w14:textFill>
            <w14:solidFill>
              <w14:schemeClr w14:val="tx1"/>
            </w14:solidFill>
          </w14:textFill>
        </w:rPr>
        <w:t>〔</w:t>
      </w:r>
      <w:r>
        <w:rPr>
          <w:rFonts w:hint="eastAsia" w:eastAsia="宋体"/>
          <w:b/>
          <w:bCs/>
          <w:color w:val="000000" w:themeColor="text1"/>
          <w:highlight w:val="none"/>
          <w:lang w:val="en-US" w:eastAsia="zh-CN"/>
          <w14:textFill>
            <w14:solidFill>
              <w14:schemeClr w14:val="tx1"/>
            </w14:solidFill>
          </w14:textFill>
        </w:rPr>
        <w:t>2008</w:t>
      </w:r>
      <w:r>
        <w:rPr>
          <w:rFonts w:hint="eastAsia"/>
          <w:b/>
          <w:bCs/>
          <w:color w:val="000000" w:themeColor="text1"/>
          <w:highlight w:val="none"/>
          <w:lang w:val="en-US" w:eastAsia="zh-CN"/>
          <w14:textFill>
            <w14:solidFill>
              <w14:schemeClr w14:val="tx1"/>
            </w14:solidFill>
          </w14:textFill>
        </w:rPr>
        <w:t>〕</w:t>
      </w:r>
      <w:r>
        <w:rPr>
          <w:rFonts w:hint="eastAsia" w:eastAsia="宋体"/>
          <w:b/>
          <w:bCs/>
          <w:color w:val="000000" w:themeColor="text1"/>
          <w:highlight w:val="none"/>
          <w:lang w:val="en-US" w:eastAsia="zh-CN"/>
          <w14:textFill>
            <w14:solidFill>
              <w14:schemeClr w14:val="tx1"/>
            </w14:solidFill>
          </w14:textFill>
        </w:rPr>
        <w:t>14号）</w:t>
      </w:r>
      <w:bookmarkEnd w:id="165"/>
      <w:bookmarkEnd w:id="166"/>
      <w:bookmarkEnd w:id="167"/>
    </w:p>
    <w:p w14:paraId="5CEB32B4">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5279390" cy="8121015"/>
            <wp:effectExtent l="0" t="0" r="16510" b="13335"/>
            <wp:docPr id="16" name="图片 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descr="11"/>
                    <pic:cNvPicPr>
                      <a:picLocks noChangeAspect="1"/>
                    </pic:cNvPicPr>
                  </pic:nvPicPr>
                  <pic:blipFill>
                    <a:blip r:embed="rId57">
                      <a:lum contrast="11999"/>
                    </a:blip>
                    <a:srcRect t="5423" b="8063"/>
                    <a:stretch>
                      <a:fillRect/>
                    </a:stretch>
                  </pic:blipFill>
                  <pic:spPr>
                    <a:xfrm>
                      <a:off x="0" y="0"/>
                      <a:ext cx="5279390" cy="8121015"/>
                    </a:xfrm>
                    <a:prstGeom prst="rect">
                      <a:avLst/>
                    </a:prstGeom>
                    <a:noFill/>
                    <a:ln>
                      <a:noFill/>
                    </a:ln>
                  </pic:spPr>
                </pic:pic>
              </a:graphicData>
            </a:graphic>
          </wp:inline>
        </w:drawing>
      </w:r>
    </w:p>
    <w:p w14:paraId="2701BBD9">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5263515" cy="8324215"/>
            <wp:effectExtent l="0" t="0" r="13335" b="635"/>
            <wp:docPr id="20" name="图片 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descr="12"/>
                    <pic:cNvPicPr>
                      <a:picLocks noChangeAspect="1"/>
                    </pic:cNvPicPr>
                  </pic:nvPicPr>
                  <pic:blipFill>
                    <a:blip r:embed="rId58"/>
                    <a:srcRect t="3496" b="7562"/>
                    <a:stretch>
                      <a:fillRect/>
                    </a:stretch>
                  </pic:blipFill>
                  <pic:spPr>
                    <a:xfrm>
                      <a:off x="0" y="0"/>
                      <a:ext cx="5263515" cy="8324215"/>
                    </a:xfrm>
                    <a:prstGeom prst="rect">
                      <a:avLst/>
                    </a:prstGeom>
                    <a:noFill/>
                    <a:ln>
                      <a:noFill/>
                    </a:ln>
                  </pic:spPr>
                </pic:pic>
              </a:graphicData>
            </a:graphic>
          </wp:inline>
        </w:drawing>
      </w:r>
    </w:p>
    <w:p w14:paraId="00987678">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5235575" cy="8478520"/>
            <wp:effectExtent l="0" t="0" r="3175" b="17780"/>
            <wp:docPr id="31" name="图片 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descr="13"/>
                    <pic:cNvPicPr>
                      <a:picLocks noChangeAspect="1"/>
                    </pic:cNvPicPr>
                  </pic:nvPicPr>
                  <pic:blipFill>
                    <a:blip r:embed="rId59"/>
                    <a:srcRect t="4852" b="4066"/>
                    <a:stretch>
                      <a:fillRect/>
                    </a:stretch>
                  </pic:blipFill>
                  <pic:spPr>
                    <a:xfrm>
                      <a:off x="0" y="0"/>
                      <a:ext cx="5235575" cy="8478520"/>
                    </a:xfrm>
                    <a:prstGeom prst="rect">
                      <a:avLst/>
                    </a:prstGeom>
                    <a:noFill/>
                    <a:ln>
                      <a:noFill/>
                    </a:ln>
                  </pic:spPr>
                </pic:pic>
              </a:graphicData>
            </a:graphic>
          </wp:inline>
        </w:drawing>
      </w:r>
    </w:p>
    <w:p w14:paraId="218D9617">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p>
    <w:p w14:paraId="5CFD5BE5">
      <w:pPr>
        <w:keepNext w:val="0"/>
        <w:keepLines w:val="0"/>
        <w:pageBreakBefore/>
        <w:widowControl w:val="0"/>
        <w:kinsoku/>
        <w:wordWrap/>
        <w:overflowPunct/>
        <w:topLinePunct w:val="0"/>
        <w:autoSpaceDE/>
        <w:autoSpaceDN/>
        <w:bidi w:val="0"/>
        <w:adjustRightInd w:val="0"/>
        <w:snapToGrid w:val="0"/>
        <w:textAlignment w:val="auto"/>
        <w:outlineLvl w:val="1"/>
        <w:rPr>
          <w:rFonts w:hint="default" w:eastAsia="宋体"/>
          <w:b/>
          <w:bCs/>
          <w:color w:val="000000" w:themeColor="text1"/>
          <w:highlight w:val="none"/>
          <w:lang w:val="en-US" w:eastAsia="zh-CN"/>
          <w14:textFill>
            <w14:solidFill>
              <w14:schemeClr w14:val="tx1"/>
            </w14:solidFill>
          </w14:textFill>
        </w:rPr>
      </w:pPr>
      <w:bookmarkStart w:id="168" w:name="_Toc30584"/>
      <w:bookmarkStart w:id="169" w:name="_Toc2314"/>
      <w:bookmarkStart w:id="170" w:name="_Toc14297"/>
      <w:r>
        <w:rPr>
          <w:rFonts w:hint="eastAsia" w:eastAsia="宋体"/>
          <w:b/>
          <w:bCs/>
          <w:color w:val="000000" w:themeColor="text1"/>
          <w:highlight w:val="none"/>
          <w:lang w:val="en-US" w:eastAsia="zh-CN"/>
          <w14:textFill>
            <w14:solidFill>
              <w14:schemeClr w14:val="tx1"/>
            </w14:solidFill>
          </w14:textFill>
        </w:rPr>
        <w:t>附件4</w:t>
      </w:r>
      <w:r>
        <w:rPr>
          <w:rFonts w:hint="eastAsia"/>
          <w:b/>
          <w:bCs/>
          <w:color w:val="000000" w:themeColor="text1"/>
          <w:highlight w:val="none"/>
          <w:lang w:val="en-US" w:eastAsia="zh-CN"/>
          <w14:textFill>
            <w14:solidFill>
              <w14:schemeClr w14:val="tx1"/>
            </w14:solidFill>
          </w14:textFill>
        </w:rPr>
        <w:t xml:space="preserve"> </w:t>
      </w:r>
      <w:r>
        <w:rPr>
          <w:rFonts w:hint="eastAsia" w:eastAsia="宋体"/>
          <w:b/>
          <w:bCs/>
          <w:color w:val="000000" w:themeColor="text1"/>
          <w:highlight w:val="none"/>
          <w:lang w:val="en-US" w:eastAsia="zh-CN"/>
          <w14:textFill>
            <w14:solidFill>
              <w14:schemeClr w14:val="tx1"/>
            </w14:solidFill>
          </w14:textFill>
        </w:rPr>
        <w:t>《巴彦淖尔市磴口县巴彦高勒镇污水处理厂提标改造工程环保审批意见》（巴环审表</w:t>
      </w:r>
      <w:r>
        <w:rPr>
          <w:rFonts w:hint="eastAsia"/>
          <w:b/>
          <w:bCs/>
          <w:color w:val="000000" w:themeColor="text1"/>
          <w:highlight w:val="none"/>
          <w:lang w:val="en-US" w:eastAsia="zh-CN"/>
          <w14:textFill>
            <w14:solidFill>
              <w14:schemeClr w14:val="tx1"/>
            </w14:solidFill>
          </w14:textFill>
        </w:rPr>
        <w:t>〔</w:t>
      </w:r>
      <w:r>
        <w:rPr>
          <w:rFonts w:hint="eastAsia" w:eastAsia="宋体"/>
          <w:b/>
          <w:bCs/>
          <w:color w:val="000000" w:themeColor="text1"/>
          <w:highlight w:val="none"/>
          <w:lang w:val="en-US" w:eastAsia="zh-CN"/>
          <w14:textFill>
            <w14:solidFill>
              <w14:schemeClr w14:val="tx1"/>
            </w14:solidFill>
          </w14:textFill>
        </w:rPr>
        <w:t>2014</w:t>
      </w:r>
      <w:r>
        <w:rPr>
          <w:rFonts w:hint="eastAsia"/>
          <w:b/>
          <w:bCs/>
          <w:color w:val="000000" w:themeColor="text1"/>
          <w:highlight w:val="none"/>
          <w:lang w:val="en-US" w:eastAsia="zh-CN"/>
          <w14:textFill>
            <w14:solidFill>
              <w14:schemeClr w14:val="tx1"/>
            </w14:solidFill>
          </w14:textFill>
        </w:rPr>
        <w:t>〕</w:t>
      </w:r>
      <w:r>
        <w:rPr>
          <w:rFonts w:hint="eastAsia" w:eastAsia="宋体"/>
          <w:b/>
          <w:bCs/>
          <w:color w:val="000000" w:themeColor="text1"/>
          <w:highlight w:val="none"/>
          <w:lang w:val="en-US" w:eastAsia="zh-CN"/>
          <w14:textFill>
            <w14:solidFill>
              <w14:schemeClr w14:val="tx1"/>
            </w14:solidFill>
          </w14:textFill>
        </w:rPr>
        <w:t>074号）</w:t>
      </w:r>
      <w:bookmarkEnd w:id="168"/>
      <w:bookmarkEnd w:id="169"/>
      <w:bookmarkEnd w:id="170"/>
    </w:p>
    <w:p w14:paraId="7AC9F237">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drawing>
          <wp:inline distT="0" distB="0" distL="114300" distR="114300">
            <wp:extent cx="5273040" cy="7520940"/>
            <wp:effectExtent l="0" t="0" r="3810" b="3810"/>
            <wp:docPr id="32" name="图片 32" descr="提标改造环评批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提标改造环评批复"/>
                    <pic:cNvPicPr>
                      <a:picLocks noChangeAspect="1"/>
                    </pic:cNvPicPr>
                  </pic:nvPicPr>
                  <pic:blipFill>
                    <a:blip r:embed="rId60"/>
                    <a:stretch>
                      <a:fillRect/>
                    </a:stretch>
                  </pic:blipFill>
                  <pic:spPr>
                    <a:xfrm rot="10800000">
                      <a:off x="0" y="0"/>
                      <a:ext cx="5273040" cy="7520940"/>
                    </a:xfrm>
                    <a:prstGeom prst="rect">
                      <a:avLst/>
                    </a:prstGeom>
                  </pic:spPr>
                </pic:pic>
              </a:graphicData>
            </a:graphic>
          </wp:inline>
        </w:drawing>
      </w:r>
    </w:p>
    <w:p w14:paraId="61690E01">
      <w:pPr>
        <w:keepNext w:val="0"/>
        <w:keepLines w:val="0"/>
        <w:pageBreakBefore/>
        <w:widowControl w:val="0"/>
        <w:kinsoku/>
        <w:wordWrap/>
        <w:overflowPunct/>
        <w:topLinePunct w:val="0"/>
        <w:autoSpaceDE/>
        <w:autoSpaceDN/>
        <w:bidi w:val="0"/>
        <w:adjustRightInd w:val="0"/>
        <w:snapToGrid w:val="0"/>
        <w:textAlignment w:val="auto"/>
        <w:outlineLvl w:val="1"/>
        <w:rPr>
          <w:rFonts w:hint="eastAsia" w:eastAsia="宋体"/>
          <w:b/>
          <w:bCs/>
          <w:color w:val="000000" w:themeColor="text1"/>
          <w:highlight w:val="none"/>
          <w:lang w:val="en-US" w:eastAsia="zh-CN"/>
          <w14:textFill>
            <w14:solidFill>
              <w14:schemeClr w14:val="tx1"/>
            </w14:solidFill>
          </w14:textFill>
        </w:rPr>
      </w:pPr>
      <w:bookmarkStart w:id="171" w:name="_Toc13089"/>
      <w:bookmarkStart w:id="172" w:name="_Toc25721"/>
      <w:bookmarkStart w:id="173" w:name="_Toc27790"/>
      <w:r>
        <w:rPr>
          <w:rFonts w:hint="eastAsia" w:eastAsia="宋体"/>
          <w:b/>
          <w:bCs/>
          <w:color w:val="000000" w:themeColor="text1"/>
          <w:highlight w:val="none"/>
          <w:lang w:val="en-US" w:eastAsia="zh-CN"/>
          <w14:textFill>
            <w14:solidFill>
              <w14:schemeClr w14:val="tx1"/>
            </w14:solidFill>
          </w14:textFill>
        </w:rPr>
        <w:t>附件5</w:t>
      </w:r>
      <w:r>
        <w:rPr>
          <w:rFonts w:hint="eastAsia"/>
          <w:b/>
          <w:bCs/>
          <w:color w:val="000000" w:themeColor="text1"/>
          <w:highlight w:val="none"/>
          <w:lang w:val="en-US" w:eastAsia="zh-CN"/>
          <w14:textFill>
            <w14:solidFill>
              <w14:schemeClr w14:val="tx1"/>
            </w14:solidFill>
          </w14:textFill>
        </w:rPr>
        <w:t xml:space="preserve"> </w:t>
      </w:r>
      <w:r>
        <w:rPr>
          <w:rFonts w:hint="eastAsia" w:eastAsia="宋体"/>
          <w:b/>
          <w:bCs/>
          <w:color w:val="000000" w:themeColor="text1"/>
          <w:highlight w:val="none"/>
          <w:lang w:val="en-US" w:eastAsia="zh-CN"/>
          <w14:textFill>
            <w14:solidFill>
              <w14:schemeClr w14:val="tx1"/>
            </w14:solidFill>
          </w14:textFill>
        </w:rPr>
        <w:t>排污许可证及排污许可执行报告（2025年）</w:t>
      </w:r>
      <w:bookmarkEnd w:id="171"/>
      <w:bookmarkEnd w:id="172"/>
      <w:bookmarkEnd w:id="173"/>
    </w:p>
    <w:p w14:paraId="0D833AD7">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p>
    <w:p w14:paraId="05C13F7C">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drawing>
          <wp:inline distT="0" distB="0" distL="114300" distR="114300">
            <wp:extent cx="5266690" cy="7022465"/>
            <wp:effectExtent l="0" t="0" r="10160" b="6985"/>
            <wp:docPr id="33" name="图片 33" descr="排污许可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排污许可证"/>
                    <pic:cNvPicPr>
                      <a:picLocks noChangeAspect="1"/>
                    </pic:cNvPicPr>
                  </pic:nvPicPr>
                  <pic:blipFill>
                    <a:blip r:embed="rId61"/>
                    <a:stretch>
                      <a:fillRect/>
                    </a:stretch>
                  </pic:blipFill>
                  <pic:spPr>
                    <a:xfrm>
                      <a:off x="0" y="0"/>
                      <a:ext cx="5266690" cy="7022465"/>
                    </a:xfrm>
                    <a:prstGeom prst="rect">
                      <a:avLst/>
                    </a:prstGeom>
                  </pic:spPr>
                </pic:pic>
              </a:graphicData>
            </a:graphic>
          </wp:inline>
        </w:drawing>
      </w:r>
    </w:p>
    <w:p w14:paraId="1A401DB4">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drawing>
          <wp:inline distT="0" distB="0" distL="114300" distR="114300">
            <wp:extent cx="5275580" cy="7454900"/>
            <wp:effectExtent l="0" t="0" r="1270" b="12700"/>
            <wp:docPr id="60" name="图片 60" descr="执行报告-年报磴口县中涵水务有限公司-2025年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执行报告-年报磴口县中涵水务有限公司-2025年_1"/>
                    <pic:cNvPicPr>
                      <a:picLocks noChangeAspect="1"/>
                    </pic:cNvPicPr>
                  </pic:nvPicPr>
                  <pic:blipFill>
                    <a:blip r:embed="rId62"/>
                    <a:stretch>
                      <a:fillRect/>
                    </a:stretch>
                  </pic:blipFill>
                  <pic:spPr>
                    <a:xfrm>
                      <a:off x="0" y="0"/>
                      <a:ext cx="5275580" cy="745490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5580" cy="7454900"/>
            <wp:effectExtent l="0" t="0" r="1270" b="12700"/>
            <wp:docPr id="59" name="图片 59" descr="执行报告-年报磴口县中涵水务有限公司-2025年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执行报告-年报磴口县中涵水务有限公司-2025年_2"/>
                    <pic:cNvPicPr>
                      <a:picLocks noChangeAspect="1"/>
                    </pic:cNvPicPr>
                  </pic:nvPicPr>
                  <pic:blipFill>
                    <a:blip r:embed="rId63"/>
                    <a:stretch>
                      <a:fillRect/>
                    </a:stretch>
                  </pic:blipFill>
                  <pic:spPr>
                    <a:xfrm>
                      <a:off x="0" y="0"/>
                      <a:ext cx="5275580" cy="745490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58" name="图片 58" descr="执行报告-年报磴口县中涵水务有限公司-2025年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执行报告-年报磴口县中涵水务有限公司-2025年_3"/>
                    <pic:cNvPicPr>
                      <a:picLocks noChangeAspect="1"/>
                    </pic:cNvPicPr>
                  </pic:nvPicPr>
                  <pic:blipFill>
                    <a:blip r:embed="rId64"/>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57" name="图片 57" descr="执行报告-年报磴口县中涵水务有限公司-2025年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执行报告-年报磴口县中涵水务有限公司-2025年_4"/>
                    <pic:cNvPicPr>
                      <a:picLocks noChangeAspect="1"/>
                    </pic:cNvPicPr>
                  </pic:nvPicPr>
                  <pic:blipFill>
                    <a:blip r:embed="rId65"/>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56" name="图片 56" descr="执行报告-年报磴口县中涵水务有限公司-2025年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执行报告-年报磴口县中涵水务有限公司-2025年_5"/>
                    <pic:cNvPicPr>
                      <a:picLocks noChangeAspect="1"/>
                    </pic:cNvPicPr>
                  </pic:nvPicPr>
                  <pic:blipFill>
                    <a:blip r:embed="rId66"/>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55" name="图片 55" descr="执行报告-年报磴口县中涵水务有限公司-2025年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执行报告-年报磴口县中涵水务有限公司-2025年_6"/>
                    <pic:cNvPicPr>
                      <a:picLocks noChangeAspect="1"/>
                    </pic:cNvPicPr>
                  </pic:nvPicPr>
                  <pic:blipFill>
                    <a:blip r:embed="rId67"/>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54" name="图片 54" descr="执行报告-年报磴口县中涵水务有限公司-2025年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执行报告-年报磴口县中涵水务有限公司-2025年_7"/>
                    <pic:cNvPicPr>
                      <a:picLocks noChangeAspect="1"/>
                    </pic:cNvPicPr>
                  </pic:nvPicPr>
                  <pic:blipFill>
                    <a:blip r:embed="rId68"/>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53" name="图片 53" descr="执行报告-年报磴口县中涵水务有限公司-2025年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执行报告-年报磴口县中涵水务有限公司-2025年_8"/>
                    <pic:cNvPicPr>
                      <a:picLocks noChangeAspect="1"/>
                    </pic:cNvPicPr>
                  </pic:nvPicPr>
                  <pic:blipFill>
                    <a:blip r:embed="rId69"/>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52" name="图片 52" descr="执行报告-年报磴口县中涵水务有限公司-2025年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执行报告-年报磴口县中涵水务有限公司-2025年_9"/>
                    <pic:cNvPicPr>
                      <a:picLocks noChangeAspect="1"/>
                    </pic:cNvPicPr>
                  </pic:nvPicPr>
                  <pic:blipFill>
                    <a:blip r:embed="rId70"/>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51" name="图片 51" descr="执行报告-年报磴口县中涵水务有限公司-2025年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执行报告-年报磴口县中涵水务有限公司-2025年_10"/>
                    <pic:cNvPicPr>
                      <a:picLocks noChangeAspect="1"/>
                    </pic:cNvPicPr>
                  </pic:nvPicPr>
                  <pic:blipFill>
                    <a:blip r:embed="rId71"/>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50" name="图片 50" descr="执行报告-年报磴口县中涵水务有限公司-2025年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执行报告-年报磴口县中涵水务有限公司-2025年_11"/>
                    <pic:cNvPicPr>
                      <a:picLocks noChangeAspect="1"/>
                    </pic:cNvPicPr>
                  </pic:nvPicPr>
                  <pic:blipFill>
                    <a:blip r:embed="rId72"/>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49" name="图片 49" descr="执行报告-年报磴口县中涵水务有限公司-2025年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执行报告-年报磴口县中涵水务有限公司-2025年_12"/>
                    <pic:cNvPicPr>
                      <a:picLocks noChangeAspect="1"/>
                    </pic:cNvPicPr>
                  </pic:nvPicPr>
                  <pic:blipFill>
                    <a:blip r:embed="rId73"/>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48" name="图片 48" descr="执行报告-年报磴口县中涵水务有限公司-2025年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执行报告-年报磴口县中涵水务有限公司-2025年_13"/>
                    <pic:cNvPicPr>
                      <a:picLocks noChangeAspect="1"/>
                    </pic:cNvPicPr>
                  </pic:nvPicPr>
                  <pic:blipFill>
                    <a:blip r:embed="rId74"/>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47" name="图片 47" descr="执行报告-年报磴口县中涵水务有限公司-2025年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执行报告-年报磴口县中涵水务有限公司-2025年_14"/>
                    <pic:cNvPicPr>
                      <a:picLocks noChangeAspect="1"/>
                    </pic:cNvPicPr>
                  </pic:nvPicPr>
                  <pic:blipFill>
                    <a:blip r:embed="rId75"/>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46" name="图片 46" descr="执行报告-年报磴口县中涵水务有限公司-2025年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执行报告-年报磴口县中涵水务有限公司-2025年_15"/>
                    <pic:cNvPicPr>
                      <a:picLocks noChangeAspect="1"/>
                    </pic:cNvPicPr>
                  </pic:nvPicPr>
                  <pic:blipFill>
                    <a:blip r:embed="rId76"/>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45" name="图片 45" descr="执行报告-年报磴口县中涵水务有限公司-2025年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执行报告-年报磴口县中涵水务有限公司-2025年_16"/>
                    <pic:cNvPicPr>
                      <a:picLocks noChangeAspect="1"/>
                    </pic:cNvPicPr>
                  </pic:nvPicPr>
                  <pic:blipFill>
                    <a:blip r:embed="rId77"/>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44" name="图片 44" descr="执行报告-年报磴口县中涵水务有限公司-2025年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执行报告-年报磴口县中涵水务有限公司-2025年_17"/>
                    <pic:cNvPicPr>
                      <a:picLocks noChangeAspect="1"/>
                    </pic:cNvPicPr>
                  </pic:nvPicPr>
                  <pic:blipFill>
                    <a:blip r:embed="rId78"/>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43" name="图片 43" descr="执行报告-年报磴口县中涵水务有限公司-2025年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执行报告-年报磴口县中涵水务有限公司-2025年_18"/>
                    <pic:cNvPicPr>
                      <a:picLocks noChangeAspect="1"/>
                    </pic:cNvPicPr>
                  </pic:nvPicPr>
                  <pic:blipFill>
                    <a:blip r:embed="rId79"/>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42" name="图片 42" descr="执行报告-年报磴口县中涵水务有限公司-2025年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执行报告-年报磴口县中涵水务有限公司-2025年_19"/>
                    <pic:cNvPicPr>
                      <a:picLocks noChangeAspect="1"/>
                    </pic:cNvPicPr>
                  </pic:nvPicPr>
                  <pic:blipFill>
                    <a:blip r:embed="rId80"/>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41" name="图片 41" descr="执行报告-年报磴口县中涵水务有限公司-2025年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执行报告-年报磴口县中涵水务有限公司-2025年_20"/>
                    <pic:cNvPicPr>
                      <a:picLocks noChangeAspect="1"/>
                    </pic:cNvPicPr>
                  </pic:nvPicPr>
                  <pic:blipFill>
                    <a:blip r:embed="rId81"/>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40" name="图片 40" descr="执行报告-年报磴口县中涵水务有限公司-2025年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执行报告-年报磴口县中涵水务有限公司-2025年_21"/>
                    <pic:cNvPicPr>
                      <a:picLocks noChangeAspect="1"/>
                    </pic:cNvPicPr>
                  </pic:nvPicPr>
                  <pic:blipFill>
                    <a:blip r:embed="rId82"/>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39" name="图片 39" descr="执行报告-年报磴口县中涵水务有限公司-2025年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执行报告-年报磴口县中涵水务有限公司-2025年_22"/>
                    <pic:cNvPicPr>
                      <a:picLocks noChangeAspect="1"/>
                    </pic:cNvPicPr>
                  </pic:nvPicPr>
                  <pic:blipFill>
                    <a:blip r:embed="rId83"/>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38" name="图片 38" descr="执行报告-年报磴口县中涵水务有限公司-2025年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执行报告-年报磴口县中涵水务有限公司-2025年_23"/>
                    <pic:cNvPicPr>
                      <a:picLocks noChangeAspect="1"/>
                    </pic:cNvPicPr>
                  </pic:nvPicPr>
                  <pic:blipFill>
                    <a:blip r:embed="rId84"/>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37" name="图片 37" descr="执行报告-年报磴口县中涵水务有限公司-2025年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执行报告-年报磴口县中涵水务有限公司-2025年_24"/>
                    <pic:cNvPicPr>
                      <a:picLocks noChangeAspect="1"/>
                    </pic:cNvPicPr>
                  </pic:nvPicPr>
                  <pic:blipFill>
                    <a:blip r:embed="rId85"/>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36" name="图片 36" descr="执行报告-年报磴口县中涵水务有限公司-2025年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执行报告-年报磴口县中涵水务有限公司-2025年_25"/>
                    <pic:cNvPicPr>
                      <a:picLocks noChangeAspect="1"/>
                    </pic:cNvPicPr>
                  </pic:nvPicPr>
                  <pic:blipFill>
                    <a:blip r:embed="rId86"/>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35" name="图片 35" descr="执行报告-年报磴口县中涵水务有限公司-2025年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执行报告-年报磴口县中涵水务有限公司-2025年_26"/>
                    <pic:cNvPicPr>
                      <a:picLocks noChangeAspect="1"/>
                    </pic:cNvPicPr>
                  </pic:nvPicPr>
                  <pic:blipFill>
                    <a:blip r:embed="rId87"/>
                    <a:stretch>
                      <a:fillRect/>
                    </a:stretch>
                  </pic:blipFill>
                  <pic:spPr>
                    <a:xfrm>
                      <a:off x="0" y="0"/>
                      <a:ext cx="5274945" cy="74523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74945" cy="7452360"/>
            <wp:effectExtent l="0" t="0" r="1905" b="15240"/>
            <wp:docPr id="34" name="图片 34" descr="执行报告-年报磴口县中涵水务有限公司-2025年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执行报告-年报磴口县中涵水务有限公司-2025年_27"/>
                    <pic:cNvPicPr>
                      <a:picLocks noChangeAspect="1"/>
                    </pic:cNvPicPr>
                  </pic:nvPicPr>
                  <pic:blipFill>
                    <a:blip r:embed="rId88"/>
                    <a:stretch>
                      <a:fillRect/>
                    </a:stretch>
                  </pic:blipFill>
                  <pic:spPr>
                    <a:xfrm>
                      <a:off x="0" y="0"/>
                      <a:ext cx="5274945" cy="7452360"/>
                    </a:xfrm>
                    <a:prstGeom prst="rect">
                      <a:avLst/>
                    </a:prstGeom>
                  </pic:spPr>
                </pic:pic>
              </a:graphicData>
            </a:graphic>
          </wp:inline>
        </w:drawing>
      </w:r>
    </w:p>
    <w:p w14:paraId="6EF37A93">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p>
    <w:p w14:paraId="5ED08E66">
      <w:pPr>
        <w:keepNext w:val="0"/>
        <w:keepLines w:val="0"/>
        <w:pageBreakBefore/>
        <w:widowControl w:val="0"/>
        <w:kinsoku/>
        <w:wordWrap/>
        <w:overflowPunct/>
        <w:topLinePunct w:val="0"/>
        <w:autoSpaceDE/>
        <w:autoSpaceDN/>
        <w:bidi w:val="0"/>
        <w:adjustRightInd w:val="0"/>
        <w:snapToGrid w:val="0"/>
        <w:textAlignment w:val="auto"/>
        <w:outlineLvl w:val="1"/>
        <w:rPr>
          <w:rFonts w:hint="eastAsia" w:eastAsia="宋体"/>
          <w:b/>
          <w:bCs/>
          <w:color w:val="000000" w:themeColor="text1"/>
          <w:highlight w:val="none"/>
          <w:lang w:val="en-US" w:eastAsia="zh-CN"/>
          <w14:textFill>
            <w14:solidFill>
              <w14:schemeClr w14:val="tx1"/>
            </w14:solidFill>
          </w14:textFill>
        </w:rPr>
      </w:pPr>
      <w:bookmarkStart w:id="174" w:name="_Toc4503"/>
      <w:bookmarkStart w:id="175" w:name="_Toc25780"/>
      <w:bookmarkStart w:id="176" w:name="_Toc14027"/>
      <w:r>
        <w:rPr>
          <w:rFonts w:hint="eastAsia" w:eastAsia="宋体"/>
          <w:b/>
          <w:bCs/>
          <w:color w:val="000000" w:themeColor="text1"/>
          <w:highlight w:val="none"/>
          <w:lang w:val="en-US" w:eastAsia="zh-CN"/>
          <w14:textFill>
            <w14:solidFill>
              <w14:schemeClr w14:val="tx1"/>
            </w14:solidFill>
          </w14:textFill>
        </w:rPr>
        <w:t>附件6</w:t>
      </w:r>
      <w:r>
        <w:rPr>
          <w:rFonts w:hint="eastAsia"/>
          <w:b/>
          <w:bCs/>
          <w:color w:val="000000" w:themeColor="text1"/>
          <w:highlight w:val="none"/>
          <w:lang w:val="en-US" w:eastAsia="zh-CN"/>
          <w14:textFill>
            <w14:solidFill>
              <w14:schemeClr w14:val="tx1"/>
            </w14:solidFill>
          </w14:textFill>
        </w:rPr>
        <w:t xml:space="preserve"> </w:t>
      </w:r>
      <w:r>
        <w:rPr>
          <w:rFonts w:hint="eastAsia" w:eastAsia="宋体"/>
          <w:b/>
          <w:bCs/>
          <w:color w:val="000000" w:themeColor="text1"/>
          <w:highlight w:val="none"/>
          <w:lang w:val="en-US" w:eastAsia="zh-CN"/>
          <w14:textFill>
            <w14:solidFill>
              <w14:schemeClr w14:val="tx1"/>
            </w14:solidFill>
          </w14:textFill>
        </w:rPr>
        <w:t>引用的例行监测报告</w:t>
      </w:r>
      <w:bookmarkEnd w:id="174"/>
      <w:bookmarkEnd w:id="175"/>
      <w:bookmarkEnd w:id="176"/>
    </w:p>
    <w:p w14:paraId="0D5AA3E9">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drawing>
          <wp:inline distT="0" distB="0" distL="114300" distR="114300">
            <wp:extent cx="5260340" cy="7439660"/>
            <wp:effectExtent l="0" t="0" r="16510" b="8890"/>
            <wp:docPr id="66" name="图片 66" descr="2025年11月废水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2025年11月废水_01"/>
                    <pic:cNvPicPr>
                      <a:picLocks noChangeAspect="1"/>
                    </pic:cNvPicPr>
                  </pic:nvPicPr>
                  <pic:blipFill>
                    <a:blip r:embed="rId89"/>
                    <a:stretch>
                      <a:fillRect/>
                    </a:stretch>
                  </pic:blipFill>
                  <pic:spPr>
                    <a:xfrm>
                      <a:off x="0" y="0"/>
                      <a:ext cx="5260340" cy="74396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60340" cy="7439660"/>
            <wp:effectExtent l="0" t="0" r="16510" b="8890"/>
            <wp:docPr id="65" name="图片 65" descr="2025年11月废水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2025年11月废水_02"/>
                    <pic:cNvPicPr>
                      <a:picLocks noChangeAspect="1"/>
                    </pic:cNvPicPr>
                  </pic:nvPicPr>
                  <pic:blipFill>
                    <a:blip r:embed="rId90"/>
                    <a:stretch>
                      <a:fillRect/>
                    </a:stretch>
                  </pic:blipFill>
                  <pic:spPr>
                    <a:xfrm>
                      <a:off x="0" y="0"/>
                      <a:ext cx="5260340" cy="74396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60340" cy="7439660"/>
            <wp:effectExtent l="0" t="0" r="16510" b="8890"/>
            <wp:docPr id="64" name="图片 64" descr="2025年11月废水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2025年11月废水_03"/>
                    <pic:cNvPicPr>
                      <a:picLocks noChangeAspect="1"/>
                    </pic:cNvPicPr>
                  </pic:nvPicPr>
                  <pic:blipFill>
                    <a:blip r:embed="rId91"/>
                    <a:stretch>
                      <a:fillRect/>
                    </a:stretch>
                  </pic:blipFill>
                  <pic:spPr>
                    <a:xfrm>
                      <a:off x="0" y="0"/>
                      <a:ext cx="5260340" cy="74396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60340" cy="7439660"/>
            <wp:effectExtent l="0" t="0" r="16510" b="8890"/>
            <wp:docPr id="63" name="图片 63" descr="2025年11月废水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2025年11月废水_04"/>
                    <pic:cNvPicPr>
                      <a:picLocks noChangeAspect="1"/>
                    </pic:cNvPicPr>
                  </pic:nvPicPr>
                  <pic:blipFill>
                    <a:blip r:embed="rId92"/>
                    <a:stretch>
                      <a:fillRect/>
                    </a:stretch>
                  </pic:blipFill>
                  <pic:spPr>
                    <a:xfrm>
                      <a:off x="0" y="0"/>
                      <a:ext cx="5260340" cy="74396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60340" cy="7439660"/>
            <wp:effectExtent l="0" t="0" r="16510" b="8890"/>
            <wp:docPr id="62" name="图片 62" descr="2025年11月废水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2025年11月废水_05"/>
                    <pic:cNvPicPr>
                      <a:picLocks noChangeAspect="1"/>
                    </pic:cNvPicPr>
                  </pic:nvPicPr>
                  <pic:blipFill>
                    <a:blip r:embed="rId93"/>
                    <a:stretch>
                      <a:fillRect/>
                    </a:stretch>
                  </pic:blipFill>
                  <pic:spPr>
                    <a:xfrm>
                      <a:off x="0" y="0"/>
                      <a:ext cx="5260340" cy="743966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60340" cy="7439660"/>
            <wp:effectExtent l="0" t="0" r="16510" b="8890"/>
            <wp:docPr id="61" name="图片 61" descr="2025年11月废水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025年11月废水_06"/>
                    <pic:cNvPicPr>
                      <a:picLocks noChangeAspect="1"/>
                    </pic:cNvPicPr>
                  </pic:nvPicPr>
                  <pic:blipFill>
                    <a:blip r:embed="rId94"/>
                    <a:stretch>
                      <a:fillRect/>
                    </a:stretch>
                  </pic:blipFill>
                  <pic:spPr>
                    <a:xfrm>
                      <a:off x="0" y="0"/>
                      <a:ext cx="5260340" cy="7439660"/>
                    </a:xfrm>
                    <a:prstGeom prst="rect">
                      <a:avLst/>
                    </a:prstGeom>
                  </pic:spPr>
                </pic:pic>
              </a:graphicData>
            </a:graphic>
          </wp:inline>
        </w:drawing>
      </w:r>
    </w:p>
    <w:p w14:paraId="56456CB4">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drawing>
          <wp:inline distT="0" distB="0" distL="114300" distR="114300">
            <wp:extent cx="5260340" cy="7438390"/>
            <wp:effectExtent l="0" t="0" r="16510" b="10160"/>
            <wp:docPr id="70" name="图片 70" descr="2025年四季度噪声(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025年四季度噪声(1)_01"/>
                    <pic:cNvPicPr>
                      <a:picLocks noChangeAspect="1"/>
                    </pic:cNvPicPr>
                  </pic:nvPicPr>
                  <pic:blipFill>
                    <a:blip r:embed="rId95"/>
                    <a:stretch>
                      <a:fillRect/>
                    </a:stretch>
                  </pic:blipFill>
                  <pic:spPr>
                    <a:xfrm>
                      <a:off x="0" y="0"/>
                      <a:ext cx="5260340" cy="743839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60340" cy="7438390"/>
            <wp:effectExtent l="0" t="0" r="16510" b="10160"/>
            <wp:docPr id="69" name="图片 69" descr="2025年四季度噪声(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2025年四季度噪声(1)_02"/>
                    <pic:cNvPicPr>
                      <a:picLocks noChangeAspect="1"/>
                    </pic:cNvPicPr>
                  </pic:nvPicPr>
                  <pic:blipFill>
                    <a:blip r:embed="rId96"/>
                    <a:stretch>
                      <a:fillRect/>
                    </a:stretch>
                  </pic:blipFill>
                  <pic:spPr>
                    <a:xfrm>
                      <a:off x="0" y="0"/>
                      <a:ext cx="5260340" cy="743839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60340" cy="7438390"/>
            <wp:effectExtent l="0" t="0" r="16510" b="10160"/>
            <wp:docPr id="68" name="图片 68" descr="2025年四季度噪声(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2025年四季度噪声(1)_03"/>
                    <pic:cNvPicPr>
                      <a:picLocks noChangeAspect="1"/>
                    </pic:cNvPicPr>
                  </pic:nvPicPr>
                  <pic:blipFill>
                    <a:blip r:embed="rId97"/>
                    <a:stretch>
                      <a:fillRect/>
                    </a:stretch>
                  </pic:blipFill>
                  <pic:spPr>
                    <a:xfrm>
                      <a:off x="0" y="0"/>
                      <a:ext cx="5260340" cy="743839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60340" cy="7438390"/>
            <wp:effectExtent l="0" t="0" r="16510" b="10160"/>
            <wp:docPr id="67" name="图片 67" descr="2025年四季度噪声(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025年四季度噪声(1)_04"/>
                    <pic:cNvPicPr>
                      <a:picLocks noChangeAspect="1"/>
                    </pic:cNvPicPr>
                  </pic:nvPicPr>
                  <pic:blipFill>
                    <a:blip r:embed="rId98"/>
                    <a:stretch>
                      <a:fillRect/>
                    </a:stretch>
                  </pic:blipFill>
                  <pic:spPr>
                    <a:xfrm>
                      <a:off x="0" y="0"/>
                      <a:ext cx="5260340" cy="7438390"/>
                    </a:xfrm>
                    <a:prstGeom prst="rect">
                      <a:avLst/>
                    </a:prstGeom>
                  </pic:spPr>
                </pic:pic>
              </a:graphicData>
            </a:graphic>
          </wp:inline>
        </w:drawing>
      </w:r>
    </w:p>
    <w:p w14:paraId="00781DFE">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drawing>
          <wp:inline distT="0" distB="0" distL="114300" distR="114300">
            <wp:extent cx="5260340" cy="7438390"/>
            <wp:effectExtent l="0" t="0" r="16510" b="10160"/>
            <wp:docPr id="76" name="图片 76" descr="下半年无组织废气(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下半年无组织废气(1)_01"/>
                    <pic:cNvPicPr>
                      <a:picLocks noChangeAspect="1"/>
                    </pic:cNvPicPr>
                  </pic:nvPicPr>
                  <pic:blipFill>
                    <a:blip r:embed="rId99"/>
                    <a:stretch>
                      <a:fillRect/>
                    </a:stretch>
                  </pic:blipFill>
                  <pic:spPr>
                    <a:xfrm>
                      <a:off x="0" y="0"/>
                      <a:ext cx="5260340" cy="743839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60340" cy="7438390"/>
            <wp:effectExtent l="0" t="0" r="16510" b="10160"/>
            <wp:docPr id="75" name="图片 75" descr="下半年无组织废气(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下半年无组织废气(1)_02"/>
                    <pic:cNvPicPr>
                      <a:picLocks noChangeAspect="1"/>
                    </pic:cNvPicPr>
                  </pic:nvPicPr>
                  <pic:blipFill>
                    <a:blip r:embed="rId100"/>
                    <a:stretch>
                      <a:fillRect/>
                    </a:stretch>
                  </pic:blipFill>
                  <pic:spPr>
                    <a:xfrm>
                      <a:off x="0" y="0"/>
                      <a:ext cx="5260340" cy="743839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60340" cy="7438390"/>
            <wp:effectExtent l="0" t="0" r="16510" b="10160"/>
            <wp:docPr id="74" name="图片 74" descr="下半年无组织废气(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下半年无组织废气(1)_03"/>
                    <pic:cNvPicPr>
                      <a:picLocks noChangeAspect="1"/>
                    </pic:cNvPicPr>
                  </pic:nvPicPr>
                  <pic:blipFill>
                    <a:blip r:embed="rId101"/>
                    <a:stretch>
                      <a:fillRect/>
                    </a:stretch>
                  </pic:blipFill>
                  <pic:spPr>
                    <a:xfrm>
                      <a:off x="0" y="0"/>
                      <a:ext cx="5260340" cy="743839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60340" cy="7438390"/>
            <wp:effectExtent l="0" t="0" r="16510" b="10160"/>
            <wp:docPr id="73" name="图片 73" descr="下半年无组织废气(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下半年无组织废气(1)_04"/>
                    <pic:cNvPicPr>
                      <a:picLocks noChangeAspect="1"/>
                    </pic:cNvPicPr>
                  </pic:nvPicPr>
                  <pic:blipFill>
                    <a:blip r:embed="rId102"/>
                    <a:stretch>
                      <a:fillRect/>
                    </a:stretch>
                  </pic:blipFill>
                  <pic:spPr>
                    <a:xfrm>
                      <a:off x="0" y="0"/>
                      <a:ext cx="5260340" cy="743839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60340" cy="7438390"/>
            <wp:effectExtent l="0" t="0" r="16510" b="10160"/>
            <wp:docPr id="72" name="图片 72" descr="下半年无组织废气(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下半年无组织废气(1)_05"/>
                    <pic:cNvPicPr>
                      <a:picLocks noChangeAspect="1"/>
                    </pic:cNvPicPr>
                  </pic:nvPicPr>
                  <pic:blipFill>
                    <a:blip r:embed="rId103"/>
                    <a:stretch>
                      <a:fillRect/>
                    </a:stretch>
                  </pic:blipFill>
                  <pic:spPr>
                    <a:xfrm>
                      <a:off x="0" y="0"/>
                      <a:ext cx="5260340" cy="743839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60340" cy="7438390"/>
            <wp:effectExtent l="0" t="0" r="16510" b="10160"/>
            <wp:docPr id="71" name="图片 71" descr="下半年无组织废气(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下半年无组织废气(1)_06"/>
                    <pic:cNvPicPr>
                      <a:picLocks noChangeAspect="1"/>
                    </pic:cNvPicPr>
                  </pic:nvPicPr>
                  <pic:blipFill>
                    <a:blip r:embed="rId104"/>
                    <a:stretch>
                      <a:fillRect/>
                    </a:stretch>
                  </pic:blipFill>
                  <pic:spPr>
                    <a:xfrm>
                      <a:off x="0" y="0"/>
                      <a:ext cx="5260340" cy="7438390"/>
                    </a:xfrm>
                    <a:prstGeom prst="rect">
                      <a:avLst/>
                    </a:prstGeom>
                  </pic:spPr>
                </pic:pic>
              </a:graphicData>
            </a:graphic>
          </wp:inline>
        </w:drawing>
      </w:r>
    </w:p>
    <w:p w14:paraId="0950C8B9">
      <w:pPr>
        <w:keepNext w:val="0"/>
        <w:keepLines w:val="0"/>
        <w:pageBreakBefore/>
        <w:widowControl w:val="0"/>
        <w:kinsoku/>
        <w:wordWrap/>
        <w:overflowPunct/>
        <w:topLinePunct w:val="0"/>
        <w:autoSpaceDE/>
        <w:autoSpaceDN/>
        <w:bidi w:val="0"/>
        <w:adjustRightInd w:val="0"/>
        <w:snapToGrid w:val="0"/>
        <w:textAlignment w:val="auto"/>
        <w:outlineLvl w:val="1"/>
        <w:rPr>
          <w:rFonts w:hint="eastAsia" w:eastAsia="宋体"/>
          <w:b/>
          <w:bCs/>
          <w:color w:val="000000" w:themeColor="text1"/>
          <w:highlight w:val="none"/>
          <w:lang w:val="en-US" w:eastAsia="zh-CN"/>
          <w14:textFill>
            <w14:solidFill>
              <w14:schemeClr w14:val="tx1"/>
            </w14:solidFill>
          </w14:textFill>
        </w:rPr>
      </w:pPr>
      <w:bookmarkStart w:id="177" w:name="_Toc28980"/>
      <w:bookmarkStart w:id="178" w:name="_Toc20249"/>
      <w:bookmarkStart w:id="179" w:name="_Toc31507"/>
      <w:r>
        <w:rPr>
          <w:rFonts w:hint="eastAsia" w:eastAsia="宋体"/>
          <w:b/>
          <w:bCs/>
          <w:color w:val="000000" w:themeColor="text1"/>
          <w:highlight w:val="none"/>
          <w:lang w:val="en-US" w:eastAsia="zh-CN"/>
          <w14:textFill>
            <w14:solidFill>
              <w14:schemeClr w14:val="tx1"/>
            </w14:solidFill>
          </w14:textFill>
        </w:rPr>
        <w:t>附件7 污水处理厂入河排污口批复</w:t>
      </w:r>
      <w:bookmarkEnd w:id="177"/>
      <w:bookmarkEnd w:id="178"/>
      <w:bookmarkEnd w:id="179"/>
    </w:p>
    <w:p w14:paraId="10C28326">
      <w:pPr>
        <w:keepNext w:val="0"/>
        <w:keepLines w:val="0"/>
        <w:pageBreakBefore w:val="0"/>
        <w:widowControl w:val="0"/>
        <w:kinsoku/>
        <w:wordWrap/>
        <w:overflowPunct/>
        <w:topLinePunct w:val="0"/>
        <w:autoSpaceDE/>
        <w:autoSpaceDN/>
        <w:bidi w:val="0"/>
        <w:adjustRightInd w:val="0"/>
        <w:snapToGrid w:val="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drawing>
          <wp:inline distT="0" distB="0" distL="114300" distR="114300">
            <wp:extent cx="5758815" cy="8148955"/>
            <wp:effectExtent l="0" t="0" r="13335" b="4445"/>
            <wp:docPr id="112" name="图片 112" descr="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1_00"/>
                    <pic:cNvPicPr>
                      <a:picLocks noChangeAspect="1"/>
                    </pic:cNvPicPr>
                  </pic:nvPicPr>
                  <pic:blipFill>
                    <a:blip r:embed="rId105"/>
                    <a:stretch>
                      <a:fillRect/>
                    </a:stretch>
                  </pic:blipFill>
                  <pic:spPr>
                    <a:xfrm>
                      <a:off x="0" y="0"/>
                      <a:ext cx="5758815" cy="8148955"/>
                    </a:xfrm>
                    <a:prstGeom prst="rect">
                      <a:avLst/>
                    </a:prstGeom>
                  </pic:spPr>
                </pic:pic>
              </a:graphicData>
            </a:graphic>
          </wp:inline>
        </w:drawing>
      </w:r>
    </w:p>
    <w:p w14:paraId="5A2A87A8">
      <w:pPr>
        <w:keepNext w:val="0"/>
        <w:keepLines w:val="0"/>
        <w:pageBreakBefore w:val="0"/>
        <w:widowControl w:val="0"/>
        <w:kinsoku/>
        <w:wordWrap/>
        <w:overflowPunct/>
        <w:topLinePunct w:val="0"/>
        <w:autoSpaceDE/>
        <w:autoSpaceDN/>
        <w:bidi w:val="0"/>
        <w:adjustRightInd w:val="0"/>
        <w:snapToGrid w:val="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drawing>
          <wp:inline distT="0" distB="0" distL="114300" distR="114300">
            <wp:extent cx="5758815" cy="8148955"/>
            <wp:effectExtent l="0" t="0" r="13335" b="4445"/>
            <wp:docPr id="111" name="图片 111" descr="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1_01"/>
                    <pic:cNvPicPr>
                      <a:picLocks noChangeAspect="1"/>
                    </pic:cNvPicPr>
                  </pic:nvPicPr>
                  <pic:blipFill>
                    <a:blip r:embed="rId106"/>
                    <a:stretch>
                      <a:fillRect/>
                    </a:stretch>
                  </pic:blipFill>
                  <pic:spPr>
                    <a:xfrm>
                      <a:off x="0" y="0"/>
                      <a:ext cx="5758815" cy="8148955"/>
                    </a:xfrm>
                    <a:prstGeom prst="rect">
                      <a:avLst/>
                    </a:prstGeom>
                  </pic:spPr>
                </pic:pic>
              </a:graphicData>
            </a:graphic>
          </wp:inline>
        </w:drawing>
      </w:r>
    </w:p>
    <w:p w14:paraId="5804E125">
      <w:pPr>
        <w:keepNext w:val="0"/>
        <w:keepLines w:val="0"/>
        <w:pageBreakBefore w:val="0"/>
        <w:widowControl w:val="0"/>
        <w:kinsoku/>
        <w:wordWrap/>
        <w:overflowPunct/>
        <w:topLinePunct w:val="0"/>
        <w:autoSpaceDE/>
        <w:autoSpaceDN/>
        <w:bidi w:val="0"/>
        <w:adjustRightInd w:val="0"/>
        <w:snapToGrid w:val="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drawing>
          <wp:inline distT="0" distB="0" distL="114300" distR="114300">
            <wp:extent cx="5758815" cy="8148955"/>
            <wp:effectExtent l="0" t="0" r="13335" b="4445"/>
            <wp:docPr id="110" name="图片 110" descr="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1_02"/>
                    <pic:cNvPicPr>
                      <a:picLocks noChangeAspect="1"/>
                    </pic:cNvPicPr>
                  </pic:nvPicPr>
                  <pic:blipFill>
                    <a:blip r:embed="rId107"/>
                    <a:stretch>
                      <a:fillRect/>
                    </a:stretch>
                  </pic:blipFill>
                  <pic:spPr>
                    <a:xfrm>
                      <a:off x="0" y="0"/>
                      <a:ext cx="5758815" cy="8148955"/>
                    </a:xfrm>
                    <a:prstGeom prst="rect">
                      <a:avLst/>
                    </a:prstGeom>
                  </pic:spPr>
                </pic:pic>
              </a:graphicData>
            </a:graphic>
          </wp:inline>
        </w:drawing>
      </w:r>
    </w:p>
    <w:p w14:paraId="48A4D87A">
      <w:pPr>
        <w:keepNext w:val="0"/>
        <w:keepLines w:val="0"/>
        <w:pageBreakBefore w:val="0"/>
        <w:widowControl w:val="0"/>
        <w:kinsoku/>
        <w:wordWrap/>
        <w:overflowPunct/>
        <w:topLinePunct w:val="0"/>
        <w:autoSpaceDE/>
        <w:autoSpaceDN/>
        <w:bidi w:val="0"/>
        <w:adjustRightInd w:val="0"/>
        <w:snapToGrid w:val="0"/>
        <w:textAlignment w:val="auto"/>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drawing>
          <wp:inline distT="0" distB="0" distL="114300" distR="114300">
            <wp:extent cx="5758815" cy="8148955"/>
            <wp:effectExtent l="0" t="0" r="13335" b="4445"/>
            <wp:docPr id="109" name="图片 109" descr="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1_03"/>
                    <pic:cNvPicPr>
                      <a:picLocks noChangeAspect="1"/>
                    </pic:cNvPicPr>
                  </pic:nvPicPr>
                  <pic:blipFill>
                    <a:blip r:embed="rId108"/>
                    <a:stretch>
                      <a:fillRect/>
                    </a:stretch>
                  </pic:blipFill>
                  <pic:spPr>
                    <a:xfrm>
                      <a:off x="0" y="0"/>
                      <a:ext cx="5758815" cy="8148955"/>
                    </a:xfrm>
                    <a:prstGeom prst="rect">
                      <a:avLst/>
                    </a:prstGeom>
                  </pic:spPr>
                </pic:pic>
              </a:graphicData>
            </a:graphic>
          </wp:inline>
        </w:drawing>
      </w:r>
    </w:p>
    <w:p w14:paraId="2AB75672">
      <w:pPr>
        <w:keepNext w:val="0"/>
        <w:keepLines w:val="0"/>
        <w:pageBreakBefore/>
        <w:widowControl w:val="0"/>
        <w:kinsoku/>
        <w:wordWrap/>
        <w:overflowPunct/>
        <w:topLinePunct w:val="0"/>
        <w:autoSpaceDE/>
        <w:autoSpaceDN/>
        <w:bidi w:val="0"/>
        <w:adjustRightInd w:val="0"/>
        <w:snapToGrid w:val="0"/>
        <w:textAlignment w:val="auto"/>
        <w:outlineLvl w:val="1"/>
        <w:rPr>
          <w:rFonts w:hint="eastAsia" w:eastAsia="宋体"/>
          <w:b/>
          <w:bCs/>
          <w:color w:val="000000" w:themeColor="text1"/>
          <w:highlight w:val="none"/>
          <w:lang w:val="en-US" w:eastAsia="zh-CN"/>
          <w14:textFill>
            <w14:solidFill>
              <w14:schemeClr w14:val="tx1"/>
            </w14:solidFill>
          </w14:textFill>
        </w:rPr>
      </w:pPr>
      <w:bookmarkStart w:id="180" w:name="_Toc9884"/>
      <w:bookmarkStart w:id="181" w:name="_Toc9941"/>
      <w:r>
        <w:rPr>
          <w:rFonts w:hint="eastAsia" w:eastAsia="宋体"/>
          <w:b/>
          <w:bCs/>
          <w:color w:val="000000" w:themeColor="text1"/>
          <w:highlight w:val="none"/>
          <w:lang w:val="en-US" w:eastAsia="zh-CN"/>
          <w14:textFill>
            <w14:solidFill>
              <w14:schemeClr w14:val="tx1"/>
            </w14:solidFill>
          </w14:textFill>
        </w:rPr>
        <w:t>附件</w:t>
      </w:r>
      <w:r>
        <w:rPr>
          <w:rFonts w:hint="eastAsia"/>
          <w:b/>
          <w:bCs/>
          <w:color w:val="000000" w:themeColor="text1"/>
          <w:highlight w:val="none"/>
          <w:lang w:val="en-US" w:eastAsia="zh-CN"/>
          <w14:textFill>
            <w14:solidFill>
              <w14:schemeClr w14:val="tx1"/>
            </w14:solidFill>
          </w14:textFill>
        </w:rPr>
        <w:t>8</w:t>
      </w:r>
      <w:r>
        <w:rPr>
          <w:rFonts w:hint="eastAsia" w:eastAsia="宋体"/>
          <w:b/>
          <w:bCs/>
          <w:color w:val="000000" w:themeColor="text1"/>
          <w:highlight w:val="none"/>
          <w:lang w:val="en-US" w:eastAsia="zh-CN"/>
          <w14:textFill>
            <w14:solidFill>
              <w14:schemeClr w14:val="tx1"/>
            </w14:solidFill>
          </w14:textFill>
        </w:rPr>
        <w:t xml:space="preserve"> </w:t>
      </w:r>
      <w:r>
        <w:rPr>
          <w:rFonts w:hint="eastAsia"/>
          <w:b/>
          <w:bCs/>
          <w:color w:val="000000" w:themeColor="text1"/>
          <w:highlight w:val="none"/>
          <w:lang w:val="en-US" w:eastAsia="zh-CN"/>
          <w14:textFill>
            <w14:solidFill>
              <w14:schemeClr w14:val="tx1"/>
            </w14:solidFill>
          </w14:textFill>
        </w:rPr>
        <w:t>详细设备清单</w:t>
      </w:r>
    </w:p>
    <w:tbl>
      <w:tblPr>
        <w:tblStyle w:val="12"/>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760"/>
        <w:gridCol w:w="1513"/>
        <w:gridCol w:w="3600"/>
        <w:gridCol w:w="574"/>
        <w:gridCol w:w="708"/>
        <w:gridCol w:w="1373"/>
      </w:tblGrid>
      <w:tr w14:paraId="35FBB6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5000" w:type="pct"/>
            <w:gridSpan w:val="6"/>
            <w:tcBorders>
              <w:tl2br w:val="nil"/>
              <w:tr2bl w:val="nil"/>
            </w:tcBorders>
            <w:shd w:val="clear" w:color="auto" w:fill="auto"/>
            <w:vAlign w:val="center"/>
          </w:tcPr>
          <w:p w14:paraId="5F25F80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b/>
                <w:bCs/>
                <w:i w:val="0"/>
                <w:iCs w:val="0"/>
                <w:color w:val="000000" w:themeColor="text1"/>
                <w:sz w:val="21"/>
                <w:szCs w:val="21"/>
                <w:highlight w:val="none"/>
                <w:u w:val="none"/>
                <w14:textFill>
                  <w14:solidFill>
                    <w14:schemeClr w14:val="tx1"/>
                  </w14:solidFill>
                </w14:textFill>
              </w:rPr>
            </w:pPr>
            <w:r>
              <w:rPr>
                <w:rStyle w:val="23"/>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主要设备一览表</w:t>
            </w:r>
          </w:p>
        </w:tc>
      </w:tr>
      <w:tr w14:paraId="2FD217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0" w:hRule="atLeast"/>
        </w:trPr>
        <w:tc>
          <w:tcPr>
            <w:tcW w:w="445" w:type="pct"/>
            <w:tcBorders>
              <w:tl2br w:val="nil"/>
              <w:tr2bl w:val="nil"/>
            </w:tcBorders>
            <w:shd w:val="clear" w:color="auto" w:fill="auto"/>
            <w:vAlign w:val="center"/>
          </w:tcPr>
          <w:p w14:paraId="7CBE3C9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序号</w:t>
            </w:r>
          </w:p>
        </w:tc>
        <w:tc>
          <w:tcPr>
            <w:tcW w:w="887" w:type="pct"/>
            <w:tcBorders>
              <w:tl2br w:val="nil"/>
              <w:tr2bl w:val="nil"/>
            </w:tcBorders>
            <w:shd w:val="clear" w:color="auto" w:fill="auto"/>
            <w:vAlign w:val="center"/>
          </w:tcPr>
          <w:p w14:paraId="66B345B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设备</w:t>
            </w:r>
          </w:p>
        </w:tc>
        <w:tc>
          <w:tcPr>
            <w:tcW w:w="2110" w:type="pct"/>
            <w:tcBorders>
              <w:tl2br w:val="nil"/>
              <w:tr2bl w:val="nil"/>
            </w:tcBorders>
            <w:shd w:val="clear" w:color="auto" w:fill="auto"/>
            <w:vAlign w:val="center"/>
          </w:tcPr>
          <w:p w14:paraId="0D32CB1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规格</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型号</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336" w:type="pct"/>
            <w:tcBorders>
              <w:tl2br w:val="nil"/>
              <w:tr2bl w:val="nil"/>
            </w:tcBorders>
            <w:shd w:val="clear" w:color="auto" w:fill="auto"/>
            <w:vAlign w:val="center"/>
          </w:tcPr>
          <w:p w14:paraId="5D1DE0C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数量</w:t>
            </w:r>
          </w:p>
        </w:tc>
        <w:tc>
          <w:tcPr>
            <w:tcW w:w="415" w:type="pct"/>
            <w:tcBorders>
              <w:tl2br w:val="nil"/>
              <w:tr2bl w:val="nil"/>
            </w:tcBorders>
            <w:shd w:val="clear" w:color="auto" w:fill="auto"/>
            <w:vAlign w:val="center"/>
          </w:tcPr>
          <w:p w14:paraId="6A3E2DE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单位</w:t>
            </w:r>
          </w:p>
        </w:tc>
        <w:tc>
          <w:tcPr>
            <w:tcW w:w="804" w:type="pct"/>
            <w:tcBorders>
              <w:tl2br w:val="nil"/>
              <w:tr2bl w:val="nil"/>
            </w:tcBorders>
            <w:shd w:val="clear" w:color="auto" w:fill="auto"/>
            <w:vAlign w:val="center"/>
          </w:tcPr>
          <w:p w14:paraId="1E16633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备注</w:t>
            </w:r>
          </w:p>
        </w:tc>
      </w:tr>
      <w:tr w14:paraId="57D4B6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195" w:type="pct"/>
            <w:gridSpan w:val="5"/>
            <w:tcBorders>
              <w:tl2br w:val="nil"/>
              <w:tr2bl w:val="nil"/>
            </w:tcBorders>
            <w:shd w:val="clear" w:color="auto" w:fill="auto"/>
            <w:vAlign w:val="center"/>
          </w:tcPr>
          <w:p w14:paraId="698A6C3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调节池与提升泵房</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改造</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804" w:type="pct"/>
            <w:tcBorders>
              <w:tl2br w:val="nil"/>
              <w:tr2bl w:val="nil"/>
            </w:tcBorders>
            <w:shd w:val="clear" w:color="auto" w:fill="auto"/>
            <w:vAlign w:val="center"/>
          </w:tcPr>
          <w:p w14:paraId="70DE54C7">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195A47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0" w:hRule="atLeast"/>
        </w:trPr>
        <w:tc>
          <w:tcPr>
            <w:tcW w:w="445" w:type="pct"/>
            <w:tcBorders>
              <w:tl2br w:val="nil"/>
              <w:tr2bl w:val="nil"/>
            </w:tcBorders>
            <w:shd w:val="clear" w:color="auto" w:fill="auto"/>
            <w:vAlign w:val="center"/>
          </w:tcPr>
          <w:p w14:paraId="00C5B32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2D9040A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提升泵</w:t>
            </w:r>
          </w:p>
        </w:tc>
        <w:tc>
          <w:tcPr>
            <w:tcW w:w="2110" w:type="pct"/>
            <w:tcBorders>
              <w:tl2br w:val="nil"/>
              <w:tr2bl w:val="nil"/>
            </w:tcBorders>
            <w:shd w:val="clear" w:color="auto" w:fill="auto"/>
            <w:vAlign w:val="center"/>
          </w:tcPr>
          <w:p w14:paraId="72FFB7E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立式离心泵，Q=375m³/h,H=14m,N=22kw</w:t>
            </w:r>
          </w:p>
        </w:tc>
        <w:tc>
          <w:tcPr>
            <w:tcW w:w="336" w:type="pct"/>
            <w:tcBorders>
              <w:tl2br w:val="nil"/>
              <w:tr2bl w:val="nil"/>
            </w:tcBorders>
            <w:shd w:val="clear" w:color="auto" w:fill="auto"/>
            <w:vAlign w:val="center"/>
          </w:tcPr>
          <w:p w14:paraId="5951BBD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415" w:type="pct"/>
            <w:tcBorders>
              <w:tl2br w:val="nil"/>
              <w:tr2bl w:val="nil"/>
            </w:tcBorders>
            <w:shd w:val="clear" w:color="auto" w:fill="auto"/>
            <w:vAlign w:val="center"/>
          </w:tcPr>
          <w:p w14:paraId="535EC49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4ED18F0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更换3台，预留位置新增2台</w:t>
            </w:r>
          </w:p>
        </w:tc>
      </w:tr>
      <w:tr w14:paraId="27C580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28" w:hRule="atLeast"/>
        </w:trPr>
        <w:tc>
          <w:tcPr>
            <w:tcW w:w="445" w:type="pct"/>
            <w:tcBorders>
              <w:tl2br w:val="nil"/>
              <w:tr2bl w:val="nil"/>
            </w:tcBorders>
            <w:shd w:val="clear" w:color="auto" w:fill="auto"/>
            <w:vAlign w:val="center"/>
          </w:tcPr>
          <w:p w14:paraId="08C14C6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4464E85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超声波液位计</w:t>
            </w:r>
          </w:p>
        </w:tc>
        <w:tc>
          <w:tcPr>
            <w:tcW w:w="2110" w:type="pct"/>
            <w:tcBorders>
              <w:tl2br w:val="nil"/>
              <w:tr2bl w:val="nil"/>
            </w:tcBorders>
            <w:shd w:val="clear" w:color="auto" w:fill="auto"/>
            <w:vAlign w:val="center"/>
          </w:tcPr>
          <w:p w14:paraId="42F2D02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E+h,10米线</w:t>
            </w:r>
          </w:p>
        </w:tc>
        <w:tc>
          <w:tcPr>
            <w:tcW w:w="336" w:type="pct"/>
            <w:tcBorders>
              <w:tl2br w:val="nil"/>
              <w:tr2bl w:val="nil"/>
            </w:tcBorders>
            <w:shd w:val="clear" w:color="auto" w:fill="auto"/>
            <w:vAlign w:val="center"/>
          </w:tcPr>
          <w:p w14:paraId="477B802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7EB8A7D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168A8B5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更换1台</w:t>
            </w:r>
          </w:p>
        </w:tc>
      </w:tr>
      <w:tr w14:paraId="035FEB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1B0F8C7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76075F6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进水流量计</w:t>
            </w:r>
          </w:p>
        </w:tc>
        <w:tc>
          <w:tcPr>
            <w:tcW w:w="2110" w:type="pct"/>
            <w:tcBorders>
              <w:tl2br w:val="nil"/>
              <w:tr2bl w:val="nil"/>
            </w:tcBorders>
            <w:shd w:val="clear" w:color="auto" w:fill="auto"/>
            <w:vAlign w:val="center"/>
          </w:tcPr>
          <w:p w14:paraId="5A33DC2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DN350,PN1.0</w:t>
            </w:r>
          </w:p>
        </w:tc>
        <w:tc>
          <w:tcPr>
            <w:tcW w:w="336" w:type="pct"/>
            <w:tcBorders>
              <w:tl2br w:val="nil"/>
              <w:tr2bl w:val="nil"/>
            </w:tcBorders>
            <w:shd w:val="clear" w:color="auto" w:fill="auto"/>
            <w:vAlign w:val="center"/>
          </w:tcPr>
          <w:p w14:paraId="4175BAD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52DBB20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684A91E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更换1台，新增1台</w:t>
            </w:r>
          </w:p>
        </w:tc>
      </w:tr>
      <w:tr w14:paraId="1AA83E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32683E8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887" w:type="pct"/>
            <w:tcBorders>
              <w:tl2br w:val="nil"/>
              <w:tr2bl w:val="nil"/>
            </w:tcBorders>
            <w:shd w:val="clear" w:color="auto" w:fill="auto"/>
            <w:vAlign w:val="center"/>
          </w:tcPr>
          <w:p w14:paraId="212A132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手动闸阀</w:t>
            </w:r>
          </w:p>
        </w:tc>
        <w:tc>
          <w:tcPr>
            <w:tcW w:w="2110" w:type="pct"/>
            <w:tcBorders>
              <w:tl2br w:val="nil"/>
              <w:tr2bl w:val="nil"/>
            </w:tcBorders>
            <w:shd w:val="clear" w:color="auto" w:fill="auto"/>
            <w:vAlign w:val="center"/>
          </w:tcPr>
          <w:p w14:paraId="0EBCFE0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DN300,PN1.0</w:t>
            </w:r>
          </w:p>
        </w:tc>
        <w:tc>
          <w:tcPr>
            <w:tcW w:w="336" w:type="pct"/>
            <w:tcBorders>
              <w:tl2br w:val="nil"/>
              <w:tr2bl w:val="nil"/>
            </w:tcBorders>
            <w:shd w:val="clear" w:color="auto" w:fill="auto"/>
            <w:vAlign w:val="center"/>
          </w:tcPr>
          <w:p w14:paraId="1C1C34F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415" w:type="pct"/>
            <w:tcBorders>
              <w:tl2br w:val="nil"/>
              <w:tr2bl w:val="nil"/>
            </w:tcBorders>
            <w:shd w:val="clear" w:color="auto" w:fill="auto"/>
            <w:vAlign w:val="center"/>
          </w:tcPr>
          <w:p w14:paraId="5E16B4A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1B9A7AD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更换6台，新增4台</w:t>
            </w:r>
          </w:p>
        </w:tc>
      </w:tr>
      <w:tr w14:paraId="404D1C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70" w:hRule="atLeast"/>
        </w:trPr>
        <w:tc>
          <w:tcPr>
            <w:tcW w:w="445" w:type="pct"/>
            <w:tcBorders>
              <w:tl2br w:val="nil"/>
              <w:tr2bl w:val="nil"/>
            </w:tcBorders>
            <w:shd w:val="clear" w:color="auto" w:fill="auto"/>
            <w:vAlign w:val="center"/>
          </w:tcPr>
          <w:p w14:paraId="102DF2D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887" w:type="pct"/>
            <w:tcBorders>
              <w:tl2br w:val="nil"/>
              <w:tr2bl w:val="nil"/>
            </w:tcBorders>
            <w:shd w:val="clear" w:color="auto" w:fill="auto"/>
            <w:vAlign w:val="center"/>
          </w:tcPr>
          <w:p w14:paraId="08562A4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止回阀</w:t>
            </w:r>
          </w:p>
        </w:tc>
        <w:tc>
          <w:tcPr>
            <w:tcW w:w="2110" w:type="pct"/>
            <w:tcBorders>
              <w:tl2br w:val="nil"/>
              <w:tr2bl w:val="nil"/>
            </w:tcBorders>
            <w:shd w:val="clear" w:color="auto" w:fill="auto"/>
            <w:vAlign w:val="center"/>
          </w:tcPr>
          <w:p w14:paraId="2802972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DN300,PN1.0</w:t>
            </w:r>
          </w:p>
        </w:tc>
        <w:tc>
          <w:tcPr>
            <w:tcW w:w="336" w:type="pct"/>
            <w:tcBorders>
              <w:tl2br w:val="nil"/>
              <w:tr2bl w:val="nil"/>
            </w:tcBorders>
            <w:shd w:val="clear" w:color="auto" w:fill="auto"/>
            <w:vAlign w:val="center"/>
          </w:tcPr>
          <w:p w14:paraId="47B6FB7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415" w:type="pct"/>
            <w:tcBorders>
              <w:tl2br w:val="nil"/>
              <w:tr2bl w:val="nil"/>
            </w:tcBorders>
            <w:shd w:val="clear" w:color="auto" w:fill="auto"/>
            <w:vAlign w:val="center"/>
          </w:tcPr>
          <w:p w14:paraId="5C6098D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423DCD0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更换3台，新增2台</w:t>
            </w:r>
          </w:p>
        </w:tc>
      </w:tr>
      <w:tr w14:paraId="6FBDFB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0" w:hRule="atLeast"/>
        </w:trPr>
        <w:tc>
          <w:tcPr>
            <w:tcW w:w="445" w:type="pct"/>
            <w:tcBorders>
              <w:tl2br w:val="nil"/>
              <w:tr2bl w:val="nil"/>
            </w:tcBorders>
            <w:shd w:val="clear" w:color="auto" w:fill="auto"/>
            <w:vAlign w:val="center"/>
          </w:tcPr>
          <w:p w14:paraId="4360BE4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887" w:type="pct"/>
            <w:tcBorders>
              <w:tl2br w:val="nil"/>
              <w:tr2bl w:val="nil"/>
            </w:tcBorders>
            <w:shd w:val="clear" w:color="auto" w:fill="auto"/>
            <w:vAlign w:val="center"/>
          </w:tcPr>
          <w:p w14:paraId="3A3411F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伸缩接头</w:t>
            </w:r>
          </w:p>
        </w:tc>
        <w:tc>
          <w:tcPr>
            <w:tcW w:w="2110" w:type="pct"/>
            <w:tcBorders>
              <w:tl2br w:val="nil"/>
              <w:tr2bl w:val="nil"/>
            </w:tcBorders>
            <w:shd w:val="clear" w:color="auto" w:fill="auto"/>
            <w:vAlign w:val="center"/>
          </w:tcPr>
          <w:p w14:paraId="0F94628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DN300,PN1.0</w:t>
            </w:r>
          </w:p>
        </w:tc>
        <w:tc>
          <w:tcPr>
            <w:tcW w:w="336" w:type="pct"/>
            <w:tcBorders>
              <w:tl2br w:val="nil"/>
              <w:tr2bl w:val="nil"/>
            </w:tcBorders>
            <w:shd w:val="clear" w:color="auto" w:fill="auto"/>
            <w:vAlign w:val="center"/>
          </w:tcPr>
          <w:p w14:paraId="2767B7F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415" w:type="pct"/>
            <w:tcBorders>
              <w:tl2br w:val="nil"/>
              <w:tr2bl w:val="nil"/>
            </w:tcBorders>
            <w:shd w:val="clear" w:color="auto" w:fill="auto"/>
            <w:vAlign w:val="center"/>
          </w:tcPr>
          <w:p w14:paraId="2AF8EBC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34DABBC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更换6台，新增4台</w:t>
            </w:r>
          </w:p>
        </w:tc>
      </w:tr>
      <w:tr w14:paraId="40352E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445" w:type="pct"/>
            <w:tcBorders>
              <w:tl2br w:val="nil"/>
              <w:tr2bl w:val="nil"/>
            </w:tcBorders>
            <w:shd w:val="clear" w:color="auto" w:fill="auto"/>
            <w:vAlign w:val="center"/>
          </w:tcPr>
          <w:p w14:paraId="2098C33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c>
          <w:tcPr>
            <w:tcW w:w="887" w:type="pct"/>
            <w:tcBorders>
              <w:tl2br w:val="nil"/>
              <w:tr2bl w:val="nil"/>
            </w:tcBorders>
            <w:shd w:val="clear" w:color="auto" w:fill="auto"/>
            <w:vAlign w:val="center"/>
          </w:tcPr>
          <w:p w14:paraId="71822F1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焊接钢管</w:t>
            </w:r>
          </w:p>
        </w:tc>
        <w:tc>
          <w:tcPr>
            <w:tcW w:w="2110" w:type="pct"/>
            <w:tcBorders>
              <w:tl2br w:val="nil"/>
              <w:tr2bl w:val="nil"/>
            </w:tcBorders>
            <w:shd w:val="clear" w:color="auto" w:fill="auto"/>
            <w:vAlign w:val="center"/>
          </w:tcPr>
          <w:p w14:paraId="38170D9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DN350</w:t>
            </w:r>
          </w:p>
        </w:tc>
        <w:tc>
          <w:tcPr>
            <w:tcW w:w="336" w:type="pct"/>
            <w:tcBorders>
              <w:tl2br w:val="nil"/>
              <w:tr2bl w:val="nil"/>
            </w:tcBorders>
            <w:shd w:val="clear" w:color="auto" w:fill="auto"/>
            <w:vAlign w:val="center"/>
          </w:tcPr>
          <w:p w14:paraId="68A9371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w:t>
            </w:r>
          </w:p>
        </w:tc>
        <w:tc>
          <w:tcPr>
            <w:tcW w:w="415" w:type="pct"/>
            <w:tcBorders>
              <w:tl2br w:val="nil"/>
              <w:tr2bl w:val="nil"/>
            </w:tcBorders>
            <w:shd w:val="clear" w:color="auto" w:fill="auto"/>
            <w:vAlign w:val="center"/>
          </w:tcPr>
          <w:p w14:paraId="35FA7AE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0731D03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新增，含管件</w:t>
            </w:r>
          </w:p>
        </w:tc>
      </w:tr>
      <w:tr w14:paraId="4E676F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40" w:hRule="atLeast"/>
        </w:trPr>
        <w:tc>
          <w:tcPr>
            <w:tcW w:w="445" w:type="pct"/>
            <w:tcBorders>
              <w:tl2br w:val="nil"/>
              <w:tr2bl w:val="nil"/>
            </w:tcBorders>
            <w:shd w:val="clear" w:color="auto" w:fill="auto"/>
            <w:vAlign w:val="center"/>
          </w:tcPr>
          <w:p w14:paraId="2427ECA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887" w:type="pct"/>
            <w:tcBorders>
              <w:tl2br w:val="nil"/>
              <w:tr2bl w:val="nil"/>
            </w:tcBorders>
            <w:shd w:val="clear" w:color="auto" w:fill="auto"/>
            <w:vAlign w:val="center"/>
          </w:tcPr>
          <w:p w14:paraId="29D4A3D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焊接钢管</w:t>
            </w:r>
          </w:p>
        </w:tc>
        <w:tc>
          <w:tcPr>
            <w:tcW w:w="2110" w:type="pct"/>
            <w:tcBorders>
              <w:tl2br w:val="nil"/>
              <w:tr2bl w:val="nil"/>
            </w:tcBorders>
            <w:shd w:val="clear" w:color="auto" w:fill="auto"/>
            <w:vAlign w:val="center"/>
          </w:tcPr>
          <w:p w14:paraId="5334BF7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DN300</w:t>
            </w:r>
          </w:p>
        </w:tc>
        <w:tc>
          <w:tcPr>
            <w:tcW w:w="336" w:type="pct"/>
            <w:tcBorders>
              <w:tl2br w:val="nil"/>
              <w:tr2bl w:val="nil"/>
            </w:tcBorders>
            <w:shd w:val="clear" w:color="auto" w:fill="auto"/>
            <w:vAlign w:val="center"/>
          </w:tcPr>
          <w:p w14:paraId="5677875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25</w:t>
            </w:r>
          </w:p>
        </w:tc>
        <w:tc>
          <w:tcPr>
            <w:tcW w:w="415" w:type="pct"/>
            <w:tcBorders>
              <w:tl2br w:val="nil"/>
              <w:tr2bl w:val="nil"/>
            </w:tcBorders>
            <w:shd w:val="clear" w:color="auto" w:fill="auto"/>
            <w:vAlign w:val="center"/>
          </w:tcPr>
          <w:p w14:paraId="6D9B5CE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2FB51F1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新增，含管件</w:t>
            </w:r>
          </w:p>
        </w:tc>
      </w:tr>
      <w:tr w14:paraId="7F1039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5000" w:type="pct"/>
            <w:gridSpan w:val="6"/>
            <w:tcBorders>
              <w:tl2br w:val="nil"/>
              <w:tr2bl w:val="nil"/>
            </w:tcBorders>
            <w:shd w:val="clear" w:color="auto" w:fill="auto"/>
            <w:vAlign w:val="center"/>
          </w:tcPr>
          <w:p w14:paraId="3211C92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细格栅间</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改造</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3C92DF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0" w:hRule="atLeast"/>
        </w:trPr>
        <w:tc>
          <w:tcPr>
            <w:tcW w:w="445" w:type="pct"/>
            <w:tcBorders>
              <w:tl2br w:val="nil"/>
              <w:tr2bl w:val="nil"/>
            </w:tcBorders>
            <w:shd w:val="clear" w:color="auto" w:fill="auto"/>
            <w:vAlign w:val="center"/>
          </w:tcPr>
          <w:p w14:paraId="23A487E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4FEEBC0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细格栅</w:t>
            </w:r>
          </w:p>
        </w:tc>
        <w:tc>
          <w:tcPr>
            <w:tcW w:w="2110" w:type="pct"/>
            <w:tcBorders>
              <w:tl2br w:val="nil"/>
              <w:tr2bl w:val="nil"/>
            </w:tcBorders>
            <w:shd w:val="clear" w:color="auto" w:fill="auto"/>
            <w:vAlign w:val="center"/>
          </w:tcPr>
          <w:p w14:paraId="397F41A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转鼓式细格栅，900*2000mm,筛缝1mm,ss316,配套阀门管件</w:t>
            </w:r>
          </w:p>
        </w:tc>
        <w:tc>
          <w:tcPr>
            <w:tcW w:w="336" w:type="pct"/>
            <w:tcBorders>
              <w:tl2br w:val="nil"/>
              <w:tr2bl w:val="nil"/>
            </w:tcBorders>
            <w:shd w:val="clear" w:color="auto" w:fill="auto"/>
            <w:vAlign w:val="center"/>
          </w:tcPr>
          <w:p w14:paraId="6AE694A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7841653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3654437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拆除2台，安装4台</w:t>
            </w:r>
          </w:p>
        </w:tc>
      </w:tr>
      <w:tr w14:paraId="5AA27F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28" w:hRule="atLeast"/>
        </w:trPr>
        <w:tc>
          <w:tcPr>
            <w:tcW w:w="445" w:type="pct"/>
            <w:tcBorders>
              <w:tl2br w:val="nil"/>
              <w:tr2bl w:val="nil"/>
            </w:tcBorders>
            <w:shd w:val="clear" w:color="auto" w:fill="auto"/>
            <w:vAlign w:val="center"/>
          </w:tcPr>
          <w:p w14:paraId="4D40B3E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27139EA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螺旋挤压机</w:t>
            </w:r>
          </w:p>
        </w:tc>
        <w:tc>
          <w:tcPr>
            <w:tcW w:w="2110" w:type="pct"/>
            <w:tcBorders>
              <w:tl2br w:val="nil"/>
              <w:tr2bl w:val="nil"/>
            </w:tcBorders>
            <w:shd w:val="clear" w:color="auto" w:fill="auto"/>
            <w:vAlign w:val="center"/>
          </w:tcPr>
          <w:p w14:paraId="177412C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lyz-300/6,材质：ss304/1.1kw</w:t>
            </w:r>
          </w:p>
        </w:tc>
        <w:tc>
          <w:tcPr>
            <w:tcW w:w="336" w:type="pct"/>
            <w:tcBorders>
              <w:tl2br w:val="nil"/>
              <w:tr2bl w:val="nil"/>
            </w:tcBorders>
            <w:shd w:val="clear" w:color="auto" w:fill="auto"/>
            <w:vAlign w:val="center"/>
          </w:tcPr>
          <w:p w14:paraId="16953EE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277EDE6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1FA8C93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1BF023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5E2EF86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5A2D653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增压清洗泵</w:t>
            </w:r>
          </w:p>
        </w:tc>
        <w:tc>
          <w:tcPr>
            <w:tcW w:w="2110" w:type="pct"/>
            <w:tcBorders>
              <w:tl2br w:val="nil"/>
              <w:tr2bl w:val="nil"/>
            </w:tcBorders>
            <w:shd w:val="clear" w:color="auto" w:fill="auto"/>
            <w:vAlign w:val="center"/>
          </w:tcPr>
          <w:p w14:paraId="77C8D17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供水能力：p=4bar、流量约3m³/h</w:t>
            </w:r>
          </w:p>
        </w:tc>
        <w:tc>
          <w:tcPr>
            <w:tcW w:w="336" w:type="pct"/>
            <w:tcBorders>
              <w:tl2br w:val="nil"/>
              <w:tr2bl w:val="nil"/>
            </w:tcBorders>
            <w:shd w:val="clear" w:color="auto" w:fill="auto"/>
            <w:vAlign w:val="center"/>
          </w:tcPr>
          <w:p w14:paraId="526839D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4FD6A65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7E63BF8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3F67B5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45" w:type="pct"/>
            <w:tcBorders>
              <w:tl2br w:val="nil"/>
              <w:tr2bl w:val="nil"/>
            </w:tcBorders>
            <w:shd w:val="clear" w:color="auto" w:fill="auto"/>
            <w:vAlign w:val="center"/>
          </w:tcPr>
          <w:p w14:paraId="5EFD2AA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887" w:type="pct"/>
            <w:tcBorders>
              <w:tl2br w:val="nil"/>
              <w:tr2bl w:val="nil"/>
            </w:tcBorders>
            <w:shd w:val="clear" w:color="auto" w:fill="auto"/>
            <w:vAlign w:val="center"/>
          </w:tcPr>
          <w:p w14:paraId="2AD3ABC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压力传感器</w:t>
            </w:r>
          </w:p>
        </w:tc>
        <w:tc>
          <w:tcPr>
            <w:tcW w:w="2110" w:type="pct"/>
            <w:tcBorders>
              <w:tl2br w:val="nil"/>
              <w:tr2bl w:val="nil"/>
            </w:tcBorders>
            <w:shd w:val="clear" w:color="auto" w:fill="auto"/>
            <w:vAlign w:val="center"/>
          </w:tcPr>
          <w:p w14:paraId="443C546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0-20mA</w:t>
            </w:r>
          </w:p>
        </w:tc>
        <w:tc>
          <w:tcPr>
            <w:tcW w:w="336" w:type="pct"/>
            <w:tcBorders>
              <w:tl2br w:val="nil"/>
              <w:tr2bl w:val="nil"/>
            </w:tcBorders>
            <w:shd w:val="clear" w:color="auto" w:fill="auto"/>
            <w:vAlign w:val="center"/>
          </w:tcPr>
          <w:p w14:paraId="08F0EBB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7DA8AC3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59F3EBA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05DDC5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445" w:type="pct"/>
            <w:tcBorders>
              <w:tl2br w:val="nil"/>
              <w:tr2bl w:val="nil"/>
            </w:tcBorders>
            <w:shd w:val="clear" w:color="auto" w:fill="auto"/>
            <w:vAlign w:val="center"/>
          </w:tcPr>
          <w:p w14:paraId="3068241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887" w:type="pct"/>
            <w:tcBorders>
              <w:tl2br w:val="nil"/>
              <w:tr2bl w:val="nil"/>
            </w:tcBorders>
            <w:shd w:val="clear" w:color="auto" w:fill="auto"/>
            <w:vAlign w:val="center"/>
          </w:tcPr>
          <w:p w14:paraId="1A6F020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手动闸阀</w:t>
            </w:r>
          </w:p>
        </w:tc>
        <w:tc>
          <w:tcPr>
            <w:tcW w:w="2110" w:type="pct"/>
            <w:tcBorders>
              <w:tl2br w:val="nil"/>
              <w:tr2bl w:val="nil"/>
            </w:tcBorders>
            <w:shd w:val="clear" w:color="auto" w:fill="auto"/>
            <w:vAlign w:val="center"/>
          </w:tcPr>
          <w:p w14:paraId="2B0BA7C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DN200,PN1.0</w:t>
            </w:r>
          </w:p>
        </w:tc>
        <w:tc>
          <w:tcPr>
            <w:tcW w:w="336" w:type="pct"/>
            <w:tcBorders>
              <w:tl2br w:val="nil"/>
              <w:tr2bl w:val="nil"/>
            </w:tcBorders>
            <w:shd w:val="clear" w:color="auto" w:fill="auto"/>
            <w:vAlign w:val="center"/>
          </w:tcPr>
          <w:p w14:paraId="5C57B6A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415" w:type="pct"/>
            <w:tcBorders>
              <w:tl2br w:val="nil"/>
              <w:tr2bl w:val="nil"/>
            </w:tcBorders>
            <w:shd w:val="clear" w:color="auto" w:fill="auto"/>
            <w:vAlign w:val="center"/>
          </w:tcPr>
          <w:p w14:paraId="0427293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4D5ED2A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038441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0" w:hRule="atLeast"/>
        </w:trPr>
        <w:tc>
          <w:tcPr>
            <w:tcW w:w="445" w:type="pct"/>
            <w:tcBorders>
              <w:tl2br w:val="nil"/>
              <w:tr2bl w:val="nil"/>
            </w:tcBorders>
            <w:shd w:val="clear" w:color="auto" w:fill="auto"/>
            <w:vAlign w:val="center"/>
          </w:tcPr>
          <w:p w14:paraId="2BAA3B4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887" w:type="pct"/>
            <w:tcBorders>
              <w:tl2br w:val="nil"/>
              <w:tr2bl w:val="nil"/>
            </w:tcBorders>
            <w:shd w:val="clear" w:color="auto" w:fill="auto"/>
            <w:vAlign w:val="center"/>
          </w:tcPr>
          <w:p w14:paraId="207F896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焊接钢管</w:t>
            </w:r>
          </w:p>
        </w:tc>
        <w:tc>
          <w:tcPr>
            <w:tcW w:w="2110" w:type="pct"/>
            <w:tcBorders>
              <w:tl2br w:val="nil"/>
              <w:tr2bl w:val="nil"/>
            </w:tcBorders>
            <w:shd w:val="clear" w:color="auto" w:fill="auto"/>
            <w:vAlign w:val="center"/>
          </w:tcPr>
          <w:p w14:paraId="43FC662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DN350</w:t>
            </w:r>
          </w:p>
        </w:tc>
        <w:tc>
          <w:tcPr>
            <w:tcW w:w="336" w:type="pct"/>
            <w:tcBorders>
              <w:tl2br w:val="nil"/>
              <w:tr2bl w:val="nil"/>
            </w:tcBorders>
            <w:shd w:val="clear" w:color="auto" w:fill="auto"/>
            <w:vAlign w:val="center"/>
          </w:tcPr>
          <w:p w14:paraId="32CBE87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24</w:t>
            </w:r>
          </w:p>
        </w:tc>
        <w:tc>
          <w:tcPr>
            <w:tcW w:w="415" w:type="pct"/>
            <w:tcBorders>
              <w:tl2br w:val="nil"/>
              <w:tr2bl w:val="nil"/>
            </w:tcBorders>
            <w:shd w:val="clear" w:color="auto" w:fill="auto"/>
            <w:vAlign w:val="center"/>
          </w:tcPr>
          <w:p w14:paraId="0940AA1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73FB631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新增，含管件</w:t>
            </w:r>
          </w:p>
        </w:tc>
      </w:tr>
      <w:tr w14:paraId="64CD7C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7DD4555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c>
          <w:tcPr>
            <w:tcW w:w="887" w:type="pct"/>
            <w:tcBorders>
              <w:tl2br w:val="nil"/>
              <w:tr2bl w:val="nil"/>
            </w:tcBorders>
            <w:shd w:val="clear" w:color="auto" w:fill="auto"/>
            <w:vAlign w:val="center"/>
          </w:tcPr>
          <w:p w14:paraId="36AA38B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焊接钢管</w:t>
            </w:r>
          </w:p>
        </w:tc>
        <w:tc>
          <w:tcPr>
            <w:tcW w:w="2110" w:type="pct"/>
            <w:tcBorders>
              <w:tl2br w:val="nil"/>
              <w:tr2bl w:val="nil"/>
            </w:tcBorders>
            <w:shd w:val="clear" w:color="auto" w:fill="auto"/>
            <w:vAlign w:val="center"/>
          </w:tcPr>
          <w:p w14:paraId="567229C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DN200</w:t>
            </w:r>
          </w:p>
        </w:tc>
        <w:tc>
          <w:tcPr>
            <w:tcW w:w="336" w:type="pct"/>
            <w:tcBorders>
              <w:tl2br w:val="nil"/>
              <w:tr2bl w:val="nil"/>
            </w:tcBorders>
            <w:shd w:val="clear" w:color="auto" w:fill="auto"/>
            <w:vAlign w:val="center"/>
          </w:tcPr>
          <w:p w14:paraId="6978C0B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w:t>
            </w:r>
          </w:p>
        </w:tc>
        <w:tc>
          <w:tcPr>
            <w:tcW w:w="415" w:type="pct"/>
            <w:tcBorders>
              <w:tl2br w:val="nil"/>
              <w:tr2bl w:val="nil"/>
            </w:tcBorders>
            <w:shd w:val="clear" w:color="auto" w:fill="auto"/>
            <w:vAlign w:val="center"/>
          </w:tcPr>
          <w:p w14:paraId="492EC19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5686382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新增，含管件</w:t>
            </w:r>
          </w:p>
        </w:tc>
      </w:tr>
      <w:tr w14:paraId="4FB20F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0" w:hRule="atLeast"/>
        </w:trPr>
        <w:tc>
          <w:tcPr>
            <w:tcW w:w="5000" w:type="pct"/>
            <w:gridSpan w:val="6"/>
            <w:tcBorders>
              <w:tl2br w:val="nil"/>
              <w:tr2bl w:val="nil"/>
            </w:tcBorders>
            <w:shd w:val="clear" w:color="auto" w:fill="auto"/>
            <w:vAlign w:val="center"/>
          </w:tcPr>
          <w:p w14:paraId="2D6E4B5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沉砂池和砂水分离间</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改造</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5F6F7C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70" w:hRule="atLeast"/>
        </w:trPr>
        <w:tc>
          <w:tcPr>
            <w:tcW w:w="445" w:type="pct"/>
            <w:tcBorders>
              <w:tl2br w:val="nil"/>
              <w:tr2bl w:val="nil"/>
            </w:tcBorders>
            <w:shd w:val="clear" w:color="auto" w:fill="auto"/>
            <w:vAlign w:val="center"/>
          </w:tcPr>
          <w:p w14:paraId="29C8C65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29CB6B6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循环式齿耙清污机</w:t>
            </w:r>
          </w:p>
        </w:tc>
        <w:tc>
          <w:tcPr>
            <w:tcW w:w="2110" w:type="pct"/>
            <w:tcBorders>
              <w:tl2br w:val="nil"/>
              <w:tr2bl w:val="nil"/>
            </w:tcBorders>
            <w:shd w:val="clear" w:color="auto" w:fill="auto"/>
            <w:vAlign w:val="center"/>
          </w:tcPr>
          <w:p w14:paraId="2DC1055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型号：XQ1.3x1.8电机功率：1.1kW</w:t>
            </w:r>
          </w:p>
        </w:tc>
        <w:tc>
          <w:tcPr>
            <w:tcW w:w="336" w:type="pct"/>
            <w:tcBorders>
              <w:tl2br w:val="nil"/>
              <w:tr2bl w:val="nil"/>
            </w:tcBorders>
            <w:shd w:val="clear" w:color="auto" w:fill="auto"/>
            <w:vAlign w:val="center"/>
          </w:tcPr>
          <w:p w14:paraId="363D301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519F764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53683F9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更换1台</w:t>
            </w:r>
          </w:p>
        </w:tc>
      </w:tr>
      <w:tr w14:paraId="6880C6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45" w:type="pct"/>
            <w:tcBorders>
              <w:tl2br w:val="nil"/>
              <w:tr2bl w:val="nil"/>
            </w:tcBorders>
            <w:shd w:val="clear" w:color="auto" w:fill="auto"/>
            <w:vAlign w:val="center"/>
          </w:tcPr>
          <w:p w14:paraId="157DD0B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3E03915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螺旋式给料机</w:t>
            </w:r>
          </w:p>
        </w:tc>
        <w:tc>
          <w:tcPr>
            <w:tcW w:w="2110" w:type="pct"/>
            <w:tcBorders>
              <w:tl2br w:val="nil"/>
              <w:tr2bl w:val="nil"/>
            </w:tcBorders>
            <w:shd w:val="clear" w:color="auto" w:fill="auto"/>
            <w:vAlign w:val="center"/>
          </w:tcPr>
          <w:p w14:paraId="0776367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BLEY2718-289-3,电机功率：1.1kW</w:t>
            </w:r>
          </w:p>
        </w:tc>
        <w:tc>
          <w:tcPr>
            <w:tcW w:w="336" w:type="pct"/>
            <w:tcBorders>
              <w:tl2br w:val="nil"/>
              <w:tr2bl w:val="nil"/>
            </w:tcBorders>
            <w:shd w:val="clear" w:color="auto" w:fill="auto"/>
            <w:vAlign w:val="center"/>
          </w:tcPr>
          <w:p w14:paraId="0406A38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5592CF4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1D4D4F1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更换1台</w:t>
            </w:r>
          </w:p>
        </w:tc>
      </w:tr>
      <w:tr w14:paraId="6BA259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3" w:hRule="atLeast"/>
        </w:trPr>
        <w:tc>
          <w:tcPr>
            <w:tcW w:w="445" w:type="pct"/>
            <w:tcBorders>
              <w:tl2br w:val="nil"/>
              <w:tr2bl w:val="nil"/>
            </w:tcBorders>
            <w:shd w:val="clear" w:color="auto" w:fill="auto"/>
            <w:vAlign w:val="center"/>
          </w:tcPr>
          <w:p w14:paraId="299CF2B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57E6FEF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旋流沉砂器</w:t>
            </w:r>
          </w:p>
        </w:tc>
        <w:tc>
          <w:tcPr>
            <w:tcW w:w="2110" w:type="pct"/>
            <w:tcBorders>
              <w:tl2br w:val="nil"/>
              <w:tr2bl w:val="nil"/>
            </w:tcBorders>
            <w:shd w:val="clear" w:color="auto" w:fill="auto"/>
            <w:vAlign w:val="center"/>
          </w:tcPr>
          <w:p w14:paraId="5E8B394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型号：XLC-720电机功率：1.1kW</w:t>
            </w:r>
          </w:p>
        </w:tc>
        <w:tc>
          <w:tcPr>
            <w:tcW w:w="336" w:type="pct"/>
            <w:tcBorders>
              <w:tl2br w:val="nil"/>
              <w:tr2bl w:val="nil"/>
            </w:tcBorders>
            <w:shd w:val="clear" w:color="auto" w:fill="auto"/>
            <w:vAlign w:val="center"/>
          </w:tcPr>
          <w:p w14:paraId="2C609D4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4F6D4F4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19C255E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更换2台</w:t>
            </w:r>
          </w:p>
        </w:tc>
      </w:tr>
      <w:tr w14:paraId="695426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5" w:hRule="atLeast"/>
        </w:trPr>
        <w:tc>
          <w:tcPr>
            <w:tcW w:w="445" w:type="pct"/>
            <w:tcBorders>
              <w:tl2br w:val="nil"/>
              <w:tr2bl w:val="nil"/>
            </w:tcBorders>
            <w:shd w:val="clear" w:color="auto" w:fill="auto"/>
            <w:vAlign w:val="center"/>
          </w:tcPr>
          <w:p w14:paraId="6365324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887" w:type="pct"/>
            <w:tcBorders>
              <w:tl2br w:val="nil"/>
              <w:tr2bl w:val="nil"/>
            </w:tcBorders>
            <w:shd w:val="clear" w:color="auto" w:fill="auto"/>
            <w:vAlign w:val="center"/>
          </w:tcPr>
          <w:p w14:paraId="2393A30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旋流沉砂器电机</w:t>
            </w:r>
          </w:p>
        </w:tc>
        <w:tc>
          <w:tcPr>
            <w:tcW w:w="2110" w:type="pct"/>
            <w:tcBorders>
              <w:tl2br w:val="nil"/>
              <w:tr2bl w:val="nil"/>
            </w:tcBorders>
            <w:shd w:val="clear" w:color="auto" w:fill="auto"/>
            <w:vAlign w:val="center"/>
          </w:tcPr>
          <w:p w14:paraId="64270F4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型号：YZ-90S-4功率：1.1kW</w:t>
            </w:r>
          </w:p>
        </w:tc>
        <w:tc>
          <w:tcPr>
            <w:tcW w:w="336" w:type="pct"/>
            <w:tcBorders>
              <w:tl2br w:val="nil"/>
              <w:tr2bl w:val="nil"/>
            </w:tcBorders>
            <w:shd w:val="clear" w:color="auto" w:fill="auto"/>
            <w:vAlign w:val="center"/>
          </w:tcPr>
          <w:p w14:paraId="5863E9A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0F3384D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00D6521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更换2台</w:t>
            </w:r>
          </w:p>
        </w:tc>
      </w:tr>
      <w:tr w14:paraId="433629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77E7713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887" w:type="pct"/>
            <w:tcBorders>
              <w:tl2br w:val="nil"/>
              <w:tr2bl w:val="nil"/>
            </w:tcBorders>
            <w:shd w:val="clear" w:color="auto" w:fill="auto"/>
            <w:vAlign w:val="center"/>
          </w:tcPr>
          <w:p w14:paraId="31F292C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世通三叶风机</w:t>
            </w:r>
          </w:p>
        </w:tc>
        <w:tc>
          <w:tcPr>
            <w:tcW w:w="2110" w:type="pct"/>
            <w:tcBorders>
              <w:tl2br w:val="nil"/>
              <w:tr2bl w:val="nil"/>
            </w:tcBorders>
            <w:shd w:val="clear" w:color="auto" w:fill="auto"/>
            <w:vAlign w:val="center"/>
          </w:tcPr>
          <w:p w14:paraId="27428A0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型号：ZSSR-80,流量：3.66m³/min升压：49kpa</w:t>
            </w:r>
          </w:p>
        </w:tc>
        <w:tc>
          <w:tcPr>
            <w:tcW w:w="336" w:type="pct"/>
            <w:tcBorders>
              <w:tl2br w:val="nil"/>
              <w:tr2bl w:val="nil"/>
            </w:tcBorders>
            <w:shd w:val="clear" w:color="auto" w:fill="auto"/>
            <w:vAlign w:val="center"/>
          </w:tcPr>
          <w:p w14:paraId="2D2B1A7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0BDF456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09BEEA0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更换2台</w:t>
            </w:r>
          </w:p>
        </w:tc>
      </w:tr>
      <w:tr w14:paraId="659127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80" w:hRule="atLeast"/>
        </w:trPr>
        <w:tc>
          <w:tcPr>
            <w:tcW w:w="445" w:type="pct"/>
            <w:tcBorders>
              <w:tl2br w:val="nil"/>
              <w:tr2bl w:val="nil"/>
            </w:tcBorders>
            <w:shd w:val="clear" w:color="auto" w:fill="auto"/>
            <w:vAlign w:val="center"/>
          </w:tcPr>
          <w:p w14:paraId="41DBF44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887" w:type="pct"/>
            <w:tcBorders>
              <w:tl2br w:val="nil"/>
              <w:tr2bl w:val="nil"/>
            </w:tcBorders>
            <w:shd w:val="clear" w:color="auto" w:fill="auto"/>
            <w:vAlign w:val="center"/>
          </w:tcPr>
          <w:p w14:paraId="1A9C88F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螺旋式砂水分离器</w:t>
            </w:r>
          </w:p>
        </w:tc>
        <w:tc>
          <w:tcPr>
            <w:tcW w:w="2110" w:type="pct"/>
            <w:tcBorders>
              <w:tl2br w:val="nil"/>
              <w:tr2bl w:val="nil"/>
            </w:tcBorders>
            <w:shd w:val="clear" w:color="auto" w:fill="auto"/>
            <w:vAlign w:val="center"/>
          </w:tcPr>
          <w:p w14:paraId="42E06FA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型号：SF260处理量：5—12L/S</w:t>
            </w:r>
          </w:p>
        </w:tc>
        <w:tc>
          <w:tcPr>
            <w:tcW w:w="336" w:type="pct"/>
            <w:tcBorders>
              <w:tl2br w:val="nil"/>
              <w:tr2bl w:val="nil"/>
            </w:tcBorders>
            <w:shd w:val="clear" w:color="auto" w:fill="auto"/>
            <w:vAlign w:val="center"/>
          </w:tcPr>
          <w:p w14:paraId="252FFFE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3F5216E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6555CAE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更换1台</w:t>
            </w:r>
          </w:p>
        </w:tc>
      </w:tr>
      <w:tr w14:paraId="3AEBA0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55F73A9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c>
          <w:tcPr>
            <w:tcW w:w="887" w:type="pct"/>
            <w:tcBorders>
              <w:tl2br w:val="nil"/>
              <w:tr2bl w:val="nil"/>
            </w:tcBorders>
            <w:shd w:val="clear" w:color="auto" w:fill="auto"/>
            <w:vAlign w:val="center"/>
          </w:tcPr>
          <w:p w14:paraId="3C7F37A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砂水分离器电机</w:t>
            </w:r>
          </w:p>
        </w:tc>
        <w:tc>
          <w:tcPr>
            <w:tcW w:w="2110" w:type="pct"/>
            <w:tcBorders>
              <w:tl2br w:val="nil"/>
              <w:tr2bl w:val="nil"/>
            </w:tcBorders>
            <w:shd w:val="clear" w:color="auto" w:fill="auto"/>
            <w:vAlign w:val="center"/>
          </w:tcPr>
          <w:p w14:paraId="7024C54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型号：YZ-712-4功率：0.37kW</w:t>
            </w:r>
          </w:p>
        </w:tc>
        <w:tc>
          <w:tcPr>
            <w:tcW w:w="336" w:type="pct"/>
            <w:tcBorders>
              <w:tl2br w:val="nil"/>
              <w:tr2bl w:val="nil"/>
            </w:tcBorders>
            <w:shd w:val="clear" w:color="auto" w:fill="auto"/>
            <w:vAlign w:val="center"/>
          </w:tcPr>
          <w:p w14:paraId="71BD4DC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11AD72B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6FDD48B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更换1台</w:t>
            </w:r>
          </w:p>
        </w:tc>
      </w:tr>
      <w:tr w14:paraId="62E3AB2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0" w:hRule="atLeast"/>
        </w:trPr>
        <w:tc>
          <w:tcPr>
            <w:tcW w:w="445" w:type="pct"/>
            <w:tcBorders>
              <w:tl2br w:val="nil"/>
              <w:tr2bl w:val="nil"/>
            </w:tcBorders>
            <w:shd w:val="clear" w:color="auto" w:fill="auto"/>
            <w:vAlign w:val="center"/>
          </w:tcPr>
          <w:p w14:paraId="1CFE6D3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887" w:type="pct"/>
            <w:tcBorders>
              <w:tl2br w:val="nil"/>
              <w:tr2bl w:val="nil"/>
            </w:tcBorders>
            <w:shd w:val="clear" w:color="auto" w:fill="auto"/>
            <w:vAlign w:val="center"/>
          </w:tcPr>
          <w:p w14:paraId="4665E0A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配套管件阀门</w:t>
            </w:r>
          </w:p>
        </w:tc>
        <w:tc>
          <w:tcPr>
            <w:tcW w:w="2110" w:type="pct"/>
            <w:tcBorders>
              <w:tl2br w:val="nil"/>
              <w:tr2bl w:val="nil"/>
            </w:tcBorders>
            <w:shd w:val="clear" w:color="auto" w:fill="auto"/>
            <w:vAlign w:val="center"/>
          </w:tcPr>
          <w:p w14:paraId="19C64AB6">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6" w:type="pct"/>
            <w:tcBorders>
              <w:tl2br w:val="nil"/>
              <w:tr2bl w:val="nil"/>
            </w:tcBorders>
            <w:shd w:val="clear" w:color="auto" w:fill="auto"/>
            <w:vAlign w:val="center"/>
          </w:tcPr>
          <w:p w14:paraId="2C6C886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3FE7871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项</w:t>
            </w:r>
          </w:p>
        </w:tc>
        <w:tc>
          <w:tcPr>
            <w:tcW w:w="804" w:type="pct"/>
            <w:tcBorders>
              <w:tl2br w:val="nil"/>
              <w:tr2bl w:val="nil"/>
            </w:tcBorders>
            <w:shd w:val="clear" w:color="auto" w:fill="auto"/>
            <w:vAlign w:val="center"/>
          </w:tcPr>
          <w:p w14:paraId="45BD1B3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727A81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5000" w:type="pct"/>
            <w:gridSpan w:val="6"/>
            <w:tcBorders>
              <w:tl2br w:val="nil"/>
              <w:tr2bl w:val="nil"/>
            </w:tcBorders>
            <w:shd w:val="clear" w:color="auto" w:fill="auto"/>
            <w:vAlign w:val="center"/>
          </w:tcPr>
          <w:p w14:paraId="754AB91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厌氧缺氧池</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新建</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2A984F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20" w:hRule="atLeast"/>
        </w:trPr>
        <w:tc>
          <w:tcPr>
            <w:tcW w:w="445" w:type="pct"/>
            <w:tcBorders>
              <w:tl2br w:val="nil"/>
              <w:tr2bl w:val="nil"/>
            </w:tcBorders>
            <w:shd w:val="clear" w:color="auto" w:fill="auto"/>
            <w:vAlign w:val="center"/>
          </w:tcPr>
          <w:p w14:paraId="419F4C4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2ED68D3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潜水推流器1</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厌氧池</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2110" w:type="pct"/>
            <w:tcBorders>
              <w:tl2br w:val="nil"/>
              <w:tr2bl w:val="nil"/>
            </w:tcBorders>
            <w:shd w:val="clear" w:color="auto" w:fill="auto"/>
            <w:vAlign w:val="center"/>
          </w:tcPr>
          <w:p w14:paraId="5633C83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1.D=2500mm,N=7.5kW,变频，包括提升装置、现场控制箱；2.材质：不锈钢</w:t>
            </w:r>
          </w:p>
        </w:tc>
        <w:tc>
          <w:tcPr>
            <w:tcW w:w="336" w:type="pct"/>
            <w:tcBorders>
              <w:tl2br w:val="nil"/>
              <w:tr2bl w:val="nil"/>
            </w:tcBorders>
            <w:shd w:val="clear" w:color="auto" w:fill="auto"/>
            <w:vAlign w:val="center"/>
          </w:tcPr>
          <w:p w14:paraId="684B62F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254DD75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5D4C6F1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5FD416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30" w:hRule="atLeast"/>
        </w:trPr>
        <w:tc>
          <w:tcPr>
            <w:tcW w:w="445" w:type="pct"/>
            <w:tcBorders>
              <w:tl2br w:val="nil"/>
              <w:tr2bl w:val="nil"/>
            </w:tcBorders>
            <w:shd w:val="clear" w:color="auto" w:fill="auto"/>
            <w:vAlign w:val="center"/>
          </w:tcPr>
          <w:p w14:paraId="366B09B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28FA5BA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潜水推流器2</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缺氧池</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2110" w:type="pct"/>
            <w:tcBorders>
              <w:tl2br w:val="nil"/>
              <w:tr2bl w:val="nil"/>
            </w:tcBorders>
            <w:shd w:val="clear" w:color="auto" w:fill="auto"/>
            <w:vAlign w:val="center"/>
          </w:tcPr>
          <w:p w14:paraId="3E8D0DF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1.D=2500mm,N=7.5kW,变频，包括提升装置、现场控制箱；2.材质：不锈钢</w:t>
            </w:r>
          </w:p>
        </w:tc>
        <w:tc>
          <w:tcPr>
            <w:tcW w:w="336" w:type="pct"/>
            <w:tcBorders>
              <w:tl2br w:val="nil"/>
              <w:tr2bl w:val="nil"/>
            </w:tcBorders>
            <w:shd w:val="clear" w:color="auto" w:fill="auto"/>
            <w:vAlign w:val="center"/>
          </w:tcPr>
          <w:p w14:paraId="3D419C2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182D939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7448974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2B40AC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100" w:hRule="atLeast"/>
        </w:trPr>
        <w:tc>
          <w:tcPr>
            <w:tcW w:w="445" w:type="pct"/>
            <w:tcBorders>
              <w:tl2br w:val="nil"/>
              <w:tr2bl w:val="nil"/>
            </w:tcBorders>
            <w:shd w:val="clear" w:color="auto" w:fill="auto"/>
            <w:vAlign w:val="center"/>
          </w:tcPr>
          <w:p w14:paraId="6633D32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2C6E8F6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回流泵</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缺氧池至厌氧池</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2110" w:type="pct"/>
            <w:tcBorders>
              <w:tl2br w:val="nil"/>
              <w:tr2bl w:val="nil"/>
            </w:tcBorders>
            <w:shd w:val="clear" w:color="auto" w:fill="auto"/>
            <w:vAlign w:val="center"/>
          </w:tcPr>
          <w:p w14:paraId="5A61A1E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穿墙泵，Q=1250m³/h,H=1.2m,N=11kW,变</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频，配套现场控制箱、自耦装置、拍门等</w:t>
            </w:r>
          </w:p>
        </w:tc>
        <w:tc>
          <w:tcPr>
            <w:tcW w:w="336" w:type="pct"/>
            <w:tcBorders>
              <w:tl2br w:val="nil"/>
              <w:tr2bl w:val="nil"/>
            </w:tcBorders>
            <w:shd w:val="clear" w:color="auto" w:fill="auto"/>
            <w:vAlign w:val="center"/>
          </w:tcPr>
          <w:p w14:paraId="250DAB2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05C2631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3CE7DF8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新增，2用1备</w:t>
            </w:r>
          </w:p>
        </w:tc>
      </w:tr>
      <w:tr w14:paraId="7792E8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0DE265B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887" w:type="pct"/>
            <w:tcBorders>
              <w:tl2br w:val="nil"/>
              <w:tr2bl w:val="nil"/>
            </w:tcBorders>
            <w:shd w:val="clear" w:color="auto" w:fill="auto"/>
            <w:vAlign w:val="center"/>
          </w:tcPr>
          <w:p w14:paraId="5C61462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焊接钢管</w:t>
            </w:r>
          </w:p>
        </w:tc>
        <w:tc>
          <w:tcPr>
            <w:tcW w:w="2110" w:type="pct"/>
            <w:tcBorders>
              <w:tl2br w:val="nil"/>
              <w:tr2bl w:val="nil"/>
            </w:tcBorders>
            <w:shd w:val="clear" w:color="auto" w:fill="auto"/>
            <w:vAlign w:val="center"/>
          </w:tcPr>
          <w:p w14:paraId="1EFC629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DN1400</w:t>
            </w:r>
          </w:p>
        </w:tc>
        <w:tc>
          <w:tcPr>
            <w:tcW w:w="336" w:type="pct"/>
            <w:tcBorders>
              <w:tl2br w:val="nil"/>
              <w:tr2bl w:val="nil"/>
            </w:tcBorders>
            <w:shd w:val="clear" w:color="auto" w:fill="auto"/>
            <w:vAlign w:val="center"/>
          </w:tcPr>
          <w:p w14:paraId="7A8228D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6EA26FB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21E8D1E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新增，含管件</w:t>
            </w:r>
          </w:p>
        </w:tc>
      </w:tr>
      <w:tr w14:paraId="4C6F8F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2F33061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887" w:type="pct"/>
            <w:tcBorders>
              <w:tl2br w:val="nil"/>
              <w:tr2bl w:val="nil"/>
            </w:tcBorders>
            <w:shd w:val="clear" w:color="auto" w:fill="auto"/>
            <w:vAlign w:val="center"/>
          </w:tcPr>
          <w:p w14:paraId="612B050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焊接钢管</w:t>
            </w:r>
          </w:p>
        </w:tc>
        <w:tc>
          <w:tcPr>
            <w:tcW w:w="2110" w:type="pct"/>
            <w:tcBorders>
              <w:tl2br w:val="nil"/>
              <w:tr2bl w:val="nil"/>
            </w:tcBorders>
            <w:shd w:val="clear" w:color="auto" w:fill="auto"/>
            <w:vAlign w:val="center"/>
          </w:tcPr>
          <w:p w14:paraId="785076C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DN1200</w:t>
            </w:r>
          </w:p>
        </w:tc>
        <w:tc>
          <w:tcPr>
            <w:tcW w:w="336" w:type="pct"/>
            <w:tcBorders>
              <w:tl2br w:val="nil"/>
              <w:tr2bl w:val="nil"/>
            </w:tcBorders>
            <w:shd w:val="clear" w:color="auto" w:fill="auto"/>
            <w:vAlign w:val="center"/>
          </w:tcPr>
          <w:p w14:paraId="1ED83C3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3412A8C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66A950F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新增，含管件</w:t>
            </w:r>
          </w:p>
        </w:tc>
      </w:tr>
      <w:tr w14:paraId="5823E3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40" w:hRule="atLeast"/>
        </w:trPr>
        <w:tc>
          <w:tcPr>
            <w:tcW w:w="445" w:type="pct"/>
            <w:tcBorders>
              <w:tl2br w:val="nil"/>
              <w:tr2bl w:val="nil"/>
            </w:tcBorders>
            <w:shd w:val="clear" w:color="auto" w:fill="auto"/>
            <w:vAlign w:val="center"/>
          </w:tcPr>
          <w:p w14:paraId="64B53B0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887" w:type="pct"/>
            <w:tcBorders>
              <w:tl2br w:val="nil"/>
              <w:tr2bl w:val="nil"/>
            </w:tcBorders>
            <w:shd w:val="clear" w:color="auto" w:fill="auto"/>
            <w:vAlign w:val="center"/>
          </w:tcPr>
          <w:p w14:paraId="4F96097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焊接钢管</w:t>
            </w:r>
          </w:p>
        </w:tc>
        <w:tc>
          <w:tcPr>
            <w:tcW w:w="2110" w:type="pct"/>
            <w:tcBorders>
              <w:tl2br w:val="nil"/>
              <w:tr2bl w:val="nil"/>
            </w:tcBorders>
            <w:shd w:val="clear" w:color="auto" w:fill="auto"/>
            <w:vAlign w:val="center"/>
          </w:tcPr>
          <w:p w14:paraId="58881BF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DN1000</w:t>
            </w:r>
          </w:p>
        </w:tc>
        <w:tc>
          <w:tcPr>
            <w:tcW w:w="336" w:type="pct"/>
            <w:tcBorders>
              <w:tl2br w:val="nil"/>
              <w:tr2bl w:val="nil"/>
            </w:tcBorders>
            <w:shd w:val="clear" w:color="auto" w:fill="auto"/>
            <w:vAlign w:val="center"/>
          </w:tcPr>
          <w:p w14:paraId="4D0BAD3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25444F5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74449FF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新增，含管件</w:t>
            </w:r>
          </w:p>
        </w:tc>
      </w:tr>
      <w:tr w14:paraId="0B874A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7FB8E40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c>
          <w:tcPr>
            <w:tcW w:w="887" w:type="pct"/>
            <w:tcBorders>
              <w:tl2br w:val="nil"/>
              <w:tr2bl w:val="nil"/>
            </w:tcBorders>
            <w:shd w:val="clear" w:color="auto" w:fill="auto"/>
            <w:vAlign w:val="center"/>
          </w:tcPr>
          <w:p w14:paraId="07F8E28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焊接钢管</w:t>
            </w:r>
          </w:p>
        </w:tc>
        <w:tc>
          <w:tcPr>
            <w:tcW w:w="2110" w:type="pct"/>
            <w:tcBorders>
              <w:tl2br w:val="nil"/>
              <w:tr2bl w:val="nil"/>
            </w:tcBorders>
            <w:shd w:val="clear" w:color="auto" w:fill="auto"/>
            <w:vAlign w:val="center"/>
          </w:tcPr>
          <w:p w14:paraId="41366E7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DN900</w:t>
            </w:r>
          </w:p>
        </w:tc>
        <w:tc>
          <w:tcPr>
            <w:tcW w:w="336" w:type="pct"/>
            <w:tcBorders>
              <w:tl2br w:val="nil"/>
              <w:tr2bl w:val="nil"/>
            </w:tcBorders>
            <w:shd w:val="clear" w:color="auto" w:fill="auto"/>
            <w:vAlign w:val="center"/>
          </w:tcPr>
          <w:p w14:paraId="17EC706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7E89C7F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1EAF90E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新增，含管件</w:t>
            </w:r>
          </w:p>
        </w:tc>
      </w:tr>
      <w:tr w14:paraId="177EC3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5000" w:type="pct"/>
            <w:gridSpan w:val="6"/>
            <w:tcBorders>
              <w:tl2br w:val="nil"/>
              <w:tr2bl w:val="nil"/>
            </w:tcBorders>
            <w:shd w:val="clear" w:color="auto" w:fill="auto"/>
            <w:vAlign w:val="center"/>
          </w:tcPr>
          <w:p w14:paraId="483B273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缺氧池</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原厌氧池、缺氧池、选择池改造</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790430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100" w:hRule="atLeast"/>
        </w:trPr>
        <w:tc>
          <w:tcPr>
            <w:tcW w:w="445" w:type="pct"/>
            <w:tcBorders>
              <w:tl2br w:val="nil"/>
              <w:tr2bl w:val="nil"/>
            </w:tcBorders>
            <w:shd w:val="clear" w:color="auto" w:fill="auto"/>
            <w:vAlign w:val="center"/>
          </w:tcPr>
          <w:p w14:paraId="40397F0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40462F4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缺氧池</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原厌氧池</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潜水搅拌器</w:t>
            </w:r>
          </w:p>
        </w:tc>
        <w:tc>
          <w:tcPr>
            <w:tcW w:w="2110" w:type="pct"/>
            <w:tcBorders>
              <w:tl2br w:val="nil"/>
              <w:tr2bl w:val="nil"/>
            </w:tcBorders>
            <w:shd w:val="clear" w:color="auto" w:fill="auto"/>
            <w:vAlign w:val="center"/>
          </w:tcPr>
          <w:p w14:paraId="707F853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1.低速大扇叶潜水搅拌器，380V,50Hz,</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约1.5KW,包括提升装置；2.材质：不锈钢</w:t>
            </w:r>
          </w:p>
        </w:tc>
        <w:tc>
          <w:tcPr>
            <w:tcW w:w="336" w:type="pct"/>
            <w:tcBorders>
              <w:tl2br w:val="nil"/>
              <w:tr2bl w:val="nil"/>
            </w:tcBorders>
            <w:shd w:val="clear" w:color="auto" w:fill="auto"/>
            <w:vAlign w:val="center"/>
          </w:tcPr>
          <w:p w14:paraId="5F722B4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7ADCDE1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20E4F2D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更换2台</w:t>
            </w:r>
          </w:p>
        </w:tc>
      </w:tr>
      <w:tr w14:paraId="5F5DCD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30" w:hRule="atLeast"/>
        </w:trPr>
        <w:tc>
          <w:tcPr>
            <w:tcW w:w="445" w:type="pct"/>
            <w:tcBorders>
              <w:tl2br w:val="nil"/>
              <w:tr2bl w:val="nil"/>
            </w:tcBorders>
            <w:shd w:val="clear" w:color="auto" w:fill="auto"/>
            <w:vAlign w:val="center"/>
          </w:tcPr>
          <w:p w14:paraId="60A4792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080A682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缺氧池潜水搅拌器</w:t>
            </w:r>
          </w:p>
        </w:tc>
        <w:tc>
          <w:tcPr>
            <w:tcW w:w="2110" w:type="pct"/>
            <w:tcBorders>
              <w:tl2br w:val="nil"/>
              <w:tr2bl w:val="nil"/>
            </w:tcBorders>
            <w:shd w:val="clear" w:color="auto" w:fill="auto"/>
            <w:vAlign w:val="center"/>
          </w:tcPr>
          <w:p w14:paraId="41DB23C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1.低速大扇叶潜水搅拌器，380V,50Hz,</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约1.5KW,包括提升装置；2.材质：不锈钢</w:t>
            </w:r>
          </w:p>
        </w:tc>
        <w:tc>
          <w:tcPr>
            <w:tcW w:w="336" w:type="pct"/>
            <w:tcBorders>
              <w:tl2br w:val="nil"/>
              <w:tr2bl w:val="nil"/>
            </w:tcBorders>
            <w:shd w:val="clear" w:color="auto" w:fill="auto"/>
            <w:vAlign w:val="center"/>
          </w:tcPr>
          <w:p w14:paraId="39E6BAA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63C1CD6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019C4D8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更换4台</w:t>
            </w:r>
          </w:p>
        </w:tc>
      </w:tr>
      <w:tr w14:paraId="7FD759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20" w:hRule="atLeast"/>
        </w:trPr>
        <w:tc>
          <w:tcPr>
            <w:tcW w:w="445" w:type="pct"/>
            <w:tcBorders>
              <w:tl2br w:val="nil"/>
              <w:tr2bl w:val="nil"/>
            </w:tcBorders>
            <w:shd w:val="clear" w:color="auto" w:fill="auto"/>
            <w:vAlign w:val="center"/>
          </w:tcPr>
          <w:p w14:paraId="7E8ADE4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029AB53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选择池潜水搅拌器</w:t>
            </w:r>
          </w:p>
        </w:tc>
        <w:tc>
          <w:tcPr>
            <w:tcW w:w="2110" w:type="pct"/>
            <w:tcBorders>
              <w:tl2br w:val="nil"/>
              <w:tr2bl w:val="nil"/>
            </w:tcBorders>
            <w:shd w:val="clear" w:color="auto" w:fill="auto"/>
            <w:vAlign w:val="center"/>
          </w:tcPr>
          <w:p w14:paraId="651EFE2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型号：AmamixC4135/48UDG,D=410mm,</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n=700min-1,P2=4,OkW,P1=4,OKW,</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安装组件立柱尺寸100x100x5mm,长6m.</w:t>
            </w:r>
          </w:p>
        </w:tc>
        <w:tc>
          <w:tcPr>
            <w:tcW w:w="336" w:type="pct"/>
            <w:tcBorders>
              <w:tl2br w:val="nil"/>
              <w:tr2bl w:val="nil"/>
            </w:tcBorders>
            <w:shd w:val="clear" w:color="auto" w:fill="auto"/>
            <w:vAlign w:val="center"/>
          </w:tcPr>
          <w:p w14:paraId="64A5BB4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34FB865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6812786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更换1台</w:t>
            </w:r>
          </w:p>
        </w:tc>
      </w:tr>
      <w:tr w14:paraId="4A2D04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5000" w:type="pct"/>
            <w:gridSpan w:val="6"/>
            <w:tcBorders>
              <w:tl2br w:val="nil"/>
              <w:tr2bl w:val="nil"/>
            </w:tcBorders>
            <w:shd w:val="clear" w:color="auto" w:fill="auto"/>
            <w:vAlign w:val="center"/>
          </w:tcPr>
          <w:p w14:paraId="23C4488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好氧池</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原好氧池+二沉池改造+回流泵站改造</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2AC863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24" w:hRule="atLeast"/>
        </w:trPr>
        <w:tc>
          <w:tcPr>
            <w:tcW w:w="445" w:type="pct"/>
            <w:tcBorders>
              <w:tl2br w:val="nil"/>
              <w:tr2bl w:val="nil"/>
            </w:tcBorders>
            <w:shd w:val="clear" w:color="auto" w:fill="auto"/>
            <w:vAlign w:val="center"/>
          </w:tcPr>
          <w:p w14:paraId="4DB93CF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49B18AC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拆除原好氧池底部曝气系统</w:t>
            </w:r>
          </w:p>
        </w:tc>
        <w:tc>
          <w:tcPr>
            <w:tcW w:w="2110" w:type="pct"/>
            <w:tcBorders>
              <w:tl2br w:val="nil"/>
              <w:tr2bl w:val="nil"/>
            </w:tcBorders>
            <w:shd w:val="clear" w:color="auto" w:fill="auto"/>
            <w:vAlign w:val="center"/>
          </w:tcPr>
          <w:p w14:paraId="48B672D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曝气头及配套管件</w:t>
            </w:r>
          </w:p>
        </w:tc>
        <w:tc>
          <w:tcPr>
            <w:tcW w:w="336" w:type="pct"/>
            <w:tcBorders>
              <w:tl2br w:val="nil"/>
              <w:tr2bl w:val="nil"/>
            </w:tcBorders>
            <w:shd w:val="clear" w:color="auto" w:fill="auto"/>
            <w:vAlign w:val="center"/>
          </w:tcPr>
          <w:p w14:paraId="0AF86C3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7950877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项</w:t>
            </w:r>
          </w:p>
        </w:tc>
        <w:tc>
          <w:tcPr>
            <w:tcW w:w="804" w:type="pct"/>
            <w:tcBorders>
              <w:tl2br w:val="nil"/>
              <w:tr2bl w:val="nil"/>
            </w:tcBorders>
            <w:shd w:val="clear" w:color="auto" w:fill="auto"/>
            <w:vAlign w:val="center"/>
          </w:tcPr>
          <w:p w14:paraId="3DD9D66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拆除</w:t>
            </w:r>
          </w:p>
        </w:tc>
      </w:tr>
      <w:tr w14:paraId="6786CD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20" w:hRule="atLeast"/>
        </w:trPr>
        <w:tc>
          <w:tcPr>
            <w:tcW w:w="445" w:type="pct"/>
            <w:tcBorders>
              <w:tl2br w:val="nil"/>
              <w:tr2bl w:val="nil"/>
            </w:tcBorders>
            <w:shd w:val="clear" w:color="auto" w:fill="auto"/>
            <w:vAlign w:val="center"/>
          </w:tcPr>
          <w:p w14:paraId="7CDB7F8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4D8B048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拆除原二沉池刮泥机</w:t>
            </w:r>
          </w:p>
        </w:tc>
        <w:tc>
          <w:tcPr>
            <w:tcW w:w="2110" w:type="pct"/>
            <w:tcBorders>
              <w:tl2br w:val="nil"/>
              <w:tr2bl w:val="nil"/>
            </w:tcBorders>
            <w:shd w:val="clear" w:color="auto" w:fill="auto"/>
            <w:vAlign w:val="center"/>
          </w:tcPr>
          <w:p w14:paraId="4D037C5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直径30m,含配套附件</w:t>
            </w:r>
          </w:p>
        </w:tc>
        <w:tc>
          <w:tcPr>
            <w:tcW w:w="336" w:type="pct"/>
            <w:tcBorders>
              <w:tl2br w:val="nil"/>
              <w:tr2bl w:val="nil"/>
            </w:tcBorders>
            <w:shd w:val="clear" w:color="auto" w:fill="auto"/>
            <w:vAlign w:val="center"/>
          </w:tcPr>
          <w:p w14:paraId="7BA5F2D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67184AE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0ECEB02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拆除</w:t>
            </w:r>
          </w:p>
        </w:tc>
      </w:tr>
      <w:tr w14:paraId="16CEA0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5" w:hRule="atLeast"/>
        </w:trPr>
        <w:tc>
          <w:tcPr>
            <w:tcW w:w="445" w:type="pct"/>
            <w:tcBorders>
              <w:tl2br w:val="nil"/>
              <w:tr2bl w:val="nil"/>
            </w:tcBorders>
            <w:shd w:val="clear" w:color="auto" w:fill="auto"/>
            <w:vAlign w:val="center"/>
          </w:tcPr>
          <w:p w14:paraId="258B355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5EBFB92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管式曝气器</w:t>
            </w: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原好氧池</w:t>
            </w: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2110" w:type="pct"/>
            <w:tcBorders>
              <w:tl2br w:val="nil"/>
              <w:tr2bl w:val="nil"/>
            </w:tcBorders>
            <w:shd w:val="clear" w:color="auto" w:fill="auto"/>
            <w:vAlign w:val="center"/>
          </w:tcPr>
          <w:p w14:paraId="204D825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膜片规格57*1725、具有止旋功能</w:t>
            </w:r>
          </w:p>
        </w:tc>
        <w:tc>
          <w:tcPr>
            <w:tcW w:w="336" w:type="pct"/>
            <w:tcBorders>
              <w:tl2br w:val="nil"/>
              <w:tr2bl w:val="nil"/>
            </w:tcBorders>
            <w:shd w:val="clear" w:color="auto" w:fill="auto"/>
            <w:vAlign w:val="center"/>
          </w:tcPr>
          <w:p w14:paraId="4D82B88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1500</w:t>
            </w:r>
          </w:p>
        </w:tc>
        <w:tc>
          <w:tcPr>
            <w:tcW w:w="415" w:type="pct"/>
            <w:tcBorders>
              <w:tl2br w:val="nil"/>
              <w:tr2bl w:val="nil"/>
            </w:tcBorders>
            <w:shd w:val="clear" w:color="auto" w:fill="auto"/>
            <w:vAlign w:val="center"/>
          </w:tcPr>
          <w:p w14:paraId="3E02550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条</w:t>
            </w:r>
          </w:p>
        </w:tc>
        <w:tc>
          <w:tcPr>
            <w:tcW w:w="804" w:type="pct"/>
            <w:tcBorders>
              <w:tl2br w:val="nil"/>
              <w:tr2bl w:val="nil"/>
            </w:tcBorders>
            <w:shd w:val="clear" w:color="auto" w:fill="auto"/>
            <w:vAlign w:val="center"/>
          </w:tcPr>
          <w:p w14:paraId="66F6602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更换原好氧池曝气设备+新增在原二沉池</w:t>
            </w:r>
          </w:p>
        </w:tc>
      </w:tr>
      <w:tr w14:paraId="039131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04A956F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887" w:type="pct"/>
            <w:tcBorders>
              <w:tl2br w:val="nil"/>
              <w:tr2bl w:val="nil"/>
            </w:tcBorders>
            <w:shd w:val="clear" w:color="auto" w:fill="auto"/>
            <w:vAlign w:val="center"/>
          </w:tcPr>
          <w:p w14:paraId="33FB737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不锈钢空气管</w:t>
            </w:r>
          </w:p>
        </w:tc>
        <w:tc>
          <w:tcPr>
            <w:tcW w:w="2110" w:type="pct"/>
            <w:tcBorders>
              <w:tl2br w:val="nil"/>
              <w:tr2bl w:val="nil"/>
            </w:tcBorders>
            <w:shd w:val="clear" w:color="auto" w:fill="auto"/>
            <w:vAlign w:val="center"/>
          </w:tcPr>
          <w:p w14:paraId="7301000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DN450</w:t>
            </w:r>
          </w:p>
        </w:tc>
        <w:tc>
          <w:tcPr>
            <w:tcW w:w="336" w:type="pct"/>
            <w:tcBorders>
              <w:tl2br w:val="nil"/>
              <w:tr2bl w:val="nil"/>
            </w:tcBorders>
            <w:shd w:val="clear" w:color="auto" w:fill="auto"/>
            <w:vAlign w:val="center"/>
          </w:tcPr>
          <w:p w14:paraId="794B03D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120</w:t>
            </w:r>
          </w:p>
        </w:tc>
        <w:tc>
          <w:tcPr>
            <w:tcW w:w="415" w:type="pct"/>
            <w:tcBorders>
              <w:tl2br w:val="nil"/>
              <w:tr2bl w:val="nil"/>
            </w:tcBorders>
            <w:shd w:val="clear" w:color="auto" w:fill="auto"/>
            <w:vAlign w:val="center"/>
          </w:tcPr>
          <w:p w14:paraId="0C7F608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06EADC9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新增，含管件</w:t>
            </w:r>
          </w:p>
        </w:tc>
      </w:tr>
      <w:tr w14:paraId="6F3299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70" w:hRule="atLeast"/>
        </w:trPr>
        <w:tc>
          <w:tcPr>
            <w:tcW w:w="445" w:type="pct"/>
            <w:tcBorders>
              <w:tl2br w:val="nil"/>
              <w:tr2bl w:val="nil"/>
            </w:tcBorders>
            <w:shd w:val="clear" w:color="auto" w:fill="auto"/>
            <w:vAlign w:val="center"/>
          </w:tcPr>
          <w:p w14:paraId="25F9A44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887" w:type="pct"/>
            <w:tcBorders>
              <w:tl2br w:val="nil"/>
              <w:tr2bl w:val="nil"/>
            </w:tcBorders>
            <w:shd w:val="clear" w:color="auto" w:fill="auto"/>
            <w:vAlign w:val="center"/>
          </w:tcPr>
          <w:p w14:paraId="11EA433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不锈钢空气管</w:t>
            </w:r>
          </w:p>
        </w:tc>
        <w:tc>
          <w:tcPr>
            <w:tcW w:w="2110" w:type="pct"/>
            <w:tcBorders>
              <w:tl2br w:val="nil"/>
              <w:tr2bl w:val="nil"/>
            </w:tcBorders>
            <w:shd w:val="clear" w:color="auto" w:fill="auto"/>
            <w:vAlign w:val="center"/>
          </w:tcPr>
          <w:p w14:paraId="77EB69E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DN150</w:t>
            </w:r>
          </w:p>
        </w:tc>
        <w:tc>
          <w:tcPr>
            <w:tcW w:w="336" w:type="pct"/>
            <w:tcBorders>
              <w:tl2br w:val="nil"/>
              <w:tr2bl w:val="nil"/>
            </w:tcBorders>
            <w:shd w:val="clear" w:color="auto" w:fill="auto"/>
            <w:vAlign w:val="center"/>
          </w:tcPr>
          <w:p w14:paraId="4950E71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320</w:t>
            </w:r>
          </w:p>
        </w:tc>
        <w:tc>
          <w:tcPr>
            <w:tcW w:w="415" w:type="pct"/>
            <w:tcBorders>
              <w:tl2br w:val="nil"/>
              <w:tr2bl w:val="nil"/>
            </w:tcBorders>
            <w:shd w:val="clear" w:color="auto" w:fill="auto"/>
            <w:vAlign w:val="center"/>
          </w:tcPr>
          <w:p w14:paraId="4F4B29F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536F880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新增，含管件</w:t>
            </w:r>
          </w:p>
        </w:tc>
      </w:tr>
      <w:tr w14:paraId="02F58C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48480BA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887" w:type="pct"/>
            <w:tcBorders>
              <w:tl2br w:val="nil"/>
              <w:tr2bl w:val="nil"/>
            </w:tcBorders>
            <w:shd w:val="clear" w:color="auto" w:fill="auto"/>
            <w:vAlign w:val="center"/>
          </w:tcPr>
          <w:p w14:paraId="5DAF921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阀门</w:t>
            </w:r>
          </w:p>
        </w:tc>
        <w:tc>
          <w:tcPr>
            <w:tcW w:w="2110" w:type="pct"/>
            <w:tcBorders>
              <w:tl2br w:val="nil"/>
              <w:tr2bl w:val="nil"/>
            </w:tcBorders>
            <w:shd w:val="clear" w:color="auto" w:fill="auto"/>
            <w:vAlign w:val="center"/>
          </w:tcPr>
          <w:p w14:paraId="29C1B69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DN150</w:t>
            </w:r>
          </w:p>
        </w:tc>
        <w:tc>
          <w:tcPr>
            <w:tcW w:w="336" w:type="pct"/>
            <w:tcBorders>
              <w:tl2br w:val="nil"/>
              <w:tr2bl w:val="nil"/>
            </w:tcBorders>
            <w:shd w:val="clear" w:color="auto" w:fill="auto"/>
            <w:vAlign w:val="center"/>
          </w:tcPr>
          <w:p w14:paraId="33089F0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w:t>
            </w:r>
          </w:p>
        </w:tc>
        <w:tc>
          <w:tcPr>
            <w:tcW w:w="415" w:type="pct"/>
            <w:tcBorders>
              <w:tl2br w:val="nil"/>
              <w:tr2bl w:val="nil"/>
            </w:tcBorders>
            <w:shd w:val="clear" w:color="auto" w:fill="auto"/>
            <w:vAlign w:val="center"/>
          </w:tcPr>
          <w:p w14:paraId="096627B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6F34EC3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16EC0E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4E87256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c>
          <w:tcPr>
            <w:tcW w:w="887" w:type="pct"/>
            <w:tcBorders>
              <w:tl2br w:val="nil"/>
              <w:tr2bl w:val="nil"/>
            </w:tcBorders>
            <w:shd w:val="clear" w:color="auto" w:fill="auto"/>
            <w:vAlign w:val="center"/>
          </w:tcPr>
          <w:p w14:paraId="3A74F94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提升泵</w:t>
            </w:r>
          </w:p>
        </w:tc>
        <w:tc>
          <w:tcPr>
            <w:tcW w:w="2110" w:type="pct"/>
            <w:tcBorders>
              <w:tl2br w:val="nil"/>
              <w:tr2bl w:val="nil"/>
            </w:tcBorders>
            <w:shd w:val="clear" w:color="auto" w:fill="auto"/>
            <w:vAlign w:val="center"/>
          </w:tcPr>
          <w:p w14:paraId="61DD040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轴流泵， Q=4400m³/h,H=4.8m,N=110kW,变</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频，配套现场控制箱、提升装置等</w:t>
            </w:r>
          </w:p>
        </w:tc>
        <w:tc>
          <w:tcPr>
            <w:tcW w:w="336" w:type="pct"/>
            <w:tcBorders>
              <w:tl2br w:val="nil"/>
              <w:tr2bl w:val="nil"/>
            </w:tcBorders>
            <w:shd w:val="clear" w:color="auto" w:fill="auto"/>
            <w:vAlign w:val="center"/>
          </w:tcPr>
          <w:p w14:paraId="64BB7C2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7794885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144BE02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2用1备，拆除2台，安装3台</w:t>
            </w:r>
          </w:p>
        </w:tc>
      </w:tr>
      <w:tr w14:paraId="77341A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3226AB9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887" w:type="pct"/>
            <w:tcBorders>
              <w:tl2br w:val="nil"/>
              <w:tr2bl w:val="nil"/>
            </w:tcBorders>
            <w:shd w:val="clear" w:color="auto" w:fill="auto"/>
            <w:vAlign w:val="center"/>
          </w:tcPr>
          <w:p w14:paraId="652ABFD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电动阀门</w:t>
            </w:r>
          </w:p>
        </w:tc>
        <w:tc>
          <w:tcPr>
            <w:tcW w:w="2110" w:type="pct"/>
            <w:tcBorders>
              <w:tl2br w:val="nil"/>
              <w:tr2bl w:val="nil"/>
            </w:tcBorders>
            <w:shd w:val="clear" w:color="auto" w:fill="auto"/>
            <w:vAlign w:val="center"/>
          </w:tcPr>
          <w:p w14:paraId="0D48B30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DN900,PN0.6</w:t>
            </w:r>
          </w:p>
        </w:tc>
        <w:tc>
          <w:tcPr>
            <w:tcW w:w="336" w:type="pct"/>
            <w:tcBorders>
              <w:tl2br w:val="nil"/>
              <w:tr2bl w:val="nil"/>
            </w:tcBorders>
            <w:shd w:val="clear" w:color="auto" w:fill="auto"/>
            <w:vAlign w:val="center"/>
          </w:tcPr>
          <w:p w14:paraId="3A36184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415" w:type="pct"/>
            <w:tcBorders>
              <w:tl2br w:val="nil"/>
              <w:tr2bl w:val="nil"/>
            </w:tcBorders>
            <w:shd w:val="clear" w:color="auto" w:fill="auto"/>
            <w:vAlign w:val="center"/>
          </w:tcPr>
          <w:p w14:paraId="43C16C5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2830BBC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4E8033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01BA1B6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w:t>
            </w:r>
          </w:p>
        </w:tc>
        <w:tc>
          <w:tcPr>
            <w:tcW w:w="887" w:type="pct"/>
            <w:tcBorders>
              <w:tl2br w:val="nil"/>
              <w:tr2bl w:val="nil"/>
            </w:tcBorders>
            <w:shd w:val="clear" w:color="auto" w:fill="auto"/>
            <w:vAlign w:val="center"/>
          </w:tcPr>
          <w:p w14:paraId="7E6DD3E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止回阀</w:t>
            </w:r>
          </w:p>
        </w:tc>
        <w:tc>
          <w:tcPr>
            <w:tcW w:w="2110" w:type="pct"/>
            <w:tcBorders>
              <w:tl2br w:val="nil"/>
              <w:tr2bl w:val="nil"/>
            </w:tcBorders>
            <w:shd w:val="clear" w:color="auto" w:fill="auto"/>
            <w:vAlign w:val="center"/>
          </w:tcPr>
          <w:p w14:paraId="05D6730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DN900,PN0.6</w:t>
            </w:r>
          </w:p>
        </w:tc>
        <w:tc>
          <w:tcPr>
            <w:tcW w:w="336" w:type="pct"/>
            <w:tcBorders>
              <w:tl2br w:val="nil"/>
              <w:tr2bl w:val="nil"/>
            </w:tcBorders>
            <w:shd w:val="clear" w:color="auto" w:fill="auto"/>
            <w:vAlign w:val="center"/>
          </w:tcPr>
          <w:p w14:paraId="4E6EAF4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065D0B3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746CD8B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4BD378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5F3E254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887" w:type="pct"/>
            <w:tcBorders>
              <w:tl2br w:val="nil"/>
              <w:tr2bl w:val="nil"/>
            </w:tcBorders>
            <w:shd w:val="clear" w:color="auto" w:fill="auto"/>
            <w:vAlign w:val="center"/>
          </w:tcPr>
          <w:p w14:paraId="3992C7B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伸缩接头</w:t>
            </w:r>
          </w:p>
        </w:tc>
        <w:tc>
          <w:tcPr>
            <w:tcW w:w="2110" w:type="pct"/>
            <w:tcBorders>
              <w:tl2br w:val="nil"/>
              <w:tr2bl w:val="nil"/>
            </w:tcBorders>
            <w:shd w:val="clear" w:color="auto" w:fill="auto"/>
            <w:vAlign w:val="center"/>
          </w:tcPr>
          <w:p w14:paraId="7BEFF93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DN900,PNO.6</w:t>
            </w:r>
          </w:p>
        </w:tc>
        <w:tc>
          <w:tcPr>
            <w:tcW w:w="336" w:type="pct"/>
            <w:tcBorders>
              <w:tl2br w:val="nil"/>
              <w:tr2bl w:val="nil"/>
            </w:tcBorders>
            <w:shd w:val="clear" w:color="auto" w:fill="auto"/>
            <w:vAlign w:val="center"/>
          </w:tcPr>
          <w:p w14:paraId="3014C7C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0698E2E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6CF2EF6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6536B2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6F92563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w:t>
            </w:r>
          </w:p>
        </w:tc>
        <w:tc>
          <w:tcPr>
            <w:tcW w:w="887" w:type="pct"/>
            <w:tcBorders>
              <w:tl2br w:val="nil"/>
              <w:tr2bl w:val="nil"/>
            </w:tcBorders>
            <w:shd w:val="clear" w:color="auto" w:fill="auto"/>
            <w:vAlign w:val="center"/>
          </w:tcPr>
          <w:p w14:paraId="0808637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焊接钢管</w:t>
            </w:r>
          </w:p>
        </w:tc>
        <w:tc>
          <w:tcPr>
            <w:tcW w:w="2110" w:type="pct"/>
            <w:tcBorders>
              <w:tl2br w:val="nil"/>
              <w:tr2bl w:val="nil"/>
            </w:tcBorders>
            <w:shd w:val="clear" w:color="auto" w:fill="auto"/>
            <w:vAlign w:val="center"/>
          </w:tcPr>
          <w:p w14:paraId="308664B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DN900</w:t>
            </w:r>
          </w:p>
        </w:tc>
        <w:tc>
          <w:tcPr>
            <w:tcW w:w="336" w:type="pct"/>
            <w:tcBorders>
              <w:tl2br w:val="nil"/>
              <w:tr2bl w:val="nil"/>
            </w:tcBorders>
            <w:shd w:val="clear" w:color="auto" w:fill="auto"/>
            <w:vAlign w:val="center"/>
          </w:tcPr>
          <w:p w14:paraId="0DA9E85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24</w:t>
            </w:r>
          </w:p>
        </w:tc>
        <w:tc>
          <w:tcPr>
            <w:tcW w:w="415" w:type="pct"/>
            <w:tcBorders>
              <w:tl2br w:val="nil"/>
              <w:tr2bl w:val="nil"/>
            </w:tcBorders>
            <w:shd w:val="clear" w:color="auto" w:fill="auto"/>
            <w:vAlign w:val="center"/>
          </w:tcPr>
          <w:p w14:paraId="15ACB77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4A424AB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新增，含管件</w:t>
            </w:r>
          </w:p>
        </w:tc>
      </w:tr>
      <w:tr w14:paraId="3CBB0A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5000" w:type="pct"/>
            <w:gridSpan w:val="6"/>
            <w:tcBorders>
              <w:tl2br w:val="nil"/>
              <w:tr2bl w:val="nil"/>
            </w:tcBorders>
            <w:shd w:val="clear" w:color="auto" w:fill="auto"/>
            <w:vAlign w:val="center"/>
          </w:tcPr>
          <w:p w14:paraId="7557B39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后缺氧池、MBR膜池及膜车间</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新建</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7BABB0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79D23B2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 xml:space="preserve"> 一 </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887" w:type="pct"/>
            <w:tcBorders>
              <w:tl2br w:val="nil"/>
              <w:tr2bl w:val="nil"/>
            </w:tcBorders>
            <w:shd w:val="clear" w:color="auto" w:fill="auto"/>
            <w:vAlign w:val="center"/>
          </w:tcPr>
          <w:p w14:paraId="4259343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膜组器</w:t>
            </w:r>
          </w:p>
        </w:tc>
        <w:tc>
          <w:tcPr>
            <w:tcW w:w="2110" w:type="pct"/>
            <w:tcBorders>
              <w:tl2br w:val="nil"/>
              <w:tr2bl w:val="nil"/>
            </w:tcBorders>
            <w:shd w:val="clear" w:color="auto" w:fill="auto"/>
            <w:vAlign w:val="center"/>
          </w:tcPr>
          <w:p w14:paraId="2C6C35C9">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6" w:type="pct"/>
            <w:tcBorders>
              <w:tl2br w:val="nil"/>
              <w:tr2bl w:val="nil"/>
            </w:tcBorders>
            <w:shd w:val="clear" w:color="auto" w:fill="auto"/>
            <w:vAlign w:val="center"/>
          </w:tcPr>
          <w:p w14:paraId="44E02CF4">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415" w:type="pct"/>
            <w:tcBorders>
              <w:tl2br w:val="nil"/>
              <w:tr2bl w:val="nil"/>
            </w:tcBorders>
            <w:shd w:val="clear" w:color="auto" w:fill="auto"/>
            <w:vAlign w:val="center"/>
          </w:tcPr>
          <w:p w14:paraId="27006EB2">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04" w:type="pct"/>
            <w:tcBorders>
              <w:tl2br w:val="nil"/>
              <w:tr2bl w:val="nil"/>
            </w:tcBorders>
            <w:shd w:val="clear" w:color="auto" w:fill="auto"/>
            <w:vAlign w:val="center"/>
          </w:tcPr>
          <w:p w14:paraId="3992DF73">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3CED7B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70" w:hRule="atLeast"/>
        </w:trPr>
        <w:tc>
          <w:tcPr>
            <w:tcW w:w="445" w:type="pct"/>
            <w:tcBorders>
              <w:tl2br w:val="nil"/>
              <w:tr2bl w:val="nil"/>
            </w:tcBorders>
            <w:shd w:val="clear" w:color="auto" w:fill="auto"/>
            <w:vAlign w:val="center"/>
          </w:tcPr>
          <w:p w14:paraId="32ECEC7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5FCB874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MBR膜</w:t>
            </w:r>
          </w:p>
        </w:tc>
        <w:tc>
          <w:tcPr>
            <w:tcW w:w="2110" w:type="pct"/>
            <w:tcBorders>
              <w:tl2br w:val="nil"/>
              <w:tr2bl w:val="nil"/>
            </w:tcBorders>
            <w:shd w:val="clear" w:color="auto" w:fill="auto"/>
            <w:vAlign w:val="center"/>
          </w:tcPr>
          <w:p w14:paraId="1D920CF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535*45*1950mm,内衬加强型中空纤维膜，进口PVDF材</w:t>
            </w:r>
          </w:p>
        </w:tc>
        <w:tc>
          <w:tcPr>
            <w:tcW w:w="336" w:type="pct"/>
            <w:tcBorders>
              <w:tl2br w:val="nil"/>
              <w:tr2bl w:val="nil"/>
            </w:tcBorders>
            <w:shd w:val="clear" w:color="auto" w:fill="auto"/>
            <w:vAlign w:val="center"/>
          </w:tcPr>
          <w:p w14:paraId="58A1F4C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4320</w:t>
            </w:r>
          </w:p>
        </w:tc>
        <w:tc>
          <w:tcPr>
            <w:tcW w:w="415" w:type="pct"/>
            <w:tcBorders>
              <w:tl2br w:val="nil"/>
              <w:tr2bl w:val="nil"/>
            </w:tcBorders>
            <w:shd w:val="clear" w:color="auto" w:fill="auto"/>
            <w:vAlign w:val="center"/>
          </w:tcPr>
          <w:p w14:paraId="68EFEEA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帘</w:t>
            </w:r>
          </w:p>
        </w:tc>
        <w:tc>
          <w:tcPr>
            <w:tcW w:w="804" w:type="pct"/>
            <w:tcBorders>
              <w:tl2br w:val="nil"/>
              <w:tr2bl w:val="nil"/>
            </w:tcBorders>
            <w:shd w:val="clear" w:color="auto" w:fill="auto"/>
            <w:vAlign w:val="center"/>
          </w:tcPr>
          <w:p w14:paraId="125DF259">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059CE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12AE7DB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6F46029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膜架</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60帘/组</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2110" w:type="pct"/>
            <w:tcBorders>
              <w:tl2br w:val="nil"/>
              <w:tr2bl w:val="nil"/>
            </w:tcBorders>
            <w:shd w:val="clear" w:color="auto" w:fill="auto"/>
            <w:vAlign w:val="center"/>
          </w:tcPr>
          <w:p w14:paraId="12C6B1A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3100*1270*2575mm,膜架sus304材质</w:t>
            </w:r>
          </w:p>
        </w:tc>
        <w:tc>
          <w:tcPr>
            <w:tcW w:w="336" w:type="pct"/>
            <w:tcBorders>
              <w:tl2br w:val="nil"/>
              <w:tr2bl w:val="nil"/>
            </w:tcBorders>
            <w:shd w:val="clear" w:color="auto" w:fill="auto"/>
            <w:vAlign w:val="center"/>
          </w:tcPr>
          <w:p w14:paraId="2CD8496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72</w:t>
            </w:r>
          </w:p>
        </w:tc>
        <w:tc>
          <w:tcPr>
            <w:tcW w:w="415" w:type="pct"/>
            <w:tcBorders>
              <w:tl2br w:val="nil"/>
              <w:tr2bl w:val="nil"/>
            </w:tcBorders>
            <w:shd w:val="clear" w:color="auto" w:fill="auto"/>
            <w:vAlign w:val="center"/>
          </w:tcPr>
          <w:p w14:paraId="31506DD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组</w:t>
            </w:r>
          </w:p>
        </w:tc>
        <w:tc>
          <w:tcPr>
            <w:tcW w:w="804" w:type="pct"/>
            <w:tcBorders>
              <w:tl2br w:val="nil"/>
              <w:tr2bl w:val="nil"/>
            </w:tcBorders>
            <w:shd w:val="clear" w:color="auto" w:fill="auto"/>
            <w:vAlign w:val="center"/>
          </w:tcPr>
          <w:p w14:paraId="0CFC83DE">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114A0B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0AF905B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11D128A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膜池导轨</w:t>
            </w:r>
          </w:p>
        </w:tc>
        <w:tc>
          <w:tcPr>
            <w:tcW w:w="2110" w:type="pct"/>
            <w:tcBorders>
              <w:tl2br w:val="nil"/>
              <w:tr2bl w:val="nil"/>
            </w:tcBorders>
            <w:shd w:val="clear" w:color="auto" w:fill="auto"/>
            <w:vAlign w:val="center"/>
          </w:tcPr>
          <w:p w14:paraId="4EDF1D9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φ57钢管，膜池导轨304材质</w:t>
            </w:r>
          </w:p>
        </w:tc>
        <w:tc>
          <w:tcPr>
            <w:tcW w:w="336" w:type="pct"/>
            <w:tcBorders>
              <w:tl2br w:val="nil"/>
              <w:tr2bl w:val="nil"/>
            </w:tcBorders>
            <w:shd w:val="clear" w:color="auto" w:fill="auto"/>
            <w:vAlign w:val="center"/>
          </w:tcPr>
          <w:p w14:paraId="5B3F326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144</w:t>
            </w:r>
          </w:p>
        </w:tc>
        <w:tc>
          <w:tcPr>
            <w:tcW w:w="415" w:type="pct"/>
            <w:tcBorders>
              <w:tl2br w:val="nil"/>
              <w:tr2bl w:val="nil"/>
            </w:tcBorders>
            <w:shd w:val="clear" w:color="auto" w:fill="auto"/>
            <w:vAlign w:val="center"/>
          </w:tcPr>
          <w:p w14:paraId="2FD1A5C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组</w:t>
            </w:r>
          </w:p>
        </w:tc>
        <w:tc>
          <w:tcPr>
            <w:tcW w:w="804" w:type="pct"/>
            <w:tcBorders>
              <w:tl2br w:val="nil"/>
              <w:tr2bl w:val="nil"/>
            </w:tcBorders>
            <w:shd w:val="clear" w:color="auto" w:fill="auto"/>
            <w:vAlign w:val="center"/>
          </w:tcPr>
          <w:p w14:paraId="0086D44B">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0F27B3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20" w:hRule="atLeast"/>
        </w:trPr>
        <w:tc>
          <w:tcPr>
            <w:tcW w:w="445" w:type="pct"/>
            <w:tcBorders>
              <w:tl2br w:val="nil"/>
              <w:tr2bl w:val="nil"/>
            </w:tcBorders>
            <w:shd w:val="clear" w:color="auto" w:fill="auto"/>
            <w:vAlign w:val="center"/>
          </w:tcPr>
          <w:p w14:paraId="359C340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887" w:type="pct"/>
            <w:tcBorders>
              <w:tl2br w:val="nil"/>
              <w:tr2bl w:val="nil"/>
            </w:tcBorders>
            <w:shd w:val="clear" w:color="auto" w:fill="auto"/>
            <w:vAlign w:val="center"/>
          </w:tcPr>
          <w:p w14:paraId="02515FB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电动双梁悬挂式起重机</w:t>
            </w:r>
          </w:p>
        </w:tc>
        <w:tc>
          <w:tcPr>
            <w:tcW w:w="2110" w:type="pct"/>
            <w:tcBorders>
              <w:tl2br w:val="nil"/>
              <w:tr2bl w:val="nil"/>
            </w:tcBorders>
            <w:shd w:val="clear" w:color="auto" w:fill="auto"/>
            <w:vAlign w:val="center"/>
          </w:tcPr>
          <w:p w14:paraId="17D0160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LX-3.0T,Lk=13m,起重高度6m</w:t>
            </w:r>
          </w:p>
        </w:tc>
        <w:tc>
          <w:tcPr>
            <w:tcW w:w="336" w:type="pct"/>
            <w:tcBorders>
              <w:tl2br w:val="nil"/>
              <w:tr2bl w:val="nil"/>
            </w:tcBorders>
            <w:shd w:val="clear" w:color="auto" w:fill="auto"/>
            <w:vAlign w:val="center"/>
          </w:tcPr>
          <w:p w14:paraId="6B33C97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5B71F11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7D0B6E0B">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60F57A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319D569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二</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887" w:type="pct"/>
            <w:tcBorders>
              <w:tl2br w:val="nil"/>
              <w:tr2bl w:val="nil"/>
            </w:tcBorders>
            <w:shd w:val="clear" w:color="auto" w:fill="auto"/>
            <w:vAlign w:val="center"/>
          </w:tcPr>
          <w:p w14:paraId="3DF116A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产水部分</w:t>
            </w:r>
          </w:p>
        </w:tc>
        <w:tc>
          <w:tcPr>
            <w:tcW w:w="2110" w:type="pct"/>
            <w:tcBorders>
              <w:tl2br w:val="nil"/>
              <w:tr2bl w:val="nil"/>
            </w:tcBorders>
            <w:shd w:val="clear" w:color="auto" w:fill="auto"/>
            <w:vAlign w:val="center"/>
          </w:tcPr>
          <w:p w14:paraId="2B9ED9E3">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6" w:type="pct"/>
            <w:tcBorders>
              <w:tl2br w:val="nil"/>
              <w:tr2bl w:val="nil"/>
            </w:tcBorders>
            <w:shd w:val="clear" w:color="auto" w:fill="auto"/>
            <w:vAlign w:val="center"/>
          </w:tcPr>
          <w:p w14:paraId="6F81B2F6">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415" w:type="pct"/>
            <w:tcBorders>
              <w:tl2br w:val="nil"/>
              <w:tr2bl w:val="nil"/>
            </w:tcBorders>
            <w:shd w:val="clear" w:color="auto" w:fill="auto"/>
            <w:vAlign w:val="center"/>
          </w:tcPr>
          <w:p w14:paraId="1B01122A">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04" w:type="pct"/>
            <w:tcBorders>
              <w:tl2br w:val="nil"/>
              <w:tr2bl w:val="nil"/>
            </w:tcBorders>
            <w:shd w:val="clear" w:color="auto" w:fill="auto"/>
            <w:vAlign w:val="center"/>
          </w:tcPr>
          <w:p w14:paraId="016A5C7D">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4ADF353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27ECDD6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24A463C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产水泵</w:t>
            </w:r>
          </w:p>
        </w:tc>
        <w:tc>
          <w:tcPr>
            <w:tcW w:w="2110" w:type="pct"/>
            <w:tcBorders>
              <w:tl2br w:val="nil"/>
              <w:tr2bl w:val="nil"/>
            </w:tcBorders>
            <w:shd w:val="clear" w:color="auto" w:fill="auto"/>
            <w:vAlign w:val="center"/>
          </w:tcPr>
          <w:p w14:paraId="7E70285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Q=200m3/h,H=38m,N=30KW</w:t>
            </w:r>
          </w:p>
        </w:tc>
        <w:tc>
          <w:tcPr>
            <w:tcW w:w="336" w:type="pct"/>
            <w:tcBorders>
              <w:tl2br w:val="nil"/>
              <w:tr2bl w:val="nil"/>
            </w:tcBorders>
            <w:shd w:val="clear" w:color="auto" w:fill="auto"/>
            <w:vAlign w:val="center"/>
          </w:tcPr>
          <w:p w14:paraId="642F523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415" w:type="pct"/>
            <w:tcBorders>
              <w:tl2br w:val="nil"/>
              <w:tr2bl w:val="nil"/>
            </w:tcBorders>
            <w:shd w:val="clear" w:color="auto" w:fill="auto"/>
            <w:vAlign w:val="center"/>
          </w:tcPr>
          <w:p w14:paraId="1A3B4BE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4FB93EF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8用2备</w:t>
            </w:r>
          </w:p>
        </w:tc>
      </w:tr>
      <w:tr w14:paraId="01E0B0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305F8EF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6EC42FC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引水罐</w:t>
            </w:r>
          </w:p>
        </w:tc>
        <w:tc>
          <w:tcPr>
            <w:tcW w:w="2110" w:type="pct"/>
            <w:tcBorders>
              <w:tl2br w:val="nil"/>
              <w:tr2bl w:val="nil"/>
            </w:tcBorders>
            <w:shd w:val="clear" w:color="auto" w:fill="auto"/>
            <w:vAlign w:val="center"/>
          </w:tcPr>
          <w:p w14:paraId="79473C1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D=1.3m,H=2.3m,V=3m3</w:t>
            </w:r>
          </w:p>
        </w:tc>
        <w:tc>
          <w:tcPr>
            <w:tcW w:w="336" w:type="pct"/>
            <w:tcBorders>
              <w:tl2br w:val="nil"/>
              <w:tr2bl w:val="nil"/>
            </w:tcBorders>
            <w:shd w:val="clear" w:color="auto" w:fill="auto"/>
            <w:vAlign w:val="center"/>
          </w:tcPr>
          <w:p w14:paraId="4B7E7B7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415" w:type="pct"/>
            <w:tcBorders>
              <w:tl2br w:val="nil"/>
              <w:tr2bl w:val="nil"/>
            </w:tcBorders>
            <w:shd w:val="clear" w:color="auto" w:fill="auto"/>
            <w:vAlign w:val="center"/>
          </w:tcPr>
          <w:p w14:paraId="42017EA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75FBD9BF">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3B6062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70" w:hRule="atLeast"/>
        </w:trPr>
        <w:tc>
          <w:tcPr>
            <w:tcW w:w="445" w:type="pct"/>
            <w:tcBorders>
              <w:tl2br w:val="nil"/>
              <w:tr2bl w:val="nil"/>
            </w:tcBorders>
            <w:shd w:val="clear" w:color="auto" w:fill="auto"/>
            <w:vAlign w:val="center"/>
          </w:tcPr>
          <w:p w14:paraId="56CE401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7B37476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泵出口止回阀</w:t>
            </w:r>
          </w:p>
        </w:tc>
        <w:tc>
          <w:tcPr>
            <w:tcW w:w="2110" w:type="pct"/>
            <w:tcBorders>
              <w:tl2br w:val="nil"/>
              <w:tr2bl w:val="nil"/>
            </w:tcBorders>
            <w:shd w:val="clear" w:color="auto" w:fill="auto"/>
            <w:vAlign w:val="center"/>
          </w:tcPr>
          <w:p w14:paraId="79CCC18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DN200</w:t>
            </w:r>
          </w:p>
        </w:tc>
        <w:tc>
          <w:tcPr>
            <w:tcW w:w="336" w:type="pct"/>
            <w:tcBorders>
              <w:tl2br w:val="nil"/>
              <w:tr2bl w:val="nil"/>
            </w:tcBorders>
            <w:shd w:val="clear" w:color="auto" w:fill="auto"/>
            <w:vAlign w:val="center"/>
          </w:tcPr>
          <w:p w14:paraId="3C94C8A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415" w:type="pct"/>
            <w:tcBorders>
              <w:tl2br w:val="nil"/>
              <w:tr2bl w:val="nil"/>
            </w:tcBorders>
            <w:shd w:val="clear" w:color="auto" w:fill="auto"/>
            <w:vAlign w:val="center"/>
          </w:tcPr>
          <w:p w14:paraId="2BBCD32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0F1161D2">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32DA58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0" w:hRule="atLeast"/>
        </w:trPr>
        <w:tc>
          <w:tcPr>
            <w:tcW w:w="445" w:type="pct"/>
            <w:tcBorders>
              <w:tl2br w:val="nil"/>
              <w:tr2bl w:val="nil"/>
            </w:tcBorders>
            <w:shd w:val="clear" w:color="auto" w:fill="auto"/>
            <w:vAlign w:val="center"/>
          </w:tcPr>
          <w:p w14:paraId="1D5F0B5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887" w:type="pct"/>
            <w:tcBorders>
              <w:tl2br w:val="nil"/>
              <w:tr2bl w:val="nil"/>
            </w:tcBorders>
            <w:shd w:val="clear" w:color="auto" w:fill="auto"/>
            <w:vAlign w:val="center"/>
          </w:tcPr>
          <w:p w14:paraId="7334EBB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泵进口大小头</w:t>
            </w:r>
          </w:p>
        </w:tc>
        <w:tc>
          <w:tcPr>
            <w:tcW w:w="2110" w:type="pct"/>
            <w:tcBorders>
              <w:tl2br w:val="nil"/>
              <w:tr2bl w:val="nil"/>
            </w:tcBorders>
            <w:shd w:val="clear" w:color="auto" w:fill="auto"/>
            <w:vAlign w:val="center"/>
          </w:tcPr>
          <w:p w14:paraId="45FDD78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DN250*100</w:t>
            </w:r>
          </w:p>
        </w:tc>
        <w:tc>
          <w:tcPr>
            <w:tcW w:w="336" w:type="pct"/>
            <w:tcBorders>
              <w:tl2br w:val="nil"/>
              <w:tr2bl w:val="nil"/>
            </w:tcBorders>
            <w:shd w:val="clear" w:color="auto" w:fill="auto"/>
            <w:vAlign w:val="center"/>
          </w:tcPr>
          <w:p w14:paraId="7F6C660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415" w:type="pct"/>
            <w:tcBorders>
              <w:tl2br w:val="nil"/>
              <w:tr2bl w:val="nil"/>
            </w:tcBorders>
            <w:shd w:val="clear" w:color="auto" w:fill="auto"/>
            <w:vAlign w:val="center"/>
          </w:tcPr>
          <w:p w14:paraId="22D608F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0621D5B3">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DCC67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44B9E86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887" w:type="pct"/>
            <w:tcBorders>
              <w:tl2br w:val="nil"/>
              <w:tr2bl w:val="nil"/>
            </w:tcBorders>
            <w:shd w:val="clear" w:color="auto" w:fill="auto"/>
            <w:vAlign w:val="center"/>
          </w:tcPr>
          <w:p w14:paraId="7F3EA66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泵进口弹性饶头</w:t>
            </w:r>
          </w:p>
        </w:tc>
        <w:tc>
          <w:tcPr>
            <w:tcW w:w="2110" w:type="pct"/>
            <w:tcBorders>
              <w:tl2br w:val="nil"/>
              <w:tr2bl w:val="nil"/>
            </w:tcBorders>
            <w:shd w:val="clear" w:color="auto" w:fill="auto"/>
            <w:vAlign w:val="center"/>
          </w:tcPr>
          <w:p w14:paraId="23B118B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DN250</w:t>
            </w:r>
          </w:p>
        </w:tc>
        <w:tc>
          <w:tcPr>
            <w:tcW w:w="336" w:type="pct"/>
            <w:tcBorders>
              <w:tl2br w:val="nil"/>
              <w:tr2bl w:val="nil"/>
            </w:tcBorders>
            <w:shd w:val="clear" w:color="auto" w:fill="auto"/>
            <w:vAlign w:val="center"/>
          </w:tcPr>
          <w:p w14:paraId="015EA9D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415" w:type="pct"/>
            <w:tcBorders>
              <w:tl2br w:val="nil"/>
              <w:tr2bl w:val="nil"/>
            </w:tcBorders>
            <w:shd w:val="clear" w:color="auto" w:fill="auto"/>
            <w:vAlign w:val="center"/>
          </w:tcPr>
          <w:p w14:paraId="190E9CC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0C948853">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6038C3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2F404A1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887" w:type="pct"/>
            <w:tcBorders>
              <w:tl2br w:val="nil"/>
              <w:tr2bl w:val="nil"/>
            </w:tcBorders>
            <w:shd w:val="clear" w:color="auto" w:fill="auto"/>
            <w:vAlign w:val="center"/>
          </w:tcPr>
          <w:p w14:paraId="5B63EF5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泵出口大小头</w:t>
            </w:r>
          </w:p>
        </w:tc>
        <w:tc>
          <w:tcPr>
            <w:tcW w:w="2110" w:type="pct"/>
            <w:tcBorders>
              <w:tl2br w:val="nil"/>
              <w:tr2bl w:val="nil"/>
            </w:tcBorders>
            <w:shd w:val="clear" w:color="auto" w:fill="auto"/>
            <w:vAlign w:val="center"/>
          </w:tcPr>
          <w:p w14:paraId="1D60DE0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DN200*80</w:t>
            </w:r>
          </w:p>
        </w:tc>
        <w:tc>
          <w:tcPr>
            <w:tcW w:w="336" w:type="pct"/>
            <w:tcBorders>
              <w:tl2br w:val="nil"/>
              <w:tr2bl w:val="nil"/>
            </w:tcBorders>
            <w:shd w:val="clear" w:color="auto" w:fill="auto"/>
            <w:vAlign w:val="center"/>
          </w:tcPr>
          <w:p w14:paraId="3CFCB99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415" w:type="pct"/>
            <w:tcBorders>
              <w:tl2br w:val="nil"/>
              <w:tr2bl w:val="nil"/>
            </w:tcBorders>
            <w:shd w:val="clear" w:color="auto" w:fill="auto"/>
            <w:vAlign w:val="center"/>
          </w:tcPr>
          <w:p w14:paraId="6BE8C33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06D69724">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61A31D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0" w:hRule="atLeast"/>
        </w:trPr>
        <w:tc>
          <w:tcPr>
            <w:tcW w:w="445" w:type="pct"/>
            <w:tcBorders>
              <w:tl2br w:val="nil"/>
              <w:tr2bl w:val="nil"/>
            </w:tcBorders>
            <w:shd w:val="clear" w:color="auto" w:fill="auto"/>
            <w:vAlign w:val="center"/>
          </w:tcPr>
          <w:p w14:paraId="73EB155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c>
          <w:tcPr>
            <w:tcW w:w="887" w:type="pct"/>
            <w:tcBorders>
              <w:tl2br w:val="nil"/>
              <w:tr2bl w:val="nil"/>
            </w:tcBorders>
            <w:shd w:val="clear" w:color="auto" w:fill="auto"/>
            <w:vAlign w:val="center"/>
          </w:tcPr>
          <w:p w14:paraId="668AF3B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泵进口手动蝶阀</w:t>
            </w:r>
          </w:p>
        </w:tc>
        <w:tc>
          <w:tcPr>
            <w:tcW w:w="2110" w:type="pct"/>
            <w:tcBorders>
              <w:tl2br w:val="nil"/>
              <w:tr2bl w:val="nil"/>
            </w:tcBorders>
            <w:shd w:val="clear" w:color="auto" w:fill="auto"/>
            <w:vAlign w:val="center"/>
          </w:tcPr>
          <w:p w14:paraId="1B35B34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DN250</w:t>
            </w:r>
          </w:p>
        </w:tc>
        <w:tc>
          <w:tcPr>
            <w:tcW w:w="336" w:type="pct"/>
            <w:tcBorders>
              <w:tl2br w:val="nil"/>
              <w:tr2bl w:val="nil"/>
            </w:tcBorders>
            <w:shd w:val="clear" w:color="auto" w:fill="auto"/>
            <w:vAlign w:val="center"/>
          </w:tcPr>
          <w:p w14:paraId="79140B1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18</w:t>
            </w:r>
          </w:p>
        </w:tc>
        <w:tc>
          <w:tcPr>
            <w:tcW w:w="415" w:type="pct"/>
            <w:tcBorders>
              <w:tl2br w:val="nil"/>
              <w:tr2bl w:val="nil"/>
            </w:tcBorders>
            <w:shd w:val="clear" w:color="auto" w:fill="auto"/>
            <w:vAlign w:val="center"/>
          </w:tcPr>
          <w:p w14:paraId="54287A4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7E7BFAE9">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3770BD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80" w:hRule="atLeast"/>
        </w:trPr>
        <w:tc>
          <w:tcPr>
            <w:tcW w:w="445" w:type="pct"/>
            <w:tcBorders>
              <w:tl2br w:val="nil"/>
              <w:tr2bl w:val="nil"/>
            </w:tcBorders>
            <w:shd w:val="clear" w:color="auto" w:fill="auto"/>
            <w:vAlign w:val="center"/>
          </w:tcPr>
          <w:p w14:paraId="79C47E6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887" w:type="pct"/>
            <w:tcBorders>
              <w:tl2br w:val="nil"/>
              <w:tr2bl w:val="nil"/>
            </w:tcBorders>
            <w:shd w:val="clear" w:color="auto" w:fill="auto"/>
            <w:vAlign w:val="center"/>
          </w:tcPr>
          <w:p w14:paraId="1EAFCFD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泵出口手动蝶阀</w:t>
            </w:r>
          </w:p>
        </w:tc>
        <w:tc>
          <w:tcPr>
            <w:tcW w:w="2110" w:type="pct"/>
            <w:tcBorders>
              <w:tl2br w:val="nil"/>
              <w:tr2bl w:val="nil"/>
            </w:tcBorders>
            <w:shd w:val="clear" w:color="auto" w:fill="auto"/>
            <w:vAlign w:val="center"/>
          </w:tcPr>
          <w:p w14:paraId="487628B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DN200</w:t>
            </w:r>
          </w:p>
        </w:tc>
        <w:tc>
          <w:tcPr>
            <w:tcW w:w="336" w:type="pct"/>
            <w:tcBorders>
              <w:tl2br w:val="nil"/>
              <w:tr2bl w:val="nil"/>
            </w:tcBorders>
            <w:shd w:val="clear" w:color="auto" w:fill="auto"/>
            <w:vAlign w:val="center"/>
          </w:tcPr>
          <w:p w14:paraId="7B0F37F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18</w:t>
            </w:r>
          </w:p>
        </w:tc>
        <w:tc>
          <w:tcPr>
            <w:tcW w:w="415" w:type="pct"/>
            <w:tcBorders>
              <w:tl2br w:val="nil"/>
              <w:tr2bl w:val="nil"/>
            </w:tcBorders>
            <w:shd w:val="clear" w:color="auto" w:fill="auto"/>
            <w:vAlign w:val="center"/>
          </w:tcPr>
          <w:p w14:paraId="432F007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4DD2173C">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DB96F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0" w:hRule="atLeast"/>
        </w:trPr>
        <w:tc>
          <w:tcPr>
            <w:tcW w:w="445" w:type="pct"/>
            <w:tcBorders>
              <w:tl2br w:val="nil"/>
              <w:tr2bl w:val="nil"/>
            </w:tcBorders>
            <w:shd w:val="clear" w:color="auto" w:fill="auto"/>
            <w:vAlign w:val="center"/>
          </w:tcPr>
          <w:p w14:paraId="1AF9598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w:t>
            </w:r>
          </w:p>
        </w:tc>
        <w:tc>
          <w:tcPr>
            <w:tcW w:w="887" w:type="pct"/>
            <w:tcBorders>
              <w:tl2br w:val="nil"/>
              <w:tr2bl w:val="nil"/>
            </w:tcBorders>
            <w:shd w:val="clear" w:color="auto" w:fill="auto"/>
            <w:vAlign w:val="center"/>
          </w:tcPr>
          <w:p w14:paraId="45E0FFA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产水电磁流量计</w:t>
            </w:r>
          </w:p>
        </w:tc>
        <w:tc>
          <w:tcPr>
            <w:tcW w:w="2110" w:type="pct"/>
            <w:tcBorders>
              <w:tl2br w:val="nil"/>
              <w:tr2bl w:val="nil"/>
            </w:tcBorders>
            <w:shd w:val="clear" w:color="auto" w:fill="auto"/>
            <w:vAlign w:val="center"/>
          </w:tcPr>
          <w:p w14:paraId="15DD231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200m3/h,内衬聚四氟乙烯，4-20mA,分体式</w:t>
            </w:r>
          </w:p>
        </w:tc>
        <w:tc>
          <w:tcPr>
            <w:tcW w:w="336" w:type="pct"/>
            <w:tcBorders>
              <w:tl2br w:val="nil"/>
              <w:tr2bl w:val="nil"/>
            </w:tcBorders>
            <w:shd w:val="clear" w:color="auto" w:fill="auto"/>
            <w:vAlign w:val="center"/>
          </w:tcPr>
          <w:p w14:paraId="228022B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415" w:type="pct"/>
            <w:tcBorders>
              <w:tl2br w:val="nil"/>
              <w:tr2bl w:val="nil"/>
            </w:tcBorders>
            <w:shd w:val="clear" w:color="auto" w:fill="auto"/>
            <w:vAlign w:val="center"/>
          </w:tcPr>
          <w:p w14:paraId="3878757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09F9784F">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532C98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5" w:hRule="atLeast"/>
        </w:trPr>
        <w:tc>
          <w:tcPr>
            <w:tcW w:w="445" w:type="pct"/>
            <w:tcBorders>
              <w:tl2br w:val="nil"/>
              <w:tr2bl w:val="nil"/>
            </w:tcBorders>
            <w:shd w:val="clear" w:color="auto" w:fill="auto"/>
            <w:vAlign w:val="center"/>
          </w:tcPr>
          <w:p w14:paraId="0CDC30E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887" w:type="pct"/>
            <w:tcBorders>
              <w:tl2br w:val="nil"/>
              <w:tr2bl w:val="nil"/>
            </w:tcBorders>
            <w:shd w:val="clear" w:color="auto" w:fill="auto"/>
            <w:vAlign w:val="center"/>
          </w:tcPr>
          <w:p w14:paraId="3AF3918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产水主管手动蝶阀</w:t>
            </w:r>
          </w:p>
        </w:tc>
        <w:tc>
          <w:tcPr>
            <w:tcW w:w="2110" w:type="pct"/>
            <w:tcBorders>
              <w:tl2br w:val="nil"/>
              <w:tr2bl w:val="nil"/>
            </w:tcBorders>
            <w:shd w:val="clear" w:color="auto" w:fill="auto"/>
            <w:vAlign w:val="center"/>
          </w:tcPr>
          <w:p w14:paraId="54E84FF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DN200</w:t>
            </w:r>
          </w:p>
        </w:tc>
        <w:tc>
          <w:tcPr>
            <w:tcW w:w="336" w:type="pct"/>
            <w:tcBorders>
              <w:tl2br w:val="nil"/>
              <w:tr2bl w:val="nil"/>
            </w:tcBorders>
            <w:shd w:val="clear" w:color="auto" w:fill="auto"/>
            <w:vAlign w:val="center"/>
          </w:tcPr>
          <w:p w14:paraId="00E1F8A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415" w:type="pct"/>
            <w:tcBorders>
              <w:tl2br w:val="nil"/>
              <w:tr2bl w:val="nil"/>
            </w:tcBorders>
            <w:shd w:val="clear" w:color="auto" w:fill="auto"/>
            <w:vAlign w:val="center"/>
          </w:tcPr>
          <w:p w14:paraId="1C4E528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1A9D9889">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0A2E2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5" w:hRule="atLeast"/>
        </w:trPr>
        <w:tc>
          <w:tcPr>
            <w:tcW w:w="445" w:type="pct"/>
            <w:tcBorders>
              <w:tl2br w:val="nil"/>
              <w:tr2bl w:val="nil"/>
            </w:tcBorders>
            <w:shd w:val="clear" w:color="auto" w:fill="auto"/>
            <w:vAlign w:val="center"/>
          </w:tcPr>
          <w:p w14:paraId="1971934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w:t>
            </w:r>
          </w:p>
        </w:tc>
        <w:tc>
          <w:tcPr>
            <w:tcW w:w="887" w:type="pct"/>
            <w:tcBorders>
              <w:tl2br w:val="nil"/>
              <w:tr2bl w:val="nil"/>
            </w:tcBorders>
            <w:shd w:val="clear" w:color="auto" w:fill="auto"/>
            <w:vAlign w:val="center"/>
          </w:tcPr>
          <w:p w14:paraId="709FA3A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产水主管电动阀</w:t>
            </w:r>
          </w:p>
        </w:tc>
        <w:tc>
          <w:tcPr>
            <w:tcW w:w="2110" w:type="pct"/>
            <w:tcBorders>
              <w:tl2br w:val="nil"/>
              <w:tr2bl w:val="nil"/>
            </w:tcBorders>
            <w:shd w:val="clear" w:color="auto" w:fill="auto"/>
            <w:vAlign w:val="center"/>
          </w:tcPr>
          <w:p w14:paraId="7EF5342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DN200</w:t>
            </w:r>
          </w:p>
        </w:tc>
        <w:tc>
          <w:tcPr>
            <w:tcW w:w="336" w:type="pct"/>
            <w:tcBorders>
              <w:tl2br w:val="nil"/>
              <w:tr2bl w:val="nil"/>
            </w:tcBorders>
            <w:shd w:val="clear" w:color="auto" w:fill="auto"/>
            <w:vAlign w:val="center"/>
          </w:tcPr>
          <w:p w14:paraId="14BE776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415" w:type="pct"/>
            <w:tcBorders>
              <w:tl2br w:val="nil"/>
              <w:tr2bl w:val="nil"/>
            </w:tcBorders>
            <w:shd w:val="clear" w:color="auto" w:fill="auto"/>
            <w:vAlign w:val="center"/>
          </w:tcPr>
          <w:p w14:paraId="0A07ACB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4BFEA89B">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148B6A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10" w:hRule="atLeast"/>
        </w:trPr>
        <w:tc>
          <w:tcPr>
            <w:tcW w:w="445" w:type="pct"/>
            <w:tcBorders>
              <w:tl2br w:val="nil"/>
              <w:tr2bl w:val="nil"/>
            </w:tcBorders>
            <w:shd w:val="clear" w:color="auto" w:fill="auto"/>
            <w:vAlign w:val="center"/>
          </w:tcPr>
          <w:p w14:paraId="7B59236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w:t>
            </w:r>
          </w:p>
        </w:tc>
        <w:tc>
          <w:tcPr>
            <w:tcW w:w="887" w:type="pct"/>
            <w:tcBorders>
              <w:tl2br w:val="nil"/>
              <w:tr2bl w:val="nil"/>
            </w:tcBorders>
            <w:shd w:val="clear" w:color="auto" w:fill="auto"/>
            <w:vAlign w:val="center"/>
          </w:tcPr>
          <w:p w14:paraId="5296578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膜组件产水手动蝶阀</w:t>
            </w:r>
          </w:p>
        </w:tc>
        <w:tc>
          <w:tcPr>
            <w:tcW w:w="2110" w:type="pct"/>
            <w:tcBorders>
              <w:tl2br w:val="nil"/>
              <w:tr2bl w:val="nil"/>
            </w:tcBorders>
            <w:shd w:val="clear" w:color="auto" w:fill="auto"/>
            <w:vAlign w:val="center"/>
          </w:tcPr>
          <w:p w14:paraId="6523F77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DN100</w:t>
            </w:r>
          </w:p>
        </w:tc>
        <w:tc>
          <w:tcPr>
            <w:tcW w:w="336" w:type="pct"/>
            <w:tcBorders>
              <w:tl2br w:val="nil"/>
              <w:tr2bl w:val="nil"/>
            </w:tcBorders>
            <w:shd w:val="clear" w:color="auto" w:fill="auto"/>
            <w:vAlign w:val="center"/>
          </w:tcPr>
          <w:p w14:paraId="4511DC9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72</w:t>
            </w:r>
          </w:p>
        </w:tc>
        <w:tc>
          <w:tcPr>
            <w:tcW w:w="415" w:type="pct"/>
            <w:tcBorders>
              <w:tl2br w:val="nil"/>
              <w:tr2bl w:val="nil"/>
            </w:tcBorders>
            <w:shd w:val="clear" w:color="auto" w:fill="auto"/>
            <w:vAlign w:val="center"/>
          </w:tcPr>
          <w:p w14:paraId="51A909E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0CB96B31">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E764C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107F739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w:t>
            </w:r>
          </w:p>
        </w:tc>
        <w:tc>
          <w:tcPr>
            <w:tcW w:w="887" w:type="pct"/>
            <w:tcBorders>
              <w:tl2br w:val="nil"/>
              <w:tr2bl w:val="nil"/>
            </w:tcBorders>
            <w:shd w:val="clear" w:color="auto" w:fill="auto"/>
            <w:vAlign w:val="center"/>
          </w:tcPr>
          <w:p w14:paraId="22D3D1F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泵就地压力表</w:t>
            </w:r>
          </w:p>
        </w:tc>
        <w:tc>
          <w:tcPr>
            <w:tcW w:w="2110" w:type="pct"/>
            <w:tcBorders>
              <w:tl2br w:val="nil"/>
              <w:tr2bl w:val="nil"/>
            </w:tcBorders>
            <w:shd w:val="clear" w:color="auto" w:fill="auto"/>
            <w:vAlign w:val="center"/>
          </w:tcPr>
          <w:p w14:paraId="5FB767B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0-0.6MPa,油封不锈钢</w:t>
            </w:r>
          </w:p>
        </w:tc>
        <w:tc>
          <w:tcPr>
            <w:tcW w:w="336" w:type="pct"/>
            <w:tcBorders>
              <w:tl2br w:val="nil"/>
              <w:tr2bl w:val="nil"/>
            </w:tcBorders>
            <w:shd w:val="clear" w:color="auto" w:fill="auto"/>
            <w:vAlign w:val="center"/>
          </w:tcPr>
          <w:p w14:paraId="69C7252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415" w:type="pct"/>
            <w:tcBorders>
              <w:tl2br w:val="nil"/>
              <w:tr2bl w:val="nil"/>
            </w:tcBorders>
            <w:shd w:val="clear" w:color="auto" w:fill="auto"/>
            <w:vAlign w:val="center"/>
          </w:tcPr>
          <w:p w14:paraId="0D09500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7EB27CA9">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1C95C7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1926111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14</w:t>
            </w:r>
          </w:p>
        </w:tc>
        <w:tc>
          <w:tcPr>
            <w:tcW w:w="887" w:type="pct"/>
            <w:tcBorders>
              <w:tl2br w:val="nil"/>
              <w:tr2bl w:val="nil"/>
            </w:tcBorders>
            <w:shd w:val="clear" w:color="auto" w:fill="auto"/>
            <w:vAlign w:val="center"/>
          </w:tcPr>
          <w:p w14:paraId="56F9013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产水管就地压力表</w:t>
            </w:r>
          </w:p>
        </w:tc>
        <w:tc>
          <w:tcPr>
            <w:tcW w:w="2110" w:type="pct"/>
            <w:tcBorders>
              <w:tl2br w:val="nil"/>
              <w:tr2bl w:val="nil"/>
            </w:tcBorders>
            <w:shd w:val="clear" w:color="auto" w:fill="auto"/>
            <w:vAlign w:val="center"/>
          </w:tcPr>
          <w:p w14:paraId="0069292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负0.1-0.6MPa</w:t>
            </w:r>
          </w:p>
        </w:tc>
        <w:tc>
          <w:tcPr>
            <w:tcW w:w="336" w:type="pct"/>
            <w:tcBorders>
              <w:tl2br w:val="nil"/>
              <w:tr2bl w:val="nil"/>
            </w:tcBorders>
            <w:shd w:val="clear" w:color="auto" w:fill="auto"/>
            <w:vAlign w:val="center"/>
          </w:tcPr>
          <w:p w14:paraId="37BC77B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415" w:type="pct"/>
            <w:tcBorders>
              <w:tl2br w:val="nil"/>
              <w:tr2bl w:val="nil"/>
            </w:tcBorders>
            <w:shd w:val="clear" w:color="auto" w:fill="auto"/>
            <w:vAlign w:val="center"/>
          </w:tcPr>
          <w:p w14:paraId="7120D8B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3DD82BCA">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04FD1A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4E81B50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w:t>
            </w:r>
          </w:p>
        </w:tc>
        <w:tc>
          <w:tcPr>
            <w:tcW w:w="887" w:type="pct"/>
            <w:tcBorders>
              <w:tl2br w:val="nil"/>
              <w:tr2bl w:val="nil"/>
            </w:tcBorders>
            <w:shd w:val="clear" w:color="auto" w:fill="auto"/>
            <w:vAlign w:val="center"/>
          </w:tcPr>
          <w:p w14:paraId="660D61C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产水压力变送器</w:t>
            </w:r>
          </w:p>
        </w:tc>
        <w:tc>
          <w:tcPr>
            <w:tcW w:w="2110" w:type="pct"/>
            <w:tcBorders>
              <w:tl2br w:val="nil"/>
              <w:tr2bl w:val="nil"/>
            </w:tcBorders>
            <w:shd w:val="clear" w:color="auto" w:fill="auto"/>
            <w:vAlign w:val="center"/>
          </w:tcPr>
          <w:p w14:paraId="5E4E406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±100KPa</w:t>
            </w:r>
          </w:p>
        </w:tc>
        <w:tc>
          <w:tcPr>
            <w:tcW w:w="336" w:type="pct"/>
            <w:tcBorders>
              <w:tl2br w:val="nil"/>
              <w:tr2bl w:val="nil"/>
            </w:tcBorders>
            <w:shd w:val="clear" w:color="auto" w:fill="auto"/>
            <w:vAlign w:val="center"/>
          </w:tcPr>
          <w:p w14:paraId="26F7E3F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415" w:type="pct"/>
            <w:tcBorders>
              <w:tl2br w:val="nil"/>
              <w:tr2bl w:val="nil"/>
            </w:tcBorders>
            <w:shd w:val="clear" w:color="auto" w:fill="auto"/>
            <w:vAlign w:val="center"/>
          </w:tcPr>
          <w:p w14:paraId="39FCA37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6756CFED">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580EF4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2A5676C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16</w:t>
            </w:r>
          </w:p>
        </w:tc>
        <w:tc>
          <w:tcPr>
            <w:tcW w:w="887" w:type="pct"/>
            <w:tcBorders>
              <w:tl2br w:val="nil"/>
              <w:tr2bl w:val="nil"/>
            </w:tcBorders>
            <w:shd w:val="clear" w:color="auto" w:fill="auto"/>
            <w:vAlign w:val="center"/>
          </w:tcPr>
          <w:p w14:paraId="13837B3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真空泵</w:t>
            </w:r>
          </w:p>
        </w:tc>
        <w:tc>
          <w:tcPr>
            <w:tcW w:w="2110" w:type="pct"/>
            <w:tcBorders>
              <w:tl2br w:val="nil"/>
              <w:tr2bl w:val="nil"/>
            </w:tcBorders>
            <w:shd w:val="clear" w:color="auto" w:fill="auto"/>
            <w:vAlign w:val="center"/>
          </w:tcPr>
          <w:p w14:paraId="76A8852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Q=2.74m3/min,-53.3KPa,N=5.5KW</w:t>
            </w:r>
          </w:p>
        </w:tc>
        <w:tc>
          <w:tcPr>
            <w:tcW w:w="336" w:type="pct"/>
            <w:tcBorders>
              <w:tl2br w:val="nil"/>
              <w:tr2bl w:val="nil"/>
            </w:tcBorders>
            <w:shd w:val="clear" w:color="auto" w:fill="auto"/>
            <w:vAlign w:val="center"/>
          </w:tcPr>
          <w:p w14:paraId="24FF1DC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6595FC4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2BE40AEB">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5371F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5845356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17</w:t>
            </w:r>
          </w:p>
        </w:tc>
        <w:tc>
          <w:tcPr>
            <w:tcW w:w="887" w:type="pct"/>
            <w:tcBorders>
              <w:tl2br w:val="nil"/>
              <w:tr2bl w:val="nil"/>
            </w:tcBorders>
            <w:shd w:val="clear" w:color="auto" w:fill="auto"/>
            <w:vAlign w:val="center"/>
          </w:tcPr>
          <w:p w14:paraId="09D37A2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真空罐</w:t>
            </w:r>
          </w:p>
        </w:tc>
        <w:tc>
          <w:tcPr>
            <w:tcW w:w="2110" w:type="pct"/>
            <w:tcBorders>
              <w:tl2br w:val="nil"/>
              <w:tr2bl w:val="nil"/>
            </w:tcBorders>
            <w:shd w:val="clear" w:color="auto" w:fill="auto"/>
            <w:vAlign w:val="center"/>
          </w:tcPr>
          <w:p w14:paraId="3498339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D=1.3m,H=2.3m,V=3m3</w:t>
            </w:r>
          </w:p>
        </w:tc>
        <w:tc>
          <w:tcPr>
            <w:tcW w:w="336" w:type="pct"/>
            <w:tcBorders>
              <w:tl2br w:val="nil"/>
              <w:tr2bl w:val="nil"/>
            </w:tcBorders>
            <w:shd w:val="clear" w:color="auto" w:fill="auto"/>
            <w:vAlign w:val="center"/>
          </w:tcPr>
          <w:p w14:paraId="7E53C8D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79662D8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36332E06">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07CA09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3FFF497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三</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4554" w:type="pct"/>
            <w:gridSpan w:val="5"/>
            <w:tcBorders>
              <w:tl2br w:val="nil"/>
              <w:tr2bl w:val="nil"/>
            </w:tcBorders>
            <w:shd w:val="clear" w:color="auto" w:fill="auto"/>
            <w:vAlign w:val="center"/>
          </w:tcPr>
          <w:p w14:paraId="0CD31E8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反洗部分</w:t>
            </w:r>
          </w:p>
        </w:tc>
      </w:tr>
      <w:tr w14:paraId="23399F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0" w:hRule="atLeast"/>
        </w:trPr>
        <w:tc>
          <w:tcPr>
            <w:tcW w:w="445" w:type="pct"/>
            <w:tcBorders>
              <w:tl2br w:val="nil"/>
              <w:tr2bl w:val="nil"/>
            </w:tcBorders>
            <w:shd w:val="clear" w:color="auto" w:fill="auto"/>
            <w:vAlign w:val="center"/>
          </w:tcPr>
          <w:p w14:paraId="2BA1B51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766E210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反洗泵</w:t>
            </w:r>
          </w:p>
        </w:tc>
        <w:tc>
          <w:tcPr>
            <w:tcW w:w="2110" w:type="pct"/>
            <w:tcBorders>
              <w:tl2br w:val="nil"/>
              <w:tr2bl w:val="nil"/>
            </w:tcBorders>
            <w:shd w:val="clear" w:color="auto" w:fill="auto"/>
            <w:vAlign w:val="center"/>
          </w:tcPr>
          <w:p w14:paraId="72021F7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Q=280m3/h,H=40m,N=90KW</w:t>
            </w:r>
          </w:p>
        </w:tc>
        <w:tc>
          <w:tcPr>
            <w:tcW w:w="336" w:type="pct"/>
            <w:tcBorders>
              <w:tl2br w:val="nil"/>
              <w:tr2bl w:val="nil"/>
            </w:tcBorders>
            <w:shd w:val="clear" w:color="auto" w:fill="auto"/>
            <w:vAlign w:val="center"/>
          </w:tcPr>
          <w:p w14:paraId="1605758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4576BAC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75C86D0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1用1备</w:t>
            </w:r>
          </w:p>
        </w:tc>
      </w:tr>
      <w:tr w14:paraId="76E1C0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5B37B29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515EF79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泵进口手动蝶阀</w:t>
            </w:r>
          </w:p>
        </w:tc>
        <w:tc>
          <w:tcPr>
            <w:tcW w:w="2110" w:type="pct"/>
            <w:tcBorders>
              <w:tl2br w:val="nil"/>
              <w:tr2bl w:val="nil"/>
            </w:tcBorders>
            <w:shd w:val="clear" w:color="auto" w:fill="auto"/>
            <w:vAlign w:val="center"/>
          </w:tcPr>
          <w:p w14:paraId="7E3DF3F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DN300</w:t>
            </w:r>
          </w:p>
        </w:tc>
        <w:tc>
          <w:tcPr>
            <w:tcW w:w="336" w:type="pct"/>
            <w:tcBorders>
              <w:tl2br w:val="nil"/>
              <w:tr2bl w:val="nil"/>
            </w:tcBorders>
            <w:shd w:val="clear" w:color="auto" w:fill="auto"/>
            <w:vAlign w:val="center"/>
          </w:tcPr>
          <w:p w14:paraId="73960F3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61342C8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20CAABC7">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422FF1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4158242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1C4EBE1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泵进口大小头</w:t>
            </w:r>
          </w:p>
        </w:tc>
        <w:tc>
          <w:tcPr>
            <w:tcW w:w="2110" w:type="pct"/>
            <w:tcBorders>
              <w:tl2br w:val="nil"/>
              <w:tr2bl w:val="nil"/>
            </w:tcBorders>
            <w:shd w:val="clear" w:color="auto" w:fill="auto"/>
            <w:vAlign w:val="center"/>
          </w:tcPr>
          <w:p w14:paraId="6974D05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DN300*200</w:t>
            </w:r>
          </w:p>
        </w:tc>
        <w:tc>
          <w:tcPr>
            <w:tcW w:w="336" w:type="pct"/>
            <w:tcBorders>
              <w:tl2br w:val="nil"/>
              <w:tr2bl w:val="nil"/>
            </w:tcBorders>
            <w:shd w:val="clear" w:color="auto" w:fill="auto"/>
            <w:vAlign w:val="center"/>
          </w:tcPr>
          <w:p w14:paraId="20DF627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4EF9C53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5FC2AADA">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15D2EB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31A02E8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887" w:type="pct"/>
            <w:tcBorders>
              <w:tl2br w:val="nil"/>
              <w:tr2bl w:val="nil"/>
            </w:tcBorders>
            <w:shd w:val="clear" w:color="auto" w:fill="auto"/>
            <w:vAlign w:val="center"/>
          </w:tcPr>
          <w:p w14:paraId="70060F2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泵进口弹性饶头</w:t>
            </w:r>
          </w:p>
        </w:tc>
        <w:tc>
          <w:tcPr>
            <w:tcW w:w="2110" w:type="pct"/>
            <w:tcBorders>
              <w:tl2br w:val="nil"/>
              <w:tr2bl w:val="nil"/>
            </w:tcBorders>
            <w:shd w:val="clear" w:color="auto" w:fill="auto"/>
            <w:vAlign w:val="center"/>
          </w:tcPr>
          <w:p w14:paraId="3123CFF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DN300</w:t>
            </w:r>
          </w:p>
        </w:tc>
        <w:tc>
          <w:tcPr>
            <w:tcW w:w="336" w:type="pct"/>
            <w:tcBorders>
              <w:tl2br w:val="nil"/>
              <w:tr2bl w:val="nil"/>
            </w:tcBorders>
            <w:shd w:val="clear" w:color="auto" w:fill="auto"/>
            <w:vAlign w:val="center"/>
          </w:tcPr>
          <w:p w14:paraId="79C18A8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728FDBC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03C0BFC4">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5E7790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67B0488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887" w:type="pct"/>
            <w:tcBorders>
              <w:tl2br w:val="nil"/>
              <w:tr2bl w:val="nil"/>
            </w:tcBorders>
            <w:shd w:val="clear" w:color="auto" w:fill="auto"/>
            <w:vAlign w:val="center"/>
          </w:tcPr>
          <w:p w14:paraId="372236E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泵出口大小头</w:t>
            </w:r>
          </w:p>
        </w:tc>
        <w:tc>
          <w:tcPr>
            <w:tcW w:w="2110" w:type="pct"/>
            <w:tcBorders>
              <w:tl2br w:val="nil"/>
              <w:tr2bl w:val="nil"/>
            </w:tcBorders>
            <w:shd w:val="clear" w:color="auto" w:fill="auto"/>
            <w:vAlign w:val="center"/>
          </w:tcPr>
          <w:p w14:paraId="3907BFD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DN300*150</w:t>
            </w:r>
          </w:p>
        </w:tc>
        <w:tc>
          <w:tcPr>
            <w:tcW w:w="336" w:type="pct"/>
            <w:tcBorders>
              <w:tl2br w:val="nil"/>
              <w:tr2bl w:val="nil"/>
            </w:tcBorders>
            <w:shd w:val="clear" w:color="auto" w:fill="auto"/>
            <w:vAlign w:val="center"/>
          </w:tcPr>
          <w:p w14:paraId="17A1B31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0489836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48A45E98">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313929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30" w:hRule="atLeast"/>
        </w:trPr>
        <w:tc>
          <w:tcPr>
            <w:tcW w:w="445" w:type="pct"/>
            <w:tcBorders>
              <w:tl2br w:val="nil"/>
              <w:tr2bl w:val="nil"/>
            </w:tcBorders>
            <w:shd w:val="clear" w:color="auto" w:fill="auto"/>
            <w:vAlign w:val="center"/>
          </w:tcPr>
          <w:p w14:paraId="6769FD2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887" w:type="pct"/>
            <w:tcBorders>
              <w:tl2br w:val="nil"/>
              <w:tr2bl w:val="nil"/>
            </w:tcBorders>
            <w:shd w:val="clear" w:color="auto" w:fill="auto"/>
            <w:vAlign w:val="center"/>
          </w:tcPr>
          <w:p w14:paraId="6328CA4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泵出口止回阀</w:t>
            </w:r>
          </w:p>
        </w:tc>
        <w:tc>
          <w:tcPr>
            <w:tcW w:w="2110" w:type="pct"/>
            <w:tcBorders>
              <w:tl2br w:val="nil"/>
              <w:tr2bl w:val="nil"/>
            </w:tcBorders>
            <w:shd w:val="clear" w:color="auto" w:fill="auto"/>
            <w:vAlign w:val="center"/>
          </w:tcPr>
          <w:p w14:paraId="597ECEB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DN300</w:t>
            </w:r>
          </w:p>
        </w:tc>
        <w:tc>
          <w:tcPr>
            <w:tcW w:w="336" w:type="pct"/>
            <w:tcBorders>
              <w:tl2br w:val="nil"/>
              <w:tr2bl w:val="nil"/>
            </w:tcBorders>
            <w:shd w:val="clear" w:color="auto" w:fill="auto"/>
            <w:vAlign w:val="center"/>
          </w:tcPr>
          <w:p w14:paraId="6D165A2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26E20F2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7BFD6BFB">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61101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2FC4628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c>
          <w:tcPr>
            <w:tcW w:w="887" w:type="pct"/>
            <w:tcBorders>
              <w:tl2br w:val="nil"/>
              <w:tr2bl w:val="nil"/>
            </w:tcBorders>
            <w:shd w:val="clear" w:color="auto" w:fill="auto"/>
            <w:vAlign w:val="center"/>
          </w:tcPr>
          <w:p w14:paraId="69C55F0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泵出口手动蝶阀</w:t>
            </w:r>
          </w:p>
        </w:tc>
        <w:tc>
          <w:tcPr>
            <w:tcW w:w="2110" w:type="pct"/>
            <w:tcBorders>
              <w:tl2br w:val="nil"/>
              <w:tr2bl w:val="nil"/>
            </w:tcBorders>
            <w:shd w:val="clear" w:color="auto" w:fill="auto"/>
            <w:vAlign w:val="center"/>
          </w:tcPr>
          <w:p w14:paraId="340DAC0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DN300</w:t>
            </w:r>
          </w:p>
        </w:tc>
        <w:tc>
          <w:tcPr>
            <w:tcW w:w="336" w:type="pct"/>
            <w:tcBorders>
              <w:tl2br w:val="nil"/>
              <w:tr2bl w:val="nil"/>
            </w:tcBorders>
            <w:shd w:val="clear" w:color="auto" w:fill="auto"/>
            <w:vAlign w:val="center"/>
          </w:tcPr>
          <w:p w14:paraId="2C5EACB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795F71B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43AF75B4">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452EE2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4B523C7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887" w:type="pct"/>
            <w:tcBorders>
              <w:tl2br w:val="nil"/>
              <w:tr2bl w:val="nil"/>
            </w:tcBorders>
            <w:shd w:val="clear" w:color="auto" w:fill="auto"/>
            <w:vAlign w:val="center"/>
          </w:tcPr>
          <w:p w14:paraId="2F95FB2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泵就地压力表</w:t>
            </w:r>
          </w:p>
        </w:tc>
        <w:tc>
          <w:tcPr>
            <w:tcW w:w="2110" w:type="pct"/>
            <w:tcBorders>
              <w:tl2br w:val="nil"/>
              <w:tr2bl w:val="nil"/>
            </w:tcBorders>
            <w:shd w:val="clear" w:color="auto" w:fill="auto"/>
            <w:vAlign w:val="center"/>
          </w:tcPr>
          <w:p w14:paraId="0CE46E0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0-0.6MPa,油封不锈钢</w:t>
            </w:r>
          </w:p>
        </w:tc>
        <w:tc>
          <w:tcPr>
            <w:tcW w:w="336" w:type="pct"/>
            <w:tcBorders>
              <w:tl2br w:val="nil"/>
              <w:tr2bl w:val="nil"/>
            </w:tcBorders>
            <w:shd w:val="clear" w:color="auto" w:fill="auto"/>
            <w:vAlign w:val="center"/>
          </w:tcPr>
          <w:p w14:paraId="7588CCD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35ABD74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6D7895CF">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6BBE32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68252D9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w:t>
            </w:r>
          </w:p>
        </w:tc>
        <w:tc>
          <w:tcPr>
            <w:tcW w:w="887" w:type="pct"/>
            <w:tcBorders>
              <w:tl2br w:val="nil"/>
              <w:tr2bl w:val="nil"/>
            </w:tcBorders>
            <w:shd w:val="clear" w:color="auto" w:fill="auto"/>
            <w:vAlign w:val="center"/>
          </w:tcPr>
          <w:p w14:paraId="7AC08F2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反洗电磁流量计</w:t>
            </w:r>
          </w:p>
        </w:tc>
        <w:tc>
          <w:tcPr>
            <w:tcW w:w="2110" w:type="pct"/>
            <w:tcBorders>
              <w:tl2br w:val="nil"/>
              <w:tr2bl w:val="nil"/>
            </w:tcBorders>
            <w:shd w:val="clear" w:color="auto" w:fill="auto"/>
            <w:vAlign w:val="center"/>
          </w:tcPr>
          <w:p w14:paraId="3A1190F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280m3/h,内衬聚四氟乙烯，4-20mA,分体式</w:t>
            </w:r>
          </w:p>
        </w:tc>
        <w:tc>
          <w:tcPr>
            <w:tcW w:w="336" w:type="pct"/>
            <w:tcBorders>
              <w:tl2br w:val="nil"/>
              <w:tr2bl w:val="nil"/>
            </w:tcBorders>
            <w:shd w:val="clear" w:color="auto" w:fill="auto"/>
            <w:vAlign w:val="center"/>
          </w:tcPr>
          <w:p w14:paraId="1B3603A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1109022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683702D9">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5CBC24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227AD86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887" w:type="pct"/>
            <w:tcBorders>
              <w:tl2br w:val="nil"/>
              <w:tr2bl w:val="nil"/>
            </w:tcBorders>
            <w:shd w:val="clear" w:color="auto" w:fill="auto"/>
            <w:vAlign w:val="center"/>
          </w:tcPr>
          <w:p w14:paraId="72008DD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反洗精密过滤器</w:t>
            </w:r>
          </w:p>
        </w:tc>
        <w:tc>
          <w:tcPr>
            <w:tcW w:w="2110" w:type="pct"/>
            <w:tcBorders>
              <w:tl2br w:val="nil"/>
              <w:tr2bl w:val="nil"/>
            </w:tcBorders>
            <w:shd w:val="clear" w:color="auto" w:fill="auto"/>
            <w:vAlign w:val="center"/>
          </w:tcPr>
          <w:p w14:paraId="666213A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Q=280m3/h</w:t>
            </w:r>
          </w:p>
        </w:tc>
        <w:tc>
          <w:tcPr>
            <w:tcW w:w="336" w:type="pct"/>
            <w:tcBorders>
              <w:tl2br w:val="nil"/>
              <w:tr2bl w:val="nil"/>
            </w:tcBorders>
            <w:shd w:val="clear" w:color="auto" w:fill="auto"/>
            <w:vAlign w:val="center"/>
          </w:tcPr>
          <w:p w14:paraId="23919ED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58F0B69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1FCB0385">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49A5F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10" w:hRule="atLeast"/>
        </w:trPr>
        <w:tc>
          <w:tcPr>
            <w:tcW w:w="445" w:type="pct"/>
            <w:tcBorders>
              <w:tl2br w:val="nil"/>
              <w:tr2bl w:val="nil"/>
            </w:tcBorders>
            <w:shd w:val="clear" w:color="auto" w:fill="auto"/>
            <w:vAlign w:val="center"/>
          </w:tcPr>
          <w:p w14:paraId="686E025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w:t>
            </w:r>
          </w:p>
        </w:tc>
        <w:tc>
          <w:tcPr>
            <w:tcW w:w="887" w:type="pct"/>
            <w:tcBorders>
              <w:tl2br w:val="nil"/>
              <w:tr2bl w:val="nil"/>
            </w:tcBorders>
            <w:shd w:val="clear" w:color="auto" w:fill="auto"/>
            <w:vAlign w:val="center"/>
          </w:tcPr>
          <w:p w14:paraId="22A3EB6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保安过滤器就地压力表</w:t>
            </w:r>
          </w:p>
        </w:tc>
        <w:tc>
          <w:tcPr>
            <w:tcW w:w="2110" w:type="pct"/>
            <w:tcBorders>
              <w:tl2br w:val="nil"/>
              <w:tr2bl w:val="nil"/>
            </w:tcBorders>
            <w:shd w:val="clear" w:color="auto" w:fill="auto"/>
            <w:vAlign w:val="center"/>
          </w:tcPr>
          <w:p w14:paraId="4DD131C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0-0.6MPa,油封不锈钢</w:t>
            </w:r>
          </w:p>
        </w:tc>
        <w:tc>
          <w:tcPr>
            <w:tcW w:w="336" w:type="pct"/>
            <w:tcBorders>
              <w:tl2br w:val="nil"/>
              <w:tr2bl w:val="nil"/>
            </w:tcBorders>
            <w:shd w:val="clear" w:color="auto" w:fill="auto"/>
            <w:vAlign w:val="center"/>
          </w:tcPr>
          <w:p w14:paraId="58757B2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21C9443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1639E6FB">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15EF9A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2B9D4AC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w:t>
            </w:r>
          </w:p>
        </w:tc>
        <w:tc>
          <w:tcPr>
            <w:tcW w:w="887" w:type="pct"/>
            <w:tcBorders>
              <w:tl2br w:val="nil"/>
              <w:tr2bl w:val="nil"/>
            </w:tcBorders>
            <w:shd w:val="clear" w:color="auto" w:fill="auto"/>
            <w:vAlign w:val="center"/>
          </w:tcPr>
          <w:p w14:paraId="70B08E1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过滤器前蝶阀</w:t>
            </w:r>
          </w:p>
        </w:tc>
        <w:tc>
          <w:tcPr>
            <w:tcW w:w="2110" w:type="pct"/>
            <w:tcBorders>
              <w:tl2br w:val="nil"/>
              <w:tr2bl w:val="nil"/>
            </w:tcBorders>
            <w:shd w:val="clear" w:color="auto" w:fill="auto"/>
            <w:vAlign w:val="center"/>
          </w:tcPr>
          <w:p w14:paraId="0B06B81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DN300</w:t>
            </w:r>
          </w:p>
        </w:tc>
        <w:tc>
          <w:tcPr>
            <w:tcW w:w="336" w:type="pct"/>
            <w:tcBorders>
              <w:tl2br w:val="nil"/>
              <w:tr2bl w:val="nil"/>
            </w:tcBorders>
            <w:shd w:val="clear" w:color="auto" w:fill="auto"/>
            <w:vAlign w:val="center"/>
          </w:tcPr>
          <w:p w14:paraId="6628128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47DD865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5977A7F7">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80E1D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5E38D7F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w:t>
            </w:r>
          </w:p>
        </w:tc>
        <w:tc>
          <w:tcPr>
            <w:tcW w:w="887" w:type="pct"/>
            <w:tcBorders>
              <w:tl2br w:val="nil"/>
              <w:tr2bl w:val="nil"/>
            </w:tcBorders>
            <w:shd w:val="clear" w:color="auto" w:fill="auto"/>
            <w:vAlign w:val="center"/>
          </w:tcPr>
          <w:p w14:paraId="040313D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过滤器后蝶阀</w:t>
            </w:r>
          </w:p>
        </w:tc>
        <w:tc>
          <w:tcPr>
            <w:tcW w:w="2110" w:type="pct"/>
            <w:tcBorders>
              <w:tl2br w:val="nil"/>
              <w:tr2bl w:val="nil"/>
            </w:tcBorders>
            <w:shd w:val="clear" w:color="auto" w:fill="auto"/>
            <w:vAlign w:val="center"/>
          </w:tcPr>
          <w:p w14:paraId="3706A1F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DN300</w:t>
            </w:r>
          </w:p>
        </w:tc>
        <w:tc>
          <w:tcPr>
            <w:tcW w:w="336" w:type="pct"/>
            <w:tcBorders>
              <w:tl2br w:val="nil"/>
              <w:tr2bl w:val="nil"/>
            </w:tcBorders>
            <w:shd w:val="clear" w:color="auto" w:fill="auto"/>
            <w:vAlign w:val="center"/>
          </w:tcPr>
          <w:p w14:paraId="7DD0FC8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46900C2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5528DC0B">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81D67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17D6706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14</w:t>
            </w:r>
          </w:p>
        </w:tc>
        <w:tc>
          <w:tcPr>
            <w:tcW w:w="887" w:type="pct"/>
            <w:tcBorders>
              <w:tl2br w:val="nil"/>
              <w:tr2bl w:val="nil"/>
            </w:tcBorders>
            <w:shd w:val="clear" w:color="auto" w:fill="auto"/>
            <w:vAlign w:val="center"/>
          </w:tcPr>
          <w:p w14:paraId="65CACD9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反洗管道混合器</w:t>
            </w:r>
          </w:p>
        </w:tc>
        <w:tc>
          <w:tcPr>
            <w:tcW w:w="2110" w:type="pct"/>
            <w:tcBorders>
              <w:tl2br w:val="nil"/>
              <w:tr2bl w:val="nil"/>
            </w:tcBorders>
            <w:shd w:val="clear" w:color="auto" w:fill="auto"/>
            <w:vAlign w:val="center"/>
          </w:tcPr>
          <w:p w14:paraId="6DDDD5E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DN300</w:t>
            </w:r>
          </w:p>
        </w:tc>
        <w:tc>
          <w:tcPr>
            <w:tcW w:w="336" w:type="pct"/>
            <w:tcBorders>
              <w:tl2br w:val="nil"/>
              <w:tr2bl w:val="nil"/>
            </w:tcBorders>
            <w:shd w:val="clear" w:color="auto" w:fill="auto"/>
            <w:vAlign w:val="center"/>
          </w:tcPr>
          <w:p w14:paraId="586F85E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03B5199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0DE38D4E">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19003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0" w:hRule="atLeast"/>
        </w:trPr>
        <w:tc>
          <w:tcPr>
            <w:tcW w:w="445" w:type="pct"/>
            <w:tcBorders>
              <w:tl2br w:val="nil"/>
              <w:tr2bl w:val="nil"/>
            </w:tcBorders>
            <w:shd w:val="clear" w:color="auto" w:fill="auto"/>
            <w:vAlign w:val="center"/>
          </w:tcPr>
          <w:p w14:paraId="589088F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w:t>
            </w:r>
          </w:p>
        </w:tc>
        <w:tc>
          <w:tcPr>
            <w:tcW w:w="887" w:type="pct"/>
            <w:tcBorders>
              <w:tl2br w:val="nil"/>
              <w:tr2bl w:val="nil"/>
            </w:tcBorders>
            <w:shd w:val="clear" w:color="auto" w:fill="auto"/>
            <w:vAlign w:val="center"/>
          </w:tcPr>
          <w:p w14:paraId="68D8F25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管道补芯</w:t>
            </w:r>
          </w:p>
        </w:tc>
        <w:tc>
          <w:tcPr>
            <w:tcW w:w="2110" w:type="pct"/>
            <w:tcBorders>
              <w:tl2br w:val="nil"/>
              <w:tr2bl w:val="nil"/>
            </w:tcBorders>
            <w:shd w:val="clear" w:color="auto" w:fill="auto"/>
            <w:vAlign w:val="center"/>
          </w:tcPr>
          <w:p w14:paraId="4381A82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DN300*200</w:t>
            </w:r>
          </w:p>
        </w:tc>
        <w:tc>
          <w:tcPr>
            <w:tcW w:w="336" w:type="pct"/>
            <w:tcBorders>
              <w:tl2br w:val="nil"/>
              <w:tr2bl w:val="nil"/>
            </w:tcBorders>
            <w:shd w:val="clear" w:color="auto" w:fill="auto"/>
            <w:vAlign w:val="center"/>
          </w:tcPr>
          <w:p w14:paraId="6FF0F30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415" w:type="pct"/>
            <w:tcBorders>
              <w:tl2br w:val="nil"/>
              <w:tr2bl w:val="nil"/>
            </w:tcBorders>
            <w:shd w:val="clear" w:color="auto" w:fill="auto"/>
            <w:vAlign w:val="center"/>
          </w:tcPr>
          <w:p w14:paraId="1671DE6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41D0FB38">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544965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0B481E7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16</w:t>
            </w:r>
          </w:p>
        </w:tc>
        <w:tc>
          <w:tcPr>
            <w:tcW w:w="887" w:type="pct"/>
            <w:tcBorders>
              <w:tl2br w:val="nil"/>
              <w:tr2bl w:val="nil"/>
            </w:tcBorders>
            <w:shd w:val="clear" w:color="auto" w:fill="auto"/>
            <w:vAlign w:val="center"/>
          </w:tcPr>
          <w:p w14:paraId="052EA47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反洗支管手动阀门</w:t>
            </w:r>
          </w:p>
        </w:tc>
        <w:tc>
          <w:tcPr>
            <w:tcW w:w="2110" w:type="pct"/>
            <w:tcBorders>
              <w:tl2br w:val="nil"/>
              <w:tr2bl w:val="nil"/>
            </w:tcBorders>
            <w:shd w:val="clear" w:color="auto" w:fill="auto"/>
            <w:vAlign w:val="center"/>
          </w:tcPr>
          <w:p w14:paraId="05DE801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DN300</w:t>
            </w:r>
          </w:p>
        </w:tc>
        <w:tc>
          <w:tcPr>
            <w:tcW w:w="336" w:type="pct"/>
            <w:tcBorders>
              <w:tl2br w:val="nil"/>
              <w:tr2bl w:val="nil"/>
            </w:tcBorders>
            <w:shd w:val="clear" w:color="auto" w:fill="auto"/>
            <w:vAlign w:val="center"/>
          </w:tcPr>
          <w:p w14:paraId="4810B77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415" w:type="pct"/>
            <w:tcBorders>
              <w:tl2br w:val="nil"/>
              <w:tr2bl w:val="nil"/>
            </w:tcBorders>
            <w:shd w:val="clear" w:color="auto" w:fill="auto"/>
            <w:vAlign w:val="center"/>
          </w:tcPr>
          <w:p w14:paraId="21320DE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066E5805">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12F9AD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5" w:hRule="atLeast"/>
        </w:trPr>
        <w:tc>
          <w:tcPr>
            <w:tcW w:w="445" w:type="pct"/>
            <w:tcBorders>
              <w:tl2br w:val="nil"/>
              <w:tr2bl w:val="nil"/>
            </w:tcBorders>
            <w:shd w:val="clear" w:color="auto" w:fill="auto"/>
            <w:vAlign w:val="center"/>
          </w:tcPr>
          <w:p w14:paraId="5CD84B3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17</w:t>
            </w:r>
          </w:p>
        </w:tc>
        <w:tc>
          <w:tcPr>
            <w:tcW w:w="887" w:type="pct"/>
            <w:tcBorders>
              <w:tl2br w:val="nil"/>
              <w:tr2bl w:val="nil"/>
            </w:tcBorders>
            <w:shd w:val="clear" w:color="auto" w:fill="auto"/>
            <w:vAlign w:val="center"/>
          </w:tcPr>
          <w:p w14:paraId="5FC0694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反洗电动阀</w:t>
            </w:r>
          </w:p>
        </w:tc>
        <w:tc>
          <w:tcPr>
            <w:tcW w:w="2110" w:type="pct"/>
            <w:tcBorders>
              <w:tl2br w:val="nil"/>
              <w:tr2bl w:val="nil"/>
            </w:tcBorders>
            <w:shd w:val="clear" w:color="auto" w:fill="auto"/>
            <w:vAlign w:val="center"/>
          </w:tcPr>
          <w:p w14:paraId="4961095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DN300</w:t>
            </w:r>
          </w:p>
        </w:tc>
        <w:tc>
          <w:tcPr>
            <w:tcW w:w="336" w:type="pct"/>
            <w:tcBorders>
              <w:tl2br w:val="nil"/>
              <w:tr2bl w:val="nil"/>
            </w:tcBorders>
            <w:shd w:val="clear" w:color="auto" w:fill="auto"/>
            <w:vAlign w:val="center"/>
          </w:tcPr>
          <w:p w14:paraId="1DDCB1B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415" w:type="pct"/>
            <w:tcBorders>
              <w:tl2br w:val="nil"/>
              <w:tr2bl w:val="nil"/>
            </w:tcBorders>
            <w:shd w:val="clear" w:color="auto" w:fill="auto"/>
            <w:vAlign w:val="center"/>
          </w:tcPr>
          <w:p w14:paraId="06DA22F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5270EFFE">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149979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5" w:hRule="atLeast"/>
        </w:trPr>
        <w:tc>
          <w:tcPr>
            <w:tcW w:w="445" w:type="pct"/>
            <w:tcBorders>
              <w:tl2br w:val="nil"/>
              <w:tr2bl w:val="nil"/>
            </w:tcBorders>
            <w:shd w:val="clear" w:color="auto" w:fill="auto"/>
            <w:vAlign w:val="center"/>
          </w:tcPr>
          <w:p w14:paraId="68C497F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四</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4554" w:type="pct"/>
            <w:gridSpan w:val="5"/>
            <w:tcBorders>
              <w:tl2br w:val="nil"/>
              <w:tr2bl w:val="nil"/>
            </w:tcBorders>
            <w:shd w:val="clear" w:color="auto" w:fill="auto"/>
            <w:vAlign w:val="center"/>
          </w:tcPr>
          <w:p w14:paraId="699AE3E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酸洗部分</w:t>
            </w:r>
          </w:p>
        </w:tc>
      </w:tr>
      <w:tr w14:paraId="1E71393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0" w:hRule="atLeast"/>
        </w:trPr>
        <w:tc>
          <w:tcPr>
            <w:tcW w:w="445" w:type="pct"/>
            <w:tcBorders>
              <w:tl2br w:val="nil"/>
              <w:tr2bl w:val="nil"/>
            </w:tcBorders>
            <w:shd w:val="clear" w:color="auto" w:fill="auto"/>
            <w:vAlign w:val="center"/>
          </w:tcPr>
          <w:p w14:paraId="724CDD6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64479C6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盐酸卸药泵</w:t>
            </w:r>
          </w:p>
        </w:tc>
        <w:tc>
          <w:tcPr>
            <w:tcW w:w="2110" w:type="pct"/>
            <w:tcBorders>
              <w:tl2br w:val="nil"/>
              <w:tr2bl w:val="nil"/>
            </w:tcBorders>
            <w:shd w:val="clear" w:color="auto" w:fill="auto"/>
            <w:vAlign w:val="center"/>
          </w:tcPr>
          <w:p w14:paraId="1B7D191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Q=10m3/h,H=30m,N=2.2KW</w:t>
            </w:r>
          </w:p>
        </w:tc>
        <w:tc>
          <w:tcPr>
            <w:tcW w:w="336" w:type="pct"/>
            <w:tcBorders>
              <w:tl2br w:val="nil"/>
              <w:tr2bl w:val="nil"/>
            </w:tcBorders>
            <w:shd w:val="clear" w:color="auto" w:fill="auto"/>
            <w:vAlign w:val="center"/>
          </w:tcPr>
          <w:p w14:paraId="1017AAC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4216F8E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2A47C9AC">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5C46F2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3114405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0046875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盐酸储罐</w:t>
            </w:r>
          </w:p>
        </w:tc>
        <w:tc>
          <w:tcPr>
            <w:tcW w:w="2110" w:type="pct"/>
            <w:tcBorders>
              <w:tl2br w:val="nil"/>
              <w:tr2bl w:val="nil"/>
            </w:tcBorders>
            <w:shd w:val="clear" w:color="auto" w:fill="auto"/>
            <w:vAlign w:val="center"/>
          </w:tcPr>
          <w:p w14:paraId="0B5EF2E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V=10m3</w:t>
            </w:r>
          </w:p>
        </w:tc>
        <w:tc>
          <w:tcPr>
            <w:tcW w:w="336" w:type="pct"/>
            <w:tcBorders>
              <w:tl2br w:val="nil"/>
              <w:tr2bl w:val="nil"/>
            </w:tcBorders>
            <w:shd w:val="clear" w:color="auto" w:fill="auto"/>
            <w:vAlign w:val="center"/>
          </w:tcPr>
          <w:p w14:paraId="649D6FB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06DA2CA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座</w:t>
            </w:r>
          </w:p>
        </w:tc>
        <w:tc>
          <w:tcPr>
            <w:tcW w:w="804" w:type="pct"/>
            <w:tcBorders>
              <w:tl2br w:val="nil"/>
              <w:tr2bl w:val="nil"/>
            </w:tcBorders>
            <w:shd w:val="clear" w:color="auto" w:fill="auto"/>
            <w:vAlign w:val="center"/>
          </w:tcPr>
          <w:p w14:paraId="03C7939E">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60DF7B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4D139C1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544FA4A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盐酸加药泵</w:t>
            </w:r>
          </w:p>
        </w:tc>
        <w:tc>
          <w:tcPr>
            <w:tcW w:w="2110" w:type="pct"/>
            <w:tcBorders>
              <w:tl2br w:val="nil"/>
              <w:tr2bl w:val="nil"/>
            </w:tcBorders>
            <w:shd w:val="clear" w:color="auto" w:fill="auto"/>
            <w:vAlign w:val="center"/>
          </w:tcPr>
          <w:p w14:paraId="2EC9F5D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Q=500L/h,H=70m,N=1.5KW</w:t>
            </w:r>
          </w:p>
        </w:tc>
        <w:tc>
          <w:tcPr>
            <w:tcW w:w="336" w:type="pct"/>
            <w:tcBorders>
              <w:tl2br w:val="nil"/>
              <w:tr2bl w:val="nil"/>
            </w:tcBorders>
            <w:shd w:val="clear" w:color="auto" w:fill="auto"/>
            <w:vAlign w:val="center"/>
          </w:tcPr>
          <w:p w14:paraId="0774CC1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0CE2BEE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6B9AA333">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0A613E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8" w:hRule="atLeast"/>
        </w:trPr>
        <w:tc>
          <w:tcPr>
            <w:tcW w:w="445" w:type="pct"/>
            <w:tcBorders>
              <w:tl2br w:val="nil"/>
              <w:tr2bl w:val="nil"/>
            </w:tcBorders>
            <w:shd w:val="clear" w:color="auto" w:fill="auto"/>
            <w:vAlign w:val="center"/>
          </w:tcPr>
          <w:p w14:paraId="5E98332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887" w:type="pct"/>
            <w:tcBorders>
              <w:tl2br w:val="nil"/>
              <w:tr2bl w:val="nil"/>
            </w:tcBorders>
            <w:shd w:val="clear" w:color="auto" w:fill="auto"/>
            <w:vAlign w:val="center"/>
          </w:tcPr>
          <w:p w14:paraId="0226D21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转子流量计</w:t>
            </w:r>
          </w:p>
        </w:tc>
        <w:tc>
          <w:tcPr>
            <w:tcW w:w="2110" w:type="pct"/>
            <w:tcBorders>
              <w:tl2br w:val="nil"/>
              <w:tr2bl w:val="nil"/>
            </w:tcBorders>
            <w:shd w:val="clear" w:color="auto" w:fill="auto"/>
            <w:vAlign w:val="center"/>
          </w:tcPr>
          <w:p w14:paraId="4BECCF8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DN40,0-2m3</w:t>
            </w:r>
          </w:p>
        </w:tc>
        <w:tc>
          <w:tcPr>
            <w:tcW w:w="336" w:type="pct"/>
            <w:tcBorders>
              <w:tl2br w:val="nil"/>
              <w:tr2bl w:val="nil"/>
            </w:tcBorders>
            <w:shd w:val="clear" w:color="auto" w:fill="auto"/>
            <w:vAlign w:val="center"/>
          </w:tcPr>
          <w:p w14:paraId="7C799D6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6D0B0E9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7AEF287A">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E46912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82" w:hRule="atLeast"/>
        </w:trPr>
        <w:tc>
          <w:tcPr>
            <w:tcW w:w="445" w:type="pct"/>
            <w:tcBorders>
              <w:tl2br w:val="nil"/>
              <w:tr2bl w:val="nil"/>
            </w:tcBorders>
            <w:shd w:val="clear" w:color="auto" w:fill="auto"/>
            <w:vAlign w:val="center"/>
          </w:tcPr>
          <w:p w14:paraId="513A63D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887" w:type="pct"/>
            <w:tcBorders>
              <w:tl2br w:val="nil"/>
              <w:tr2bl w:val="nil"/>
            </w:tcBorders>
            <w:shd w:val="clear" w:color="auto" w:fill="auto"/>
            <w:vAlign w:val="center"/>
          </w:tcPr>
          <w:p w14:paraId="3966432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Y型过滤器</w:t>
            </w:r>
          </w:p>
        </w:tc>
        <w:tc>
          <w:tcPr>
            <w:tcW w:w="2110" w:type="pct"/>
            <w:tcBorders>
              <w:tl2br w:val="nil"/>
              <w:tr2bl w:val="nil"/>
            </w:tcBorders>
            <w:shd w:val="clear" w:color="auto" w:fill="auto"/>
            <w:vAlign w:val="center"/>
          </w:tcPr>
          <w:p w14:paraId="01B715F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DN40</w:t>
            </w:r>
          </w:p>
        </w:tc>
        <w:tc>
          <w:tcPr>
            <w:tcW w:w="336" w:type="pct"/>
            <w:tcBorders>
              <w:tl2br w:val="nil"/>
              <w:tr2bl w:val="nil"/>
            </w:tcBorders>
            <w:shd w:val="clear" w:color="auto" w:fill="auto"/>
            <w:vAlign w:val="center"/>
          </w:tcPr>
          <w:p w14:paraId="08293A8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6737BDA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1C39814A">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6BD536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0" w:hRule="atLeast"/>
        </w:trPr>
        <w:tc>
          <w:tcPr>
            <w:tcW w:w="445" w:type="pct"/>
            <w:tcBorders>
              <w:tl2br w:val="nil"/>
              <w:tr2bl w:val="nil"/>
            </w:tcBorders>
            <w:shd w:val="clear" w:color="auto" w:fill="auto"/>
            <w:vAlign w:val="center"/>
          </w:tcPr>
          <w:p w14:paraId="3C27322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887" w:type="pct"/>
            <w:tcBorders>
              <w:tl2br w:val="nil"/>
              <w:tr2bl w:val="nil"/>
            </w:tcBorders>
            <w:shd w:val="clear" w:color="auto" w:fill="auto"/>
            <w:vAlign w:val="center"/>
          </w:tcPr>
          <w:p w14:paraId="6C639B5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计量泵前球阀</w:t>
            </w:r>
          </w:p>
        </w:tc>
        <w:tc>
          <w:tcPr>
            <w:tcW w:w="2110" w:type="pct"/>
            <w:tcBorders>
              <w:tl2br w:val="nil"/>
              <w:tr2bl w:val="nil"/>
            </w:tcBorders>
            <w:shd w:val="clear" w:color="auto" w:fill="auto"/>
            <w:vAlign w:val="center"/>
          </w:tcPr>
          <w:p w14:paraId="7836CE6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DN40</w:t>
            </w:r>
          </w:p>
        </w:tc>
        <w:tc>
          <w:tcPr>
            <w:tcW w:w="336" w:type="pct"/>
            <w:tcBorders>
              <w:tl2br w:val="nil"/>
              <w:tr2bl w:val="nil"/>
            </w:tcBorders>
            <w:shd w:val="clear" w:color="auto" w:fill="auto"/>
            <w:vAlign w:val="center"/>
          </w:tcPr>
          <w:p w14:paraId="6B2A285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560DD4A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1C26B8DF">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6EB86A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6760E2A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c>
          <w:tcPr>
            <w:tcW w:w="887" w:type="pct"/>
            <w:tcBorders>
              <w:tl2br w:val="nil"/>
              <w:tr2bl w:val="nil"/>
            </w:tcBorders>
            <w:shd w:val="clear" w:color="auto" w:fill="auto"/>
            <w:vAlign w:val="center"/>
          </w:tcPr>
          <w:p w14:paraId="46F8BB2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计量泵止回阀</w:t>
            </w:r>
          </w:p>
        </w:tc>
        <w:tc>
          <w:tcPr>
            <w:tcW w:w="2110" w:type="pct"/>
            <w:tcBorders>
              <w:tl2br w:val="nil"/>
              <w:tr2bl w:val="nil"/>
            </w:tcBorders>
            <w:shd w:val="clear" w:color="auto" w:fill="auto"/>
            <w:vAlign w:val="center"/>
          </w:tcPr>
          <w:p w14:paraId="43F9EBC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DN40</w:t>
            </w:r>
          </w:p>
        </w:tc>
        <w:tc>
          <w:tcPr>
            <w:tcW w:w="336" w:type="pct"/>
            <w:tcBorders>
              <w:tl2br w:val="nil"/>
              <w:tr2bl w:val="nil"/>
            </w:tcBorders>
            <w:shd w:val="clear" w:color="auto" w:fill="auto"/>
            <w:vAlign w:val="center"/>
          </w:tcPr>
          <w:p w14:paraId="7ACD0B3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2CA75EF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7192A158">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CED63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27DDA16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887" w:type="pct"/>
            <w:tcBorders>
              <w:tl2br w:val="nil"/>
              <w:tr2bl w:val="nil"/>
            </w:tcBorders>
            <w:shd w:val="clear" w:color="auto" w:fill="auto"/>
            <w:vAlign w:val="center"/>
          </w:tcPr>
          <w:p w14:paraId="411DA4D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计量泵后球阀</w:t>
            </w:r>
          </w:p>
        </w:tc>
        <w:tc>
          <w:tcPr>
            <w:tcW w:w="2110" w:type="pct"/>
            <w:tcBorders>
              <w:tl2br w:val="nil"/>
              <w:tr2bl w:val="nil"/>
            </w:tcBorders>
            <w:shd w:val="clear" w:color="auto" w:fill="auto"/>
            <w:vAlign w:val="center"/>
          </w:tcPr>
          <w:p w14:paraId="2712E76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DN40</w:t>
            </w:r>
          </w:p>
        </w:tc>
        <w:tc>
          <w:tcPr>
            <w:tcW w:w="336" w:type="pct"/>
            <w:tcBorders>
              <w:tl2br w:val="nil"/>
              <w:tr2bl w:val="nil"/>
            </w:tcBorders>
            <w:shd w:val="clear" w:color="auto" w:fill="auto"/>
            <w:vAlign w:val="center"/>
          </w:tcPr>
          <w:p w14:paraId="67D02C7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58E8A50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4A3CC0AC">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5DD5BD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0462138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w:t>
            </w:r>
          </w:p>
        </w:tc>
        <w:tc>
          <w:tcPr>
            <w:tcW w:w="887" w:type="pct"/>
            <w:tcBorders>
              <w:tl2br w:val="nil"/>
              <w:tr2bl w:val="nil"/>
            </w:tcBorders>
            <w:shd w:val="clear" w:color="auto" w:fill="auto"/>
            <w:vAlign w:val="center"/>
          </w:tcPr>
          <w:p w14:paraId="5FF77A2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加药手动阀门</w:t>
            </w:r>
          </w:p>
        </w:tc>
        <w:tc>
          <w:tcPr>
            <w:tcW w:w="2110" w:type="pct"/>
            <w:tcBorders>
              <w:tl2br w:val="nil"/>
              <w:tr2bl w:val="nil"/>
            </w:tcBorders>
            <w:shd w:val="clear" w:color="auto" w:fill="auto"/>
            <w:vAlign w:val="center"/>
          </w:tcPr>
          <w:p w14:paraId="527CF39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DN40</w:t>
            </w:r>
          </w:p>
        </w:tc>
        <w:tc>
          <w:tcPr>
            <w:tcW w:w="336" w:type="pct"/>
            <w:tcBorders>
              <w:tl2br w:val="nil"/>
              <w:tr2bl w:val="nil"/>
            </w:tcBorders>
            <w:shd w:val="clear" w:color="auto" w:fill="auto"/>
            <w:vAlign w:val="center"/>
          </w:tcPr>
          <w:p w14:paraId="2ED054D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415" w:type="pct"/>
            <w:tcBorders>
              <w:tl2br w:val="nil"/>
              <w:tr2bl w:val="nil"/>
            </w:tcBorders>
            <w:shd w:val="clear" w:color="auto" w:fill="auto"/>
            <w:vAlign w:val="center"/>
          </w:tcPr>
          <w:p w14:paraId="51300D1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36A55E88">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6F353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2" w:hRule="atLeast"/>
        </w:trPr>
        <w:tc>
          <w:tcPr>
            <w:tcW w:w="445" w:type="pct"/>
            <w:tcBorders>
              <w:tl2br w:val="nil"/>
              <w:tr2bl w:val="nil"/>
            </w:tcBorders>
            <w:shd w:val="clear" w:color="auto" w:fill="auto"/>
            <w:vAlign w:val="center"/>
          </w:tcPr>
          <w:p w14:paraId="0EAE575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887" w:type="pct"/>
            <w:tcBorders>
              <w:tl2br w:val="nil"/>
              <w:tr2bl w:val="nil"/>
            </w:tcBorders>
            <w:shd w:val="clear" w:color="auto" w:fill="auto"/>
            <w:vAlign w:val="center"/>
          </w:tcPr>
          <w:p w14:paraId="3E893D0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加药电磁阀</w:t>
            </w:r>
          </w:p>
        </w:tc>
        <w:tc>
          <w:tcPr>
            <w:tcW w:w="2110" w:type="pct"/>
            <w:tcBorders>
              <w:tl2br w:val="nil"/>
              <w:tr2bl w:val="nil"/>
            </w:tcBorders>
            <w:shd w:val="clear" w:color="auto" w:fill="auto"/>
            <w:vAlign w:val="center"/>
          </w:tcPr>
          <w:p w14:paraId="5A293EF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DN40</w:t>
            </w:r>
          </w:p>
        </w:tc>
        <w:tc>
          <w:tcPr>
            <w:tcW w:w="336" w:type="pct"/>
            <w:tcBorders>
              <w:tl2br w:val="nil"/>
              <w:tr2bl w:val="nil"/>
            </w:tcBorders>
            <w:shd w:val="clear" w:color="auto" w:fill="auto"/>
            <w:vAlign w:val="center"/>
          </w:tcPr>
          <w:p w14:paraId="774B77C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554F52D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39076433">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4A0F05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40" w:hRule="atLeast"/>
        </w:trPr>
        <w:tc>
          <w:tcPr>
            <w:tcW w:w="445" w:type="pct"/>
            <w:tcBorders>
              <w:tl2br w:val="nil"/>
              <w:tr2bl w:val="nil"/>
            </w:tcBorders>
            <w:shd w:val="clear" w:color="auto" w:fill="auto"/>
            <w:vAlign w:val="center"/>
          </w:tcPr>
          <w:p w14:paraId="2D82433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w:t>
            </w:r>
          </w:p>
        </w:tc>
        <w:tc>
          <w:tcPr>
            <w:tcW w:w="887" w:type="pct"/>
            <w:tcBorders>
              <w:tl2br w:val="nil"/>
              <w:tr2bl w:val="nil"/>
            </w:tcBorders>
            <w:shd w:val="clear" w:color="auto" w:fill="auto"/>
            <w:vAlign w:val="center"/>
          </w:tcPr>
          <w:p w14:paraId="52EAB5B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加药箱</w:t>
            </w:r>
          </w:p>
        </w:tc>
        <w:tc>
          <w:tcPr>
            <w:tcW w:w="2110" w:type="pct"/>
            <w:tcBorders>
              <w:tl2br w:val="nil"/>
              <w:tr2bl w:val="nil"/>
            </w:tcBorders>
            <w:shd w:val="clear" w:color="auto" w:fill="auto"/>
            <w:vAlign w:val="center"/>
          </w:tcPr>
          <w:p w14:paraId="4B35DA7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1000</w:t>
            </w:r>
          </w:p>
        </w:tc>
        <w:tc>
          <w:tcPr>
            <w:tcW w:w="336" w:type="pct"/>
            <w:tcBorders>
              <w:tl2br w:val="nil"/>
              <w:tr2bl w:val="nil"/>
            </w:tcBorders>
            <w:shd w:val="clear" w:color="auto" w:fill="auto"/>
            <w:vAlign w:val="center"/>
          </w:tcPr>
          <w:p w14:paraId="32A274B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17CFEFA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20860C61">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E6A2E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445" w:type="pct"/>
            <w:tcBorders>
              <w:tl2br w:val="nil"/>
              <w:tr2bl w:val="nil"/>
            </w:tcBorders>
            <w:shd w:val="clear" w:color="auto" w:fill="auto"/>
            <w:vAlign w:val="center"/>
          </w:tcPr>
          <w:p w14:paraId="0EBB300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五</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4554" w:type="pct"/>
            <w:gridSpan w:val="5"/>
            <w:tcBorders>
              <w:tl2br w:val="nil"/>
              <w:tr2bl w:val="nil"/>
            </w:tcBorders>
            <w:shd w:val="clear" w:color="auto" w:fill="auto"/>
            <w:vAlign w:val="center"/>
          </w:tcPr>
          <w:p w14:paraId="6078140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反洗部分</w:t>
            </w:r>
          </w:p>
        </w:tc>
      </w:tr>
      <w:tr w14:paraId="4BFC2F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14BC2AF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116541E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次钠卸药泵</w:t>
            </w:r>
          </w:p>
        </w:tc>
        <w:tc>
          <w:tcPr>
            <w:tcW w:w="2110" w:type="pct"/>
            <w:tcBorders>
              <w:tl2br w:val="nil"/>
              <w:tr2bl w:val="nil"/>
            </w:tcBorders>
            <w:shd w:val="clear" w:color="auto" w:fill="auto"/>
            <w:vAlign w:val="center"/>
          </w:tcPr>
          <w:p w14:paraId="519D253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Q=10m3/h,H=70m,N=2.2KW</w:t>
            </w:r>
          </w:p>
        </w:tc>
        <w:tc>
          <w:tcPr>
            <w:tcW w:w="336" w:type="pct"/>
            <w:tcBorders>
              <w:tl2br w:val="nil"/>
              <w:tr2bl w:val="nil"/>
            </w:tcBorders>
            <w:shd w:val="clear" w:color="auto" w:fill="auto"/>
            <w:vAlign w:val="center"/>
          </w:tcPr>
          <w:p w14:paraId="0715FA8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51B8AC5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729B6A33">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40C7C8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0" w:hRule="atLeast"/>
        </w:trPr>
        <w:tc>
          <w:tcPr>
            <w:tcW w:w="445" w:type="pct"/>
            <w:tcBorders>
              <w:tl2br w:val="nil"/>
              <w:tr2bl w:val="nil"/>
            </w:tcBorders>
            <w:shd w:val="clear" w:color="auto" w:fill="auto"/>
            <w:vAlign w:val="center"/>
          </w:tcPr>
          <w:p w14:paraId="0FC5435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06ED8A2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次钠储罐</w:t>
            </w:r>
          </w:p>
        </w:tc>
        <w:tc>
          <w:tcPr>
            <w:tcW w:w="2110" w:type="pct"/>
            <w:tcBorders>
              <w:tl2br w:val="nil"/>
              <w:tr2bl w:val="nil"/>
            </w:tcBorders>
            <w:shd w:val="clear" w:color="auto" w:fill="auto"/>
            <w:vAlign w:val="center"/>
          </w:tcPr>
          <w:p w14:paraId="46D5C6E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V=10m3</w:t>
            </w:r>
          </w:p>
        </w:tc>
        <w:tc>
          <w:tcPr>
            <w:tcW w:w="336" w:type="pct"/>
            <w:tcBorders>
              <w:tl2br w:val="nil"/>
              <w:tr2bl w:val="nil"/>
            </w:tcBorders>
            <w:shd w:val="clear" w:color="auto" w:fill="auto"/>
            <w:vAlign w:val="center"/>
          </w:tcPr>
          <w:p w14:paraId="3F68807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5173DE8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座</w:t>
            </w:r>
          </w:p>
        </w:tc>
        <w:tc>
          <w:tcPr>
            <w:tcW w:w="804" w:type="pct"/>
            <w:tcBorders>
              <w:tl2br w:val="nil"/>
              <w:tr2bl w:val="nil"/>
            </w:tcBorders>
            <w:shd w:val="clear" w:color="auto" w:fill="auto"/>
            <w:vAlign w:val="center"/>
          </w:tcPr>
          <w:p w14:paraId="7A256F2D">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6EF9F6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0915077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197A004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次钠加药泵</w:t>
            </w:r>
          </w:p>
        </w:tc>
        <w:tc>
          <w:tcPr>
            <w:tcW w:w="2110" w:type="pct"/>
            <w:tcBorders>
              <w:tl2br w:val="nil"/>
              <w:tr2bl w:val="nil"/>
            </w:tcBorders>
            <w:shd w:val="clear" w:color="auto" w:fill="auto"/>
            <w:vAlign w:val="center"/>
          </w:tcPr>
          <w:p w14:paraId="48AEE29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Q=500L/h,H=70m,N=1.5KW</w:t>
            </w:r>
          </w:p>
        </w:tc>
        <w:tc>
          <w:tcPr>
            <w:tcW w:w="336" w:type="pct"/>
            <w:tcBorders>
              <w:tl2br w:val="nil"/>
              <w:tr2bl w:val="nil"/>
            </w:tcBorders>
            <w:shd w:val="clear" w:color="auto" w:fill="auto"/>
            <w:vAlign w:val="center"/>
          </w:tcPr>
          <w:p w14:paraId="58531A6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228B3B6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2368C2CC">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6765B1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5B3CE26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887" w:type="pct"/>
            <w:tcBorders>
              <w:tl2br w:val="nil"/>
              <w:tr2bl w:val="nil"/>
            </w:tcBorders>
            <w:shd w:val="clear" w:color="auto" w:fill="auto"/>
            <w:vAlign w:val="center"/>
          </w:tcPr>
          <w:p w14:paraId="254799A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氢氧化钠卸药泵</w:t>
            </w:r>
          </w:p>
        </w:tc>
        <w:tc>
          <w:tcPr>
            <w:tcW w:w="2110" w:type="pct"/>
            <w:tcBorders>
              <w:tl2br w:val="nil"/>
              <w:tr2bl w:val="nil"/>
            </w:tcBorders>
            <w:shd w:val="clear" w:color="auto" w:fill="auto"/>
            <w:vAlign w:val="center"/>
          </w:tcPr>
          <w:p w14:paraId="3C72F4F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Q=10m3/h,H=30m,N=2.2KW</w:t>
            </w:r>
          </w:p>
        </w:tc>
        <w:tc>
          <w:tcPr>
            <w:tcW w:w="336" w:type="pct"/>
            <w:tcBorders>
              <w:tl2br w:val="nil"/>
              <w:tr2bl w:val="nil"/>
            </w:tcBorders>
            <w:shd w:val="clear" w:color="auto" w:fill="auto"/>
            <w:vAlign w:val="center"/>
          </w:tcPr>
          <w:p w14:paraId="1AAA0BF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3BECB7D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72CE1D0F">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409413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0302551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887" w:type="pct"/>
            <w:tcBorders>
              <w:tl2br w:val="nil"/>
              <w:tr2bl w:val="nil"/>
            </w:tcBorders>
            <w:shd w:val="clear" w:color="auto" w:fill="auto"/>
            <w:vAlign w:val="center"/>
          </w:tcPr>
          <w:p w14:paraId="3C98ED3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氢氧化钠储罐</w:t>
            </w:r>
          </w:p>
        </w:tc>
        <w:tc>
          <w:tcPr>
            <w:tcW w:w="2110" w:type="pct"/>
            <w:tcBorders>
              <w:tl2br w:val="nil"/>
              <w:tr2bl w:val="nil"/>
            </w:tcBorders>
            <w:shd w:val="clear" w:color="auto" w:fill="auto"/>
            <w:vAlign w:val="center"/>
          </w:tcPr>
          <w:p w14:paraId="6DFB3D5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V=10m3</w:t>
            </w:r>
          </w:p>
        </w:tc>
        <w:tc>
          <w:tcPr>
            <w:tcW w:w="336" w:type="pct"/>
            <w:tcBorders>
              <w:tl2br w:val="nil"/>
              <w:tr2bl w:val="nil"/>
            </w:tcBorders>
            <w:shd w:val="clear" w:color="auto" w:fill="auto"/>
            <w:vAlign w:val="center"/>
          </w:tcPr>
          <w:p w14:paraId="6B02AF6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5D03B4D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座</w:t>
            </w:r>
          </w:p>
        </w:tc>
        <w:tc>
          <w:tcPr>
            <w:tcW w:w="804" w:type="pct"/>
            <w:tcBorders>
              <w:tl2br w:val="nil"/>
              <w:tr2bl w:val="nil"/>
            </w:tcBorders>
            <w:shd w:val="clear" w:color="auto" w:fill="auto"/>
            <w:vAlign w:val="center"/>
          </w:tcPr>
          <w:p w14:paraId="6D58C3D8">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6AB2C4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1B9D287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887" w:type="pct"/>
            <w:tcBorders>
              <w:tl2br w:val="nil"/>
              <w:tr2bl w:val="nil"/>
            </w:tcBorders>
            <w:shd w:val="clear" w:color="auto" w:fill="auto"/>
            <w:vAlign w:val="center"/>
          </w:tcPr>
          <w:p w14:paraId="484068C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氢氧化钠加药泵</w:t>
            </w:r>
          </w:p>
        </w:tc>
        <w:tc>
          <w:tcPr>
            <w:tcW w:w="2110" w:type="pct"/>
            <w:tcBorders>
              <w:tl2br w:val="nil"/>
              <w:tr2bl w:val="nil"/>
            </w:tcBorders>
            <w:shd w:val="clear" w:color="auto" w:fill="auto"/>
            <w:vAlign w:val="center"/>
          </w:tcPr>
          <w:p w14:paraId="4FF4708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Q=500L/h,H=70m,N=1.5KW</w:t>
            </w:r>
          </w:p>
        </w:tc>
        <w:tc>
          <w:tcPr>
            <w:tcW w:w="336" w:type="pct"/>
            <w:tcBorders>
              <w:tl2br w:val="nil"/>
              <w:tr2bl w:val="nil"/>
            </w:tcBorders>
            <w:shd w:val="clear" w:color="auto" w:fill="auto"/>
            <w:vAlign w:val="center"/>
          </w:tcPr>
          <w:p w14:paraId="59F6F95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5D1F27F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3C9E272F">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4D8B16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9" w:hRule="atLeast"/>
        </w:trPr>
        <w:tc>
          <w:tcPr>
            <w:tcW w:w="445" w:type="pct"/>
            <w:tcBorders>
              <w:tl2br w:val="nil"/>
              <w:tr2bl w:val="nil"/>
            </w:tcBorders>
            <w:shd w:val="clear" w:color="auto" w:fill="auto"/>
            <w:vAlign w:val="center"/>
          </w:tcPr>
          <w:p w14:paraId="3B6AD87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c>
          <w:tcPr>
            <w:tcW w:w="887" w:type="pct"/>
            <w:tcBorders>
              <w:tl2br w:val="nil"/>
              <w:tr2bl w:val="nil"/>
            </w:tcBorders>
            <w:shd w:val="clear" w:color="auto" w:fill="auto"/>
            <w:vAlign w:val="center"/>
          </w:tcPr>
          <w:p w14:paraId="3E6AABD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转子流量计</w:t>
            </w:r>
          </w:p>
        </w:tc>
        <w:tc>
          <w:tcPr>
            <w:tcW w:w="2110" w:type="pct"/>
            <w:tcBorders>
              <w:tl2br w:val="nil"/>
              <w:tr2bl w:val="nil"/>
            </w:tcBorders>
            <w:shd w:val="clear" w:color="auto" w:fill="auto"/>
            <w:vAlign w:val="center"/>
          </w:tcPr>
          <w:p w14:paraId="029A4CE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DN40,0-2m3</w:t>
            </w:r>
          </w:p>
        </w:tc>
        <w:tc>
          <w:tcPr>
            <w:tcW w:w="336" w:type="pct"/>
            <w:tcBorders>
              <w:tl2br w:val="nil"/>
              <w:tr2bl w:val="nil"/>
            </w:tcBorders>
            <w:shd w:val="clear" w:color="auto" w:fill="auto"/>
            <w:vAlign w:val="center"/>
          </w:tcPr>
          <w:p w14:paraId="2CC9A40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6CCBCAE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48959FFD">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561049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2" w:hRule="atLeast"/>
        </w:trPr>
        <w:tc>
          <w:tcPr>
            <w:tcW w:w="445" w:type="pct"/>
            <w:tcBorders>
              <w:tl2br w:val="nil"/>
              <w:tr2bl w:val="nil"/>
            </w:tcBorders>
            <w:shd w:val="clear" w:color="auto" w:fill="auto"/>
            <w:vAlign w:val="center"/>
          </w:tcPr>
          <w:p w14:paraId="79F598E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887" w:type="pct"/>
            <w:tcBorders>
              <w:tl2br w:val="nil"/>
              <w:tr2bl w:val="nil"/>
            </w:tcBorders>
            <w:shd w:val="clear" w:color="auto" w:fill="auto"/>
            <w:vAlign w:val="center"/>
          </w:tcPr>
          <w:p w14:paraId="52DE7A8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Y型过滤器</w:t>
            </w:r>
          </w:p>
        </w:tc>
        <w:tc>
          <w:tcPr>
            <w:tcW w:w="2110" w:type="pct"/>
            <w:tcBorders>
              <w:tl2br w:val="nil"/>
              <w:tr2bl w:val="nil"/>
            </w:tcBorders>
            <w:shd w:val="clear" w:color="auto" w:fill="auto"/>
            <w:vAlign w:val="center"/>
          </w:tcPr>
          <w:p w14:paraId="665F549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DN40</w:t>
            </w:r>
          </w:p>
        </w:tc>
        <w:tc>
          <w:tcPr>
            <w:tcW w:w="336" w:type="pct"/>
            <w:tcBorders>
              <w:tl2br w:val="nil"/>
              <w:tr2bl w:val="nil"/>
            </w:tcBorders>
            <w:shd w:val="clear" w:color="auto" w:fill="auto"/>
            <w:vAlign w:val="center"/>
          </w:tcPr>
          <w:p w14:paraId="1267480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76F912B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0D7408D5">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063F6F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7EC1259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w:t>
            </w:r>
          </w:p>
        </w:tc>
        <w:tc>
          <w:tcPr>
            <w:tcW w:w="887" w:type="pct"/>
            <w:tcBorders>
              <w:tl2br w:val="nil"/>
              <w:tr2bl w:val="nil"/>
            </w:tcBorders>
            <w:shd w:val="clear" w:color="auto" w:fill="auto"/>
            <w:vAlign w:val="center"/>
          </w:tcPr>
          <w:p w14:paraId="5E2A0BE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计量泵前球阀</w:t>
            </w:r>
          </w:p>
        </w:tc>
        <w:tc>
          <w:tcPr>
            <w:tcW w:w="2110" w:type="pct"/>
            <w:tcBorders>
              <w:tl2br w:val="nil"/>
              <w:tr2bl w:val="nil"/>
            </w:tcBorders>
            <w:shd w:val="clear" w:color="auto" w:fill="auto"/>
            <w:vAlign w:val="center"/>
          </w:tcPr>
          <w:p w14:paraId="2B92C15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DN40</w:t>
            </w:r>
          </w:p>
        </w:tc>
        <w:tc>
          <w:tcPr>
            <w:tcW w:w="336" w:type="pct"/>
            <w:tcBorders>
              <w:tl2br w:val="nil"/>
              <w:tr2bl w:val="nil"/>
            </w:tcBorders>
            <w:shd w:val="clear" w:color="auto" w:fill="auto"/>
            <w:vAlign w:val="center"/>
          </w:tcPr>
          <w:p w14:paraId="2ADCB63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01BDB58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31E19D86">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4556A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4125872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887" w:type="pct"/>
            <w:tcBorders>
              <w:tl2br w:val="nil"/>
              <w:tr2bl w:val="nil"/>
            </w:tcBorders>
            <w:shd w:val="clear" w:color="auto" w:fill="auto"/>
            <w:vAlign w:val="center"/>
          </w:tcPr>
          <w:p w14:paraId="507554E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计量泵止回阀</w:t>
            </w:r>
          </w:p>
        </w:tc>
        <w:tc>
          <w:tcPr>
            <w:tcW w:w="2110" w:type="pct"/>
            <w:tcBorders>
              <w:tl2br w:val="nil"/>
              <w:tr2bl w:val="nil"/>
            </w:tcBorders>
            <w:shd w:val="clear" w:color="auto" w:fill="auto"/>
            <w:vAlign w:val="center"/>
          </w:tcPr>
          <w:p w14:paraId="64D484B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DN40</w:t>
            </w:r>
          </w:p>
        </w:tc>
        <w:tc>
          <w:tcPr>
            <w:tcW w:w="336" w:type="pct"/>
            <w:tcBorders>
              <w:tl2br w:val="nil"/>
              <w:tr2bl w:val="nil"/>
            </w:tcBorders>
            <w:shd w:val="clear" w:color="auto" w:fill="auto"/>
            <w:vAlign w:val="center"/>
          </w:tcPr>
          <w:p w14:paraId="0484BD8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6691D93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144B6467">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4CAA98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616AE45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w:t>
            </w:r>
          </w:p>
        </w:tc>
        <w:tc>
          <w:tcPr>
            <w:tcW w:w="887" w:type="pct"/>
            <w:tcBorders>
              <w:tl2br w:val="nil"/>
              <w:tr2bl w:val="nil"/>
            </w:tcBorders>
            <w:shd w:val="clear" w:color="auto" w:fill="auto"/>
            <w:vAlign w:val="center"/>
          </w:tcPr>
          <w:p w14:paraId="2F8AB90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计量泵后球阀</w:t>
            </w:r>
          </w:p>
        </w:tc>
        <w:tc>
          <w:tcPr>
            <w:tcW w:w="2110" w:type="pct"/>
            <w:tcBorders>
              <w:tl2br w:val="nil"/>
              <w:tr2bl w:val="nil"/>
            </w:tcBorders>
            <w:shd w:val="clear" w:color="auto" w:fill="auto"/>
            <w:vAlign w:val="center"/>
          </w:tcPr>
          <w:p w14:paraId="204A7A2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DN40</w:t>
            </w:r>
          </w:p>
        </w:tc>
        <w:tc>
          <w:tcPr>
            <w:tcW w:w="336" w:type="pct"/>
            <w:tcBorders>
              <w:tl2br w:val="nil"/>
              <w:tr2bl w:val="nil"/>
            </w:tcBorders>
            <w:shd w:val="clear" w:color="auto" w:fill="auto"/>
            <w:vAlign w:val="center"/>
          </w:tcPr>
          <w:p w14:paraId="191538D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3D2DA91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04783E52">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53A52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52948DE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w:t>
            </w:r>
          </w:p>
        </w:tc>
        <w:tc>
          <w:tcPr>
            <w:tcW w:w="887" w:type="pct"/>
            <w:tcBorders>
              <w:tl2br w:val="nil"/>
              <w:tr2bl w:val="nil"/>
            </w:tcBorders>
            <w:shd w:val="clear" w:color="auto" w:fill="auto"/>
            <w:vAlign w:val="center"/>
          </w:tcPr>
          <w:p w14:paraId="7D7D280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加药手动阀门</w:t>
            </w:r>
          </w:p>
        </w:tc>
        <w:tc>
          <w:tcPr>
            <w:tcW w:w="2110" w:type="pct"/>
            <w:tcBorders>
              <w:tl2br w:val="nil"/>
              <w:tr2bl w:val="nil"/>
            </w:tcBorders>
            <w:shd w:val="clear" w:color="auto" w:fill="auto"/>
            <w:vAlign w:val="center"/>
          </w:tcPr>
          <w:p w14:paraId="3DFB067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DN40</w:t>
            </w:r>
          </w:p>
        </w:tc>
        <w:tc>
          <w:tcPr>
            <w:tcW w:w="336" w:type="pct"/>
            <w:tcBorders>
              <w:tl2br w:val="nil"/>
              <w:tr2bl w:val="nil"/>
            </w:tcBorders>
            <w:shd w:val="clear" w:color="auto" w:fill="auto"/>
            <w:vAlign w:val="center"/>
          </w:tcPr>
          <w:p w14:paraId="74EBEAD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415" w:type="pct"/>
            <w:tcBorders>
              <w:tl2br w:val="nil"/>
              <w:tr2bl w:val="nil"/>
            </w:tcBorders>
            <w:shd w:val="clear" w:color="auto" w:fill="auto"/>
            <w:vAlign w:val="center"/>
          </w:tcPr>
          <w:p w14:paraId="01F8F54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7C4C2EA5">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16C8D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67" w:hRule="atLeast"/>
        </w:trPr>
        <w:tc>
          <w:tcPr>
            <w:tcW w:w="445" w:type="pct"/>
            <w:tcBorders>
              <w:tl2br w:val="nil"/>
              <w:tr2bl w:val="nil"/>
            </w:tcBorders>
            <w:shd w:val="clear" w:color="auto" w:fill="auto"/>
            <w:vAlign w:val="center"/>
          </w:tcPr>
          <w:p w14:paraId="20C7DB8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w:t>
            </w:r>
          </w:p>
        </w:tc>
        <w:tc>
          <w:tcPr>
            <w:tcW w:w="887" w:type="pct"/>
            <w:tcBorders>
              <w:tl2br w:val="nil"/>
              <w:tr2bl w:val="nil"/>
            </w:tcBorders>
            <w:shd w:val="clear" w:color="auto" w:fill="auto"/>
            <w:vAlign w:val="center"/>
          </w:tcPr>
          <w:p w14:paraId="1D8BA23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加药电磁阀</w:t>
            </w:r>
          </w:p>
        </w:tc>
        <w:tc>
          <w:tcPr>
            <w:tcW w:w="2110" w:type="pct"/>
            <w:tcBorders>
              <w:tl2br w:val="nil"/>
              <w:tr2bl w:val="nil"/>
            </w:tcBorders>
            <w:shd w:val="clear" w:color="auto" w:fill="auto"/>
            <w:vAlign w:val="center"/>
          </w:tcPr>
          <w:p w14:paraId="72A7743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DN40</w:t>
            </w:r>
          </w:p>
        </w:tc>
        <w:tc>
          <w:tcPr>
            <w:tcW w:w="336" w:type="pct"/>
            <w:tcBorders>
              <w:tl2br w:val="nil"/>
              <w:tr2bl w:val="nil"/>
            </w:tcBorders>
            <w:shd w:val="clear" w:color="auto" w:fill="auto"/>
            <w:vAlign w:val="center"/>
          </w:tcPr>
          <w:p w14:paraId="1DAF0F8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51C5EB5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77343249">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3740F5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5" w:hRule="atLeast"/>
        </w:trPr>
        <w:tc>
          <w:tcPr>
            <w:tcW w:w="445" w:type="pct"/>
            <w:tcBorders>
              <w:tl2br w:val="nil"/>
              <w:tr2bl w:val="nil"/>
            </w:tcBorders>
            <w:shd w:val="clear" w:color="auto" w:fill="auto"/>
            <w:vAlign w:val="center"/>
          </w:tcPr>
          <w:p w14:paraId="627BE38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14</w:t>
            </w:r>
          </w:p>
        </w:tc>
        <w:tc>
          <w:tcPr>
            <w:tcW w:w="887" w:type="pct"/>
            <w:tcBorders>
              <w:tl2br w:val="nil"/>
              <w:tr2bl w:val="nil"/>
            </w:tcBorders>
            <w:shd w:val="clear" w:color="auto" w:fill="auto"/>
            <w:vAlign w:val="center"/>
          </w:tcPr>
          <w:p w14:paraId="1C09B69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碱加药箱</w:t>
            </w:r>
          </w:p>
        </w:tc>
        <w:tc>
          <w:tcPr>
            <w:tcW w:w="2110" w:type="pct"/>
            <w:tcBorders>
              <w:tl2br w:val="nil"/>
              <w:tr2bl w:val="nil"/>
            </w:tcBorders>
            <w:shd w:val="clear" w:color="auto" w:fill="auto"/>
            <w:vAlign w:val="center"/>
          </w:tcPr>
          <w:p w14:paraId="35E4EF98">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6" w:type="pct"/>
            <w:tcBorders>
              <w:tl2br w:val="nil"/>
              <w:tr2bl w:val="nil"/>
            </w:tcBorders>
            <w:shd w:val="clear" w:color="auto" w:fill="auto"/>
            <w:vAlign w:val="center"/>
          </w:tcPr>
          <w:p w14:paraId="53A5962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744F7D0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70C117AE">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9F003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0F7A32C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六</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887" w:type="pct"/>
            <w:tcBorders>
              <w:tl2br w:val="nil"/>
              <w:tr2bl w:val="nil"/>
            </w:tcBorders>
            <w:shd w:val="clear" w:color="auto" w:fill="auto"/>
            <w:vAlign w:val="center"/>
          </w:tcPr>
          <w:p w14:paraId="1BA0ED1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曝气部分</w:t>
            </w:r>
          </w:p>
        </w:tc>
        <w:tc>
          <w:tcPr>
            <w:tcW w:w="2110" w:type="pct"/>
            <w:tcBorders>
              <w:tl2br w:val="nil"/>
              <w:tr2bl w:val="nil"/>
            </w:tcBorders>
            <w:shd w:val="clear" w:color="auto" w:fill="auto"/>
            <w:vAlign w:val="center"/>
          </w:tcPr>
          <w:p w14:paraId="5FC22D67">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6" w:type="pct"/>
            <w:tcBorders>
              <w:tl2br w:val="nil"/>
              <w:tr2bl w:val="nil"/>
            </w:tcBorders>
            <w:shd w:val="clear" w:color="auto" w:fill="auto"/>
            <w:vAlign w:val="center"/>
          </w:tcPr>
          <w:p w14:paraId="75E6DE57">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415" w:type="pct"/>
            <w:tcBorders>
              <w:tl2br w:val="nil"/>
              <w:tr2bl w:val="nil"/>
            </w:tcBorders>
            <w:shd w:val="clear" w:color="auto" w:fill="auto"/>
            <w:vAlign w:val="center"/>
          </w:tcPr>
          <w:p w14:paraId="7EC333D0">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04" w:type="pct"/>
            <w:tcBorders>
              <w:tl2br w:val="nil"/>
              <w:tr2bl w:val="nil"/>
            </w:tcBorders>
            <w:shd w:val="clear" w:color="auto" w:fill="auto"/>
            <w:vAlign w:val="center"/>
          </w:tcPr>
          <w:p w14:paraId="39DFA4F3">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142A9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8" w:hRule="atLeast"/>
        </w:trPr>
        <w:tc>
          <w:tcPr>
            <w:tcW w:w="445" w:type="pct"/>
            <w:tcBorders>
              <w:tl2br w:val="nil"/>
              <w:tr2bl w:val="nil"/>
            </w:tcBorders>
            <w:shd w:val="clear" w:color="auto" w:fill="auto"/>
            <w:vAlign w:val="center"/>
          </w:tcPr>
          <w:p w14:paraId="0D5E395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574E208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磁悬浮风机</w:t>
            </w:r>
          </w:p>
        </w:tc>
        <w:tc>
          <w:tcPr>
            <w:tcW w:w="2110" w:type="pct"/>
            <w:tcBorders>
              <w:tl2br w:val="nil"/>
              <w:tr2bl w:val="nil"/>
            </w:tcBorders>
            <w:shd w:val="clear" w:color="auto" w:fill="auto"/>
            <w:vAlign w:val="center"/>
          </w:tcPr>
          <w:p w14:paraId="5A9FFCE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Q=113m3/min,30KPa,N=75KW</w:t>
            </w:r>
          </w:p>
        </w:tc>
        <w:tc>
          <w:tcPr>
            <w:tcW w:w="336" w:type="pct"/>
            <w:tcBorders>
              <w:tl2br w:val="nil"/>
              <w:tr2bl w:val="nil"/>
            </w:tcBorders>
            <w:shd w:val="clear" w:color="auto" w:fill="auto"/>
            <w:vAlign w:val="center"/>
          </w:tcPr>
          <w:p w14:paraId="71C0C9F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0A3AECC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3BAEE233">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14EAB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00AEA31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7E30F51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风机出口阀门</w:t>
            </w:r>
          </w:p>
        </w:tc>
        <w:tc>
          <w:tcPr>
            <w:tcW w:w="2110" w:type="pct"/>
            <w:tcBorders>
              <w:tl2br w:val="nil"/>
              <w:tr2bl w:val="nil"/>
            </w:tcBorders>
            <w:shd w:val="clear" w:color="auto" w:fill="auto"/>
            <w:vAlign w:val="center"/>
          </w:tcPr>
          <w:p w14:paraId="404ACAB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DN600</w:t>
            </w:r>
          </w:p>
        </w:tc>
        <w:tc>
          <w:tcPr>
            <w:tcW w:w="336" w:type="pct"/>
            <w:tcBorders>
              <w:tl2br w:val="nil"/>
              <w:tr2bl w:val="nil"/>
            </w:tcBorders>
            <w:shd w:val="clear" w:color="auto" w:fill="auto"/>
            <w:vAlign w:val="center"/>
          </w:tcPr>
          <w:p w14:paraId="7D9D2AC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41DF8A8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197EDDD3">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383074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70" w:hRule="atLeast"/>
        </w:trPr>
        <w:tc>
          <w:tcPr>
            <w:tcW w:w="445" w:type="pct"/>
            <w:tcBorders>
              <w:tl2br w:val="nil"/>
              <w:tr2bl w:val="nil"/>
            </w:tcBorders>
            <w:shd w:val="clear" w:color="auto" w:fill="auto"/>
            <w:vAlign w:val="center"/>
          </w:tcPr>
          <w:p w14:paraId="4CA82A4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26DA45E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曝气主管手动阀门</w:t>
            </w:r>
          </w:p>
        </w:tc>
        <w:tc>
          <w:tcPr>
            <w:tcW w:w="2110" w:type="pct"/>
            <w:tcBorders>
              <w:tl2br w:val="nil"/>
              <w:tr2bl w:val="nil"/>
            </w:tcBorders>
            <w:shd w:val="clear" w:color="auto" w:fill="auto"/>
            <w:vAlign w:val="center"/>
          </w:tcPr>
          <w:p w14:paraId="1C9762D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DN250</w:t>
            </w:r>
          </w:p>
        </w:tc>
        <w:tc>
          <w:tcPr>
            <w:tcW w:w="336" w:type="pct"/>
            <w:tcBorders>
              <w:tl2br w:val="nil"/>
              <w:tr2bl w:val="nil"/>
            </w:tcBorders>
            <w:shd w:val="clear" w:color="auto" w:fill="auto"/>
            <w:vAlign w:val="center"/>
          </w:tcPr>
          <w:p w14:paraId="79D1ADC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38E3DD2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513CEBBE">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3288A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20" w:hRule="atLeast"/>
        </w:trPr>
        <w:tc>
          <w:tcPr>
            <w:tcW w:w="445" w:type="pct"/>
            <w:tcBorders>
              <w:tl2br w:val="nil"/>
              <w:tr2bl w:val="nil"/>
            </w:tcBorders>
            <w:shd w:val="clear" w:color="auto" w:fill="auto"/>
            <w:vAlign w:val="center"/>
          </w:tcPr>
          <w:p w14:paraId="4F65448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887" w:type="pct"/>
            <w:tcBorders>
              <w:tl2br w:val="nil"/>
              <w:tr2bl w:val="nil"/>
            </w:tcBorders>
            <w:shd w:val="clear" w:color="auto" w:fill="auto"/>
            <w:vAlign w:val="center"/>
          </w:tcPr>
          <w:p w14:paraId="3DDB929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膜组件曝气手动阀门</w:t>
            </w:r>
          </w:p>
        </w:tc>
        <w:tc>
          <w:tcPr>
            <w:tcW w:w="2110" w:type="pct"/>
            <w:tcBorders>
              <w:tl2br w:val="nil"/>
              <w:tr2bl w:val="nil"/>
            </w:tcBorders>
            <w:shd w:val="clear" w:color="auto" w:fill="auto"/>
            <w:vAlign w:val="center"/>
          </w:tcPr>
          <w:p w14:paraId="6713276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DN100</w:t>
            </w:r>
          </w:p>
        </w:tc>
        <w:tc>
          <w:tcPr>
            <w:tcW w:w="336" w:type="pct"/>
            <w:tcBorders>
              <w:tl2br w:val="nil"/>
              <w:tr2bl w:val="nil"/>
            </w:tcBorders>
            <w:shd w:val="clear" w:color="auto" w:fill="auto"/>
            <w:vAlign w:val="center"/>
          </w:tcPr>
          <w:p w14:paraId="0086351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144</w:t>
            </w:r>
          </w:p>
        </w:tc>
        <w:tc>
          <w:tcPr>
            <w:tcW w:w="415" w:type="pct"/>
            <w:tcBorders>
              <w:tl2br w:val="nil"/>
              <w:tr2bl w:val="nil"/>
            </w:tcBorders>
            <w:shd w:val="clear" w:color="auto" w:fill="auto"/>
            <w:vAlign w:val="center"/>
          </w:tcPr>
          <w:p w14:paraId="788E16D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6D1BFE67">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4FCECA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3F668EC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七</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4554" w:type="pct"/>
            <w:gridSpan w:val="5"/>
            <w:tcBorders>
              <w:tl2br w:val="nil"/>
              <w:tr2bl w:val="nil"/>
            </w:tcBorders>
            <w:shd w:val="clear" w:color="auto" w:fill="auto"/>
            <w:vAlign w:val="center"/>
          </w:tcPr>
          <w:p w14:paraId="07BC840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污泥回流部分</w:t>
            </w:r>
          </w:p>
        </w:tc>
      </w:tr>
      <w:tr w14:paraId="3B2E7A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20" w:hRule="atLeast"/>
        </w:trPr>
        <w:tc>
          <w:tcPr>
            <w:tcW w:w="445" w:type="pct"/>
            <w:tcBorders>
              <w:tl2br w:val="nil"/>
              <w:tr2bl w:val="nil"/>
            </w:tcBorders>
            <w:shd w:val="clear" w:color="auto" w:fill="auto"/>
            <w:vAlign w:val="center"/>
          </w:tcPr>
          <w:p w14:paraId="5FAE4AE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2D61F74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回流泵</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膜池至好氧池</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2110" w:type="pct"/>
            <w:tcBorders>
              <w:tl2br w:val="nil"/>
              <w:tr2bl w:val="nil"/>
            </w:tcBorders>
            <w:shd w:val="clear" w:color="auto" w:fill="auto"/>
            <w:vAlign w:val="center"/>
          </w:tcPr>
          <w:p w14:paraId="5CC852D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Q=1080m3/h,H=11m,N=55KW</w:t>
            </w:r>
          </w:p>
        </w:tc>
        <w:tc>
          <w:tcPr>
            <w:tcW w:w="336" w:type="pct"/>
            <w:tcBorders>
              <w:tl2br w:val="nil"/>
              <w:tr2bl w:val="nil"/>
            </w:tcBorders>
            <w:shd w:val="clear" w:color="auto" w:fill="auto"/>
            <w:vAlign w:val="center"/>
          </w:tcPr>
          <w:p w14:paraId="3C6D969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415" w:type="pct"/>
            <w:tcBorders>
              <w:tl2br w:val="nil"/>
              <w:tr2bl w:val="nil"/>
            </w:tcBorders>
            <w:shd w:val="clear" w:color="auto" w:fill="auto"/>
            <w:vAlign w:val="center"/>
          </w:tcPr>
          <w:p w14:paraId="496242E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5C258CD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6用2备</w:t>
            </w:r>
          </w:p>
        </w:tc>
      </w:tr>
      <w:tr w14:paraId="14106E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7" w:hRule="atLeast"/>
        </w:trPr>
        <w:tc>
          <w:tcPr>
            <w:tcW w:w="445" w:type="pct"/>
            <w:tcBorders>
              <w:tl2br w:val="nil"/>
              <w:tr2bl w:val="nil"/>
            </w:tcBorders>
            <w:shd w:val="clear" w:color="auto" w:fill="auto"/>
            <w:vAlign w:val="center"/>
          </w:tcPr>
          <w:p w14:paraId="67A5544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414FF7C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剩余污泥泵</w:t>
            </w:r>
          </w:p>
        </w:tc>
        <w:tc>
          <w:tcPr>
            <w:tcW w:w="2110" w:type="pct"/>
            <w:tcBorders>
              <w:tl2br w:val="nil"/>
              <w:tr2bl w:val="nil"/>
            </w:tcBorders>
            <w:shd w:val="clear" w:color="auto" w:fill="auto"/>
            <w:vAlign w:val="center"/>
          </w:tcPr>
          <w:p w14:paraId="1F5A460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Q=50m3/h,H=25m,N=7.5KW</w:t>
            </w:r>
          </w:p>
        </w:tc>
        <w:tc>
          <w:tcPr>
            <w:tcW w:w="336" w:type="pct"/>
            <w:tcBorders>
              <w:tl2br w:val="nil"/>
              <w:tr2bl w:val="nil"/>
            </w:tcBorders>
            <w:shd w:val="clear" w:color="auto" w:fill="auto"/>
            <w:vAlign w:val="center"/>
          </w:tcPr>
          <w:p w14:paraId="3E515C4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2295DCB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1E5D045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1用1备</w:t>
            </w:r>
          </w:p>
        </w:tc>
      </w:tr>
      <w:tr w14:paraId="632D0D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06AC188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331EEC0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止回阀</w:t>
            </w:r>
          </w:p>
        </w:tc>
        <w:tc>
          <w:tcPr>
            <w:tcW w:w="2110" w:type="pct"/>
            <w:tcBorders>
              <w:tl2br w:val="nil"/>
              <w:tr2bl w:val="nil"/>
            </w:tcBorders>
            <w:shd w:val="clear" w:color="auto" w:fill="auto"/>
            <w:vAlign w:val="center"/>
          </w:tcPr>
          <w:p w14:paraId="4BDE65E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DN450</w:t>
            </w:r>
          </w:p>
        </w:tc>
        <w:tc>
          <w:tcPr>
            <w:tcW w:w="336" w:type="pct"/>
            <w:tcBorders>
              <w:tl2br w:val="nil"/>
              <w:tr2bl w:val="nil"/>
            </w:tcBorders>
            <w:shd w:val="clear" w:color="auto" w:fill="auto"/>
            <w:vAlign w:val="center"/>
          </w:tcPr>
          <w:p w14:paraId="72F21B7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415" w:type="pct"/>
            <w:tcBorders>
              <w:tl2br w:val="nil"/>
              <w:tr2bl w:val="nil"/>
            </w:tcBorders>
            <w:shd w:val="clear" w:color="auto" w:fill="auto"/>
            <w:vAlign w:val="center"/>
          </w:tcPr>
          <w:p w14:paraId="3851B45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362957F0">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0B5F69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625D27F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887" w:type="pct"/>
            <w:tcBorders>
              <w:tl2br w:val="nil"/>
              <w:tr2bl w:val="nil"/>
            </w:tcBorders>
            <w:shd w:val="clear" w:color="auto" w:fill="auto"/>
            <w:vAlign w:val="center"/>
          </w:tcPr>
          <w:p w14:paraId="5B55A3C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止回阀</w:t>
            </w:r>
          </w:p>
        </w:tc>
        <w:tc>
          <w:tcPr>
            <w:tcW w:w="2110" w:type="pct"/>
            <w:tcBorders>
              <w:tl2br w:val="nil"/>
              <w:tr2bl w:val="nil"/>
            </w:tcBorders>
            <w:shd w:val="clear" w:color="auto" w:fill="auto"/>
            <w:vAlign w:val="center"/>
          </w:tcPr>
          <w:p w14:paraId="6526955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DN150</w:t>
            </w:r>
          </w:p>
        </w:tc>
        <w:tc>
          <w:tcPr>
            <w:tcW w:w="336" w:type="pct"/>
            <w:tcBorders>
              <w:tl2br w:val="nil"/>
              <w:tr2bl w:val="nil"/>
            </w:tcBorders>
            <w:shd w:val="clear" w:color="auto" w:fill="auto"/>
            <w:vAlign w:val="center"/>
          </w:tcPr>
          <w:p w14:paraId="13026D5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579B2BD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2EB2A26A">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5BEBE4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0339777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887" w:type="pct"/>
            <w:tcBorders>
              <w:tl2br w:val="nil"/>
              <w:tr2bl w:val="nil"/>
            </w:tcBorders>
            <w:shd w:val="clear" w:color="auto" w:fill="auto"/>
            <w:vAlign w:val="center"/>
          </w:tcPr>
          <w:p w14:paraId="65B0918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弹性饶头</w:t>
            </w:r>
          </w:p>
        </w:tc>
        <w:tc>
          <w:tcPr>
            <w:tcW w:w="2110" w:type="pct"/>
            <w:tcBorders>
              <w:tl2br w:val="nil"/>
              <w:tr2bl w:val="nil"/>
            </w:tcBorders>
            <w:shd w:val="clear" w:color="auto" w:fill="auto"/>
            <w:vAlign w:val="center"/>
          </w:tcPr>
          <w:p w14:paraId="19E735B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DN450</w:t>
            </w:r>
          </w:p>
        </w:tc>
        <w:tc>
          <w:tcPr>
            <w:tcW w:w="336" w:type="pct"/>
            <w:tcBorders>
              <w:tl2br w:val="nil"/>
              <w:tr2bl w:val="nil"/>
            </w:tcBorders>
            <w:shd w:val="clear" w:color="auto" w:fill="auto"/>
            <w:vAlign w:val="center"/>
          </w:tcPr>
          <w:p w14:paraId="782A276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5C0D355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527C245D">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1AA858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2BAE16D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887" w:type="pct"/>
            <w:tcBorders>
              <w:tl2br w:val="nil"/>
              <w:tr2bl w:val="nil"/>
            </w:tcBorders>
            <w:shd w:val="clear" w:color="auto" w:fill="auto"/>
            <w:vAlign w:val="center"/>
          </w:tcPr>
          <w:p w14:paraId="216EB26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弹性饶头</w:t>
            </w:r>
          </w:p>
        </w:tc>
        <w:tc>
          <w:tcPr>
            <w:tcW w:w="2110" w:type="pct"/>
            <w:tcBorders>
              <w:tl2br w:val="nil"/>
              <w:tr2bl w:val="nil"/>
            </w:tcBorders>
            <w:shd w:val="clear" w:color="auto" w:fill="auto"/>
            <w:vAlign w:val="center"/>
          </w:tcPr>
          <w:p w14:paraId="68F1501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DN150</w:t>
            </w:r>
          </w:p>
        </w:tc>
        <w:tc>
          <w:tcPr>
            <w:tcW w:w="336" w:type="pct"/>
            <w:tcBorders>
              <w:tl2br w:val="nil"/>
              <w:tr2bl w:val="nil"/>
            </w:tcBorders>
            <w:shd w:val="clear" w:color="auto" w:fill="auto"/>
            <w:vAlign w:val="center"/>
          </w:tcPr>
          <w:p w14:paraId="03BBB67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39416C6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1B29BEFE">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070A48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4213F17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c>
          <w:tcPr>
            <w:tcW w:w="887" w:type="pct"/>
            <w:tcBorders>
              <w:tl2br w:val="nil"/>
              <w:tr2bl w:val="nil"/>
            </w:tcBorders>
            <w:shd w:val="clear" w:color="auto" w:fill="auto"/>
            <w:vAlign w:val="center"/>
          </w:tcPr>
          <w:p w14:paraId="2E9FC06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手动蝶阀</w:t>
            </w:r>
          </w:p>
        </w:tc>
        <w:tc>
          <w:tcPr>
            <w:tcW w:w="2110" w:type="pct"/>
            <w:tcBorders>
              <w:tl2br w:val="nil"/>
              <w:tr2bl w:val="nil"/>
            </w:tcBorders>
            <w:shd w:val="clear" w:color="auto" w:fill="auto"/>
            <w:vAlign w:val="center"/>
          </w:tcPr>
          <w:p w14:paraId="20182AA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DN450</w:t>
            </w:r>
          </w:p>
        </w:tc>
        <w:tc>
          <w:tcPr>
            <w:tcW w:w="336" w:type="pct"/>
            <w:tcBorders>
              <w:tl2br w:val="nil"/>
              <w:tr2bl w:val="nil"/>
            </w:tcBorders>
            <w:shd w:val="clear" w:color="auto" w:fill="auto"/>
            <w:vAlign w:val="center"/>
          </w:tcPr>
          <w:p w14:paraId="3E6D10A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3B364F8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112531C9">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F0BC3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13C8013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887" w:type="pct"/>
            <w:tcBorders>
              <w:tl2br w:val="nil"/>
              <w:tr2bl w:val="nil"/>
            </w:tcBorders>
            <w:shd w:val="clear" w:color="auto" w:fill="auto"/>
            <w:vAlign w:val="center"/>
          </w:tcPr>
          <w:p w14:paraId="30F012C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手动闸阀</w:t>
            </w:r>
          </w:p>
        </w:tc>
        <w:tc>
          <w:tcPr>
            <w:tcW w:w="2110" w:type="pct"/>
            <w:tcBorders>
              <w:tl2br w:val="nil"/>
              <w:tr2bl w:val="nil"/>
            </w:tcBorders>
            <w:shd w:val="clear" w:color="auto" w:fill="auto"/>
            <w:vAlign w:val="center"/>
          </w:tcPr>
          <w:p w14:paraId="5B1149E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DN150</w:t>
            </w:r>
          </w:p>
        </w:tc>
        <w:tc>
          <w:tcPr>
            <w:tcW w:w="336" w:type="pct"/>
            <w:tcBorders>
              <w:tl2br w:val="nil"/>
              <w:tr2bl w:val="nil"/>
            </w:tcBorders>
            <w:shd w:val="clear" w:color="auto" w:fill="auto"/>
            <w:vAlign w:val="center"/>
          </w:tcPr>
          <w:p w14:paraId="2833D0B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58AAFF0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3D6A938D">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700B5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0BF348B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八</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4554" w:type="pct"/>
            <w:gridSpan w:val="5"/>
            <w:tcBorders>
              <w:tl2br w:val="nil"/>
              <w:tr2bl w:val="nil"/>
            </w:tcBorders>
            <w:shd w:val="clear" w:color="auto" w:fill="auto"/>
            <w:vAlign w:val="center"/>
          </w:tcPr>
          <w:p w14:paraId="26D2D39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后缺氧池部分</w:t>
            </w:r>
          </w:p>
        </w:tc>
      </w:tr>
      <w:tr w14:paraId="7D22E2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100" w:hRule="atLeast"/>
        </w:trPr>
        <w:tc>
          <w:tcPr>
            <w:tcW w:w="445" w:type="pct"/>
            <w:tcBorders>
              <w:tl2br w:val="nil"/>
              <w:tr2bl w:val="nil"/>
            </w:tcBorders>
            <w:shd w:val="clear" w:color="auto" w:fill="auto"/>
            <w:vAlign w:val="center"/>
          </w:tcPr>
          <w:p w14:paraId="20EBE29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0BB2F77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回流泵</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好氧池至缺氧池</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2110" w:type="pct"/>
            <w:tcBorders>
              <w:tl2br w:val="nil"/>
              <w:tr2bl w:val="nil"/>
            </w:tcBorders>
            <w:shd w:val="clear" w:color="auto" w:fill="auto"/>
            <w:vAlign w:val="center"/>
          </w:tcPr>
          <w:p w14:paraId="535C3D3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潜污泵，Q=1875m³/h,H=9m,N=75kW,变频，配套现场控制箱、提升装置等</w:t>
            </w:r>
          </w:p>
        </w:tc>
        <w:tc>
          <w:tcPr>
            <w:tcW w:w="336" w:type="pct"/>
            <w:tcBorders>
              <w:tl2br w:val="nil"/>
              <w:tr2bl w:val="nil"/>
            </w:tcBorders>
            <w:shd w:val="clear" w:color="auto" w:fill="auto"/>
            <w:vAlign w:val="center"/>
          </w:tcPr>
          <w:p w14:paraId="142CEC3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336B3D2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50CFA58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 用 1 备</w:t>
            </w:r>
          </w:p>
        </w:tc>
      </w:tr>
      <w:tr w14:paraId="44BE67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20" w:hRule="atLeast"/>
        </w:trPr>
        <w:tc>
          <w:tcPr>
            <w:tcW w:w="445" w:type="pct"/>
            <w:tcBorders>
              <w:tl2br w:val="nil"/>
              <w:tr2bl w:val="nil"/>
            </w:tcBorders>
            <w:shd w:val="clear" w:color="auto" w:fill="auto"/>
            <w:vAlign w:val="center"/>
          </w:tcPr>
          <w:p w14:paraId="7C65875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042C019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潜水推流器</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后缺氧池</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2110" w:type="pct"/>
            <w:tcBorders>
              <w:tl2br w:val="nil"/>
              <w:tr2bl w:val="nil"/>
            </w:tcBorders>
            <w:shd w:val="clear" w:color="auto" w:fill="auto"/>
            <w:vAlign w:val="center"/>
          </w:tcPr>
          <w:p w14:paraId="465529D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1.D=2500mm,N=7.5kW,变频，包括提升装置、现场控制箱；2.材质：不锈钢</w:t>
            </w:r>
          </w:p>
        </w:tc>
        <w:tc>
          <w:tcPr>
            <w:tcW w:w="336" w:type="pct"/>
            <w:tcBorders>
              <w:tl2br w:val="nil"/>
              <w:tr2bl w:val="nil"/>
            </w:tcBorders>
            <w:shd w:val="clear" w:color="auto" w:fill="auto"/>
            <w:vAlign w:val="center"/>
          </w:tcPr>
          <w:p w14:paraId="6853235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729B61B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7DED96C1">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33C103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6FDF038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75A2206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止回阀</w:t>
            </w:r>
          </w:p>
        </w:tc>
        <w:tc>
          <w:tcPr>
            <w:tcW w:w="2110" w:type="pct"/>
            <w:tcBorders>
              <w:tl2br w:val="nil"/>
              <w:tr2bl w:val="nil"/>
            </w:tcBorders>
            <w:shd w:val="clear" w:color="auto" w:fill="auto"/>
            <w:vAlign w:val="center"/>
          </w:tcPr>
          <w:p w14:paraId="36DA3F3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DN600</w:t>
            </w:r>
          </w:p>
        </w:tc>
        <w:tc>
          <w:tcPr>
            <w:tcW w:w="336" w:type="pct"/>
            <w:tcBorders>
              <w:tl2br w:val="nil"/>
              <w:tr2bl w:val="nil"/>
            </w:tcBorders>
            <w:shd w:val="clear" w:color="auto" w:fill="auto"/>
            <w:vAlign w:val="center"/>
          </w:tcPr>
          <w:p w14:paraId="591B679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356B1AD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4747F1CD">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026984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6E74332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887" w:type="pct"/>
            <w:tcBorders>
              <w:tl2br w:val="nil"/>
              <w:tr2bl w:val="nil"/>
            </w:tcBorders>
            <w:shd w:val="clear" w:color="auto" w:fill="auto"/>
            <w:vAlign w:val="center"/>
          </w:tcPr>
          <w:p w14:paraId="75987DB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伸缩接头</w:t>
            </w:r>
          </w:p>
        </w:tc>
        <w:tc>
          <w:tcPr>
            <w:tcW w:w="2110" w:type="pct"/>
            <w:tcBorders>
              <w:tl2br w:val="nil"/>
              <w:tr2bl w:val="nil"/>
            </w:tcBorders>
            <w:shd w:val="clear" w:color="auto" w:fill="auto"/>
            <w:vAlign w:val="center"/>
          </w:tcPr>
          <w:p w14:paraId="6640E65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DN600</w:t>
            </w:r>
          </w:p>
        </w:tc>
        <w:tc>
          <w:tcPr>
            <w:tcW w:w="336" w:type="pct"/>
            <w:tcBorders>
              <w:tl2br w:val="nil"/>
              <w:tr2bl w:val="nil"/>
            </w:tcBorders>
            <w:shd w:val="clear" w:color="auto" w:fill="auto"/>
            <w:vAlign w:val="center"/>
          </w:tcPr>
          <w:p w14:paraId="34CB8C4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749BF0C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110D6546">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C2147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35345C0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887" w:type="pct"/>
            <w:tcBorders>
              <w:tl2br w:val="nil"/>
              <w:tr2bl w:val="nil"/>
            </w:tcBorders>
            <w:shd w:val="clear" w:color="auto" w:fill="auto"/>
            <w:vAlign w:val="center"/>
          </w:tcPr>
          <w:p w14:paraId="429F82C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手动蝶阀</w:t>
            </w:r>
          </w:p>
        </w:tc>
        <w:tc>
          <w:tcPr>
            <w:tcW w:w="2110" w:type="pct"/>
            <w:tcBorders>
              <w:tl2br w:val="nil"/>
              <w:tr2bl w:val="nil"/>
            </w:tcBorders>
            <w:shd w:val="clear" w:color="auto" w:fill="auto"/>
            <w:vAlign w:val="center"/>
          </w:tcPr>
          <w:p w14:paraId="54A0CEC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DN600</w:t>
            </w:r>
          </w:p>
        </w:tc>
        <w:tc>
          <w:tcPr>
            <w:tcW w:w="336" w:type="pct"/>
            <w:tcBorders>
              <w:tl2br w:val="nil"/>
              <w:tr2bl w:val="nil"/>
            </w:tcBorders>
            <w:shd w:val="clear" w:color="auto" w:fill="auto"/>
            <w:vAlign w:val="center"/>
          </w:tcPr>
          <w:p w14:paraId="6ACFFFB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24A98A2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702CD25E">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7B04C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51EF09D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九</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887" w:type="pct"/>
            <w:tcBorders>
              <w:tl2br w:val="nil"/>
              <w:tr2bl w:val="nil"/>
            </w:tcBorders>
            <w:shd w:val="clear" w:color="auto" w:fill="auto"/>
            <w:vAlign w:val="center"/>
          </w:tcPr>
          <w:p w14:paraId="7E77D3B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其它</w:t>
            </w:r>
          </w:p>
        </w:tc>
        <w:tc>
          <w:tcPr>
            <w:tcW w:w="2110" w:type="pct"/>
            <w:tcBorders>
              <w:tl2br w:val="nil"/>
              <w:tr2bl w:val="nil"/>
            </w:tcBorders>
            <w:shd w:val="clear" w:color="auto" w:fill="auto"/>
            <w:vAlign w:val="center"/>
          </w:tcPr>
          <w:p w14:paraId="43C22208">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6" w:type="pct"/>
            <w:tcBorders>
              <w:tl2br w:val="nil"/>
              <w:tr2bl w:val="nil"/>
            </w:tcBorders>
            <w:shd w:val="clear" w:color="auto" w:fill="auto"/>
            <w:vAlign w:val="center"/>
          </w:tcPr>
          <w:p w14:paraId="5B723B2F">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415" w:type="pct"/>
            <w:tcBorders>
              <w:tl2br w:val="nil"/>
              <w:tr2bl w:val="nil"/>
            </w:tcBorders>
            <w:shd w:val="clear" w:color="auto" w:fill="auto"/>
            <w:vAlign w:val="center"/>
          </w:tcPr>
          <w:p w14:paraId="24C8ADA7">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04" w:type="pct"/>
            <w:tcBorders>
              <w:tl2br w:val="nil"/>
              <w:tr2bl w:val="nil"/>
            </w:tcBorders>
            <w:shd w:val="clear" w:color="auto" w:fill="auto"/>
            <w:vAlign w:val="center"/>
          </w:tcPr>
          <w:p w14:paraId="367A544C">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32641E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32DC8EB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0230A28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电控系统</w:t>
            </w:r>
          </w:p>
        </w:tc>
        <w:tc>
          <w:tcPr>
            <w:tcW w:w="2110" w:type="pct"/>
            <w:tcBorders>
              <w:tl2br w:val="nil"/>
              <w:tr2bl w:val="nil"/>
            </w:tcBorders>
            <w:shd w:val="clear" w:color="auto" w:fill="auto"/>
            <w:vAlign w:val="center"/>
          </w:tcPr>
          <w:p w14:paraId="3C60E5B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含控制柜、变频器、仪表、电缆等</w:t>
            </w:r>
          </w:p>
        </w:tc>
        <w:tc>
          <w:tcPr>
            <w:tcW w:w="336" w:type="pct"/>
            <w:tcBorders>
              <w:tl2br w:val="nil"/>
              <w:tr2bl w:val="nil"/>
            </w:tcBorders>
            <w:shd w:val="clear" w:color="auto" w:fill="auto"/>
            <w:vAlign w:val="center"/>
          </w:tcPr>
          <w:p w14:paraId="3E3C9D4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3060061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1F5FFB59">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43F72A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0" w:hRule="atLeast"/>
        </w:trPr>
        <w:tc>
          <w:tcPr>
            <w:tcW w:w="445" w:type="pct"/>
            <w:tcBorders>
              <w:tl2br w:val="nil"/>
              <w:tr2bl w:val="nil"/>
            </w:tcBorders>
            <w:shd w:val="clear" w:color="auto" w:fill="auto"/>
            <w:vAlign w:val="center"/>
          </w:tcPr>
          <w:p w14:paraId="7CD5710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527F77F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管阀件</w:t>
            </w:r>
          </w:p>
        </w:tc>
        <w:tc>
          <w:tcPr>
            <w:tcW w:w="2110" w:type="pct"/>
            <w:tcBorders>
              <w:tl2br w:val="nil"/>
              <w:tr2bl w:val="nil"/>
            </w:tcBorders>
            <w:shd w:val="clear" w:color="auto" w:fill="auto"/>
            <w:vAlign w:val="center"/>
          </w:tcPr>
          <w:p w14:paraId="55E22946">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6" w:type="pct"/>
            <w:tcBorders>
              <w:tl2br w:val="nil"/>
              <w:tr2bl w:val="nil"/>
            </w:tcBorders>
            <w:shd w:val="clear" w:color="auto" w:fill="auto"/>
            <w:vAlign w:val="center"/>
          </w:tcPr>
          <w:p w14:paraId="749FEEE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5A25520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批</w:t>
            </w:r>
          </w:p>
        </w:tc>
        <w:tc>
          <w:tcPr>
            <w:tcW w:w="804" w:type="pct"/>
            <w:tcBorders>
              <w:tl2br w:val="nil"/>
              <w:tr2bl w:val="nil"/>
            </w:tcBorders>
            <w:shd w:val="clear" w:color="auto" w:fill="auto"/>
            <w:vAlign w:val="center"/>
          </w:tcPr>
          <w:p w14:paraId="21C350F7">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15508B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5" w:hRule="atLeast"/>
        </w:trPr>
        <w:tc>
          <w:tcPr>
            <w:tcW w:w="5000" w:type="pct"/>
            <w:gridSpan w:val="6"/>
            <w:tcBorders>
              <w:tl2br w:val="nil"/>
              <w:tr2bl w:val="nil"/>
            </w:tcBorders>
            <w:shd w:val="clear" w:color="auto" w:fill="auto"/>
            <w:vAlign w:val="center"/>
          </w:tcPr>
          <w:p w14:paraId="00A6D53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消毒间</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改造</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04DFFA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5" w:hRule="atLeast"/>
        </w:trPr>
        <w:tc>
          <w:tcPr>
            <w:tcW w:w="445" w:type="pct"/>
            <w:tcBorders>
              <w:tl2br w:val="nil"/>
              <w:tr2bl w:val="nil"/>
            </w:tcBorders>
            <w:shd w:val="clear" w:color="auto" w:fill="auto"/>
            <w:vAlign w:val="center"/>
          </w:tcPr>
          <w:p w14:paraId="17A6C87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22A923B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卸药泵</w:t>
            </w:r>
          </w:p>
        </w:tc>
        <w:tc>
          <w:tcPr>
            <w:tcW w:w="2110" w:type="pct"/>
            <w:tcBorders>
              <w:tl2br w:val="nil"/>
              <w:tr2bl w:val="nil"/>
            </w:tcBorders>
            <w:shd w:val="clear" w:color="auto" w:fill="auto"/>
            <w:vAlign w:val="center"/>
          </w:tcPr>
          <w:p w14:paraId="3C4D807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Q=10m³/h、H=30m、N=2.2kw</w:t>
            </w:r>
          </w:p>
        </w:tc>
        <w:tc>
          <w:tcPr>
            <w:tcW w:w="336" w:type="pct"/>
            <w:tcBorders>
              <w:tl2br w:val="nil"/>
              <w:tr2bl w:val="nil"/>
            </w:tcBorders>
            <w:shd w:val="clear" w:color="auto" w:fill="auto"/>
            <w:vAlign w:val="center"/>
          </w:tcPr>
          <w:p w14:paraId="1C60327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32768A5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0C4B901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更换</w:t>
            </w:r>
          </w:p>
        </w:tc>
      </w:tr>
      <w:tr w14:paraId="6651CA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292741F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17B75A2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次氯酸钠储罐</w:t>
            </w:r>
          </w:p>
        </w:tc>
        <w:tc>
          <w:tcPr>
            <w:tcW w:w="2110" w:type="pct"/>
            <w:tcBorders>
              <w:tl2br w:val="nil"/>
              <w:tr2bl w:val="nil"/>
            </w:tcBorders>
            <w:shd w:val="clear" w:color="auto" w:fill="auto"/>
            <w:vAlign w:val="center"/>
          </w:tcPr>
          <w:p w14:paraId="7468AA0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10m³</w:t>
            </w:r>
          </w:p>
        </w:tc>
        <w:tc>
          <w:tcPr>
            <w:tcW w:w="336" w:type="pct"/>
            <w:tcBorders>
              <w:tl2br w:val="nil"/>
              <w:tr2bl w:val="nil"/>
            </w:tcBorders>
            <w:shd w:val="clear" w:color="auto" w:fill="auto"/>
            <w:vAlign w:val="center"/>
          </w:tcPr>
          <w:p w14:paraId="44659DD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47E017E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1D0F46F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更换</w:t>
            </w:r>
          </w:p>
        </w:tc>
      </w:tr>
      <w:tr w14:paraId="765CB3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90" w:hRule="atLeast"/>
        </w:trPr>
        <w:tc>
          <w:tcPr>
            <w:tcW w:w="445" w:type="pct"/>
            <w:tcBorders>
              <w:tl2br w:val="nil"/>
              <w:tr2bl w:val="nil"/>
            </w:tcBorders>
            <w:shd w:val="clear" w:color="auto" w:fill="auto"/>
            <w:vAlign w:val="center"/>
          </w:tcPr>
          <w:p w14:paraId="6961C77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39A30A5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计量泵</w:t>
            </w:r>
          </w:p>
        </w:tc>
        <w:tc>
          <w:tcPr>
            <w:tcW w:w="2110" w:type="pct"/>
            <w:tcBorders>
              <w:tl2br w:val="nil"/>
              <w:tr2bl w:val="nil"/>
            </w:tcBorders>
            <w:shd w:val="clear" w:color="auto" w:fill="auto"/>
            <w:vAlign w:val="center"/>
          </w:tcPr>
          <w:p w14:paraId="63E73F1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p=7bar、Q=3001/h</w:t>
            </w:r>
          </w:p>
        </w:tc>
        <w:tc>
          <w:tcPr>
            <w:tcW w:w="336" w:type="pct"/>
            <w:tcBorders>
              <w:tl2br w:val="nil"/>
              <w:tr2bl w:val="nil"/>
            </w:tcBorders>
            <w:shd w:val="clear" w:color="auto" w:fill="auto"/>
            <w:vAlign w:val="center"/>
          </w:tcPr>
          <w:p w14:paraId="766FABA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56DEE68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294423F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更换</w:t>
            </w:r>
          </w:p>
        </w:tc>
      </w:tr>
      <w:tr w14:paraId="2F5CC1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0" w:hRule="atLeast"/>
        </w:trPr>
        <w:tc>
          <w:tcPr>
            <w:tcW w:w="445" w:type="pct"/>
            <w:tcBorders>
              <w:tl2br w:val="nil"/>
              <w:tr2bl w:val="nil"/>
            </w:tcBorders>
            <w:shd w:val="clear" w:color="auto" w:fill="auto"/>
            <w:vAlign w:val="center"/>
          </w:tcPr>
          <w:p w14:paraId="2629D04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887" w:type="pct"/>
            <w:tcBorders>
              <w:tl2br w:val="nil"/>
              <w:tr2bl w:val="nil"/>
            </w:tcBorders>
            <w:shd w:val="clear" w:color="auto" w:fill="auto"/>
            <w:vAlign w:val="center"/>
          </w:tcPr>
          <w:p w14:paraId="0BC529A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流量计</w:t>
            </w:r>
          </w:p>
        </w:tc>
        <w:tc>
          <w:tcPr>
            <w:tcW w:w="2110" w:type="pct"/>
            <w:tcBorders>
              <w:tl2br w:val="nil"/>
              <w:tr2bl w:val="nil"/>
            </w:tcBorders>
            <w:shd w:val="clear" w:color="auto" w:fill="auto"/>
            <w:vAlign w:val="center"/>
          </w:tcPr>
          <w:p w14:paraId="2C0BAF0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巴氏槽流量计</w:t>
            </w:r>
          </w:p>
        </w:tc>
        <w:tc>
          <w:tcPr>
            <w:tcW w:w="336" w:type="pct"/>
            <w:tcBorders>
              <w:tl2br w:val="nil"/>
              <w:tr2bl w:val="nil"/>
            </w:tcBorders>
            <w:shd w:val="clear" w:color="auto" w:fill="auto"/>
            <w:vAlign w:val="center"/>
          </w:tcPr>
          <w:p w14:paraId="739B099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6820D7D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2C372AD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更换</w:t>
            </w:r>
          </w:p>
        </w:tc>
      </w:tr>
      <w:tr w14:paraId="65C6FA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144B840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887" w:type="pct"/>
            <w:tcBorders>
              <w:tl2br w:val="nil"/>
              <w:tr2bl w:val="nil"/>
            </w:tcBorders>
            <w:shd w:val="clear" w:color="auto" w:fill="auto"/>
            <w:vAlign w:val="center"/>
          </w:tcPr>
          <w:p w14:paraId="3D7DFDD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配套管件阀门</w:t>
            </w:r>
          </w:p>
        </w:tc>
        <w:tc>
          <w:tcPr>
            <w:tcW w:w="2110" w:type="pct"/>
            <w:tcBorders>
              <w:tl2br w:val="nil"/>
              <w:tr2bl w:val="nil"/>
            </w:tcBorders>
            <w:shd w:val="clear" w:color="auto" w:fill="auto"/>
            <w:vAlign w:val="center"/>
          </w:tcPr>
          <w:p w14:paraId="6809AF24">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6" w:type="pct"/>
            <w:tcBorders>
              <w:tl2br w:val="nil"/>
              <w:tr2bl w:val="nil"/>
            </w:tcBorders>
            <w:shd w:val="clear" w:color="auto" w:fill="auto"/>
            <w:vAlign w:val="center"/>
          </w:tcPr>
          <w:p w14:paraId="2D57A47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43D6E95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项</w:t>
            </w:r>
          </w:p>
        </w:tc>
        <w:tc>
          <w:tcPr>
            <w:tcW w:w="804" w:type="pct"/>
            <w:tcBorders>
              <w:tl2br w:val="nil"/>
              <w:tr2bl w:val="nil"/>
            </w:tcBorders>
            <w:shd w:val="clear" w:color="auto" w:fill="auto"/>
            <w:vAlign w:val="center"/>
          </w:tcPr>
          <w:p w14:paraId="2D2E9C0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更换</w:t>
            </w:r>
          </w:p>
        </w:tc>
      </w:tr>
      <w:tr w14:paraId="18B0BC7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5000" w:type="pct"/>
            <w:gridSpan w:val="6"/>
            <w:tcBorders>
              <w:tl2br w:val="nil"/>
              <w:tr2bl w:val="nil"/>
            </w:tcBorders>
            <w:shd w:val="clear" w:color="auto" w:fill="auto"/>
            <w:vAlign w:val="center"/>
          </w:tcPr>
          <w:p w14:paraId="667F388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加药间</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改造</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08F638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0" w:hRule="atLeast"/>
        </w:trPr>
        <w:tc>
          <w:tcPr>
            <w:tcW w:w="445" w:type="pct"/>
            <w:tcBorders>
              <w:tl2br w:val="nil"/>
              <w:tr2bl w:val="nil"/>
            </w:tcBorders>
            <w:shd w:val="clear" w:color="auto" w:fill="auto"/>
            <w:vAlign w:val="center"/>
          </w:tcPr>
          <w:p w14:paraId="1BA6013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09563B9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PAC加药系统</w:t>
            </w:r>
          </w:p>
        </w:tc>
        <w:tc>
          <w:tcPr>
            <w:tcW w:w="2110" w:type="pct"/>
            <w:tcBorders>
              <w:tl2br w:val="nil"/>
              <w:tr2bl w:val="nil"/>
            </w:tcBorders>
            <w:shd w:val="clear" w:color="auto" w:fill="auto"/>
            <w:vAlign w:val="center"/>
          </w:tcPr>
          <w:p w14:paraId="7455B527">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6" w:type="pct"/>
            <w:tcBorders>
              <w:tl2br w:val="nil"/>
              <w:tr2bl w:val="nil"/>
            </w:tcBorders>
            <w:shd w:val="clear" w:color="auto" w:fill="auto"/>
            <w:vAlign w:val="center"/>
          </w:tcPr>
          <w:p w14:paraId="5CC0D2A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553A009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5567EE5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更换</w:t>
            </w:r>
          </w:p>
        </w:tc>
      </w:tr>
      <w:tr w14:paraId="78C59C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70" w:hRule="atLeast"/>
        </w:trPr>
        <w:tc>
          <w:tcPr>
            <w:tcW w:w="445" w:type="pct"/>
            <w:tcBorders>
              <w:tl2br w:val="nil"/>
              <w:tr2bl w:val="nil"/>
            </w:tcBorders>
            <w:shd w:val="clear" w:color="auto" w:fill="auto"/>
            <w:vAlign w:val="center"/>
          </w:tcPr>
          <w:p w14:paraId="130DAA9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w:t>
            </w:r>
          </w:p>
        </w:tc>
        <w:tc>
          <w:tcPr>
            <w:tcW w:w="887" w:type="pct"/>
            <w:tcBorders>
              <w:tl2br w:val="nil"/>
              <w:tr2bl w:val="nil"/>
            </w:tcBorders>
            <w:shd w:val="clear" w:color="auto" w:fill="auto"/>
            <w:vAlign w:val="center"/>
          </w:tcPr>
          <w:p w14:paraId="4DBB5C9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PAC储罐</w:t>
            </w:r>
          </w:p>
        </w:tc>
        <w:tc>
          <w:tcPr>
            <w:tcW w:w="2110" w:type="pct"/>
            <w:tcBorders>
              <w:tl2br w:val="nil"/>
              <w:tr2bl w:val="nil"/>
            </w:tcBorders>
            <w:shd w:val="clear" w:color="auto" w:fill="auto"/>
            <w:vAlign w:val="center"/>
          </w:tcPr>
          <w:p w14:paraId="1487EA3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PE储罐，50m³,配套液位计、内部管道及阀门等所有安装附件</w:t>
            </w:r>
          </w:p>
        </w:tc>
        <w:tc>
          <w:tcPr>
            <w:tcW w:w="336" w:type="pct"/>
            <w:tcBorders>
              <w:tl2br w:val="nil"/>
              <w:tr2bl w:val="nil"/>
            </w:tcBorders>
            <w:shd w:val="clear" w:color="auto" w:fill="auto"/>
            <w:vAlign w:val="center"/>
          </w:tcPr>
          <w:p w14:paraId="609B604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7D87BA0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6B439C6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更换</w:t>
            </w:r>
          </w:p>
        </w:tc>
      </w:tr>
      <w:tr w14:paraId="511A2C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0" w:hRule="atLeast"/>
        </w:trPr>
        <w:tc>
          <w:tcPr>
            <w:tcW w:w="445" w:type="pct"/>
            <w:tcBorders>
              <w:tl2br w:val="nil"/>
              <w:tr2bl w:val="nil"/>
            </w:tcBorders>
            <w:shd w:val="clear" w:color="auto" w:fill="auto"/>
            <w:vAlign w:val="center"/>
          </w:tcPr>
          <w:p w14:paraId="2518E0D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w:t>
            </w:r>
          </w:p>
        </w:tc>
        <w:tc>
          <w:tcPr>
            <w:tcW w:w="887" w:type="pct"/>
            <w:tcBorders>
              <w:tl2br w:val="nil"/>
              <w:tr2bl w:val="nil"/>
            </w:tcBorders>
            <w:shd w:val="clear" w:color="auto" w:fill="auto"/>
            <w:vAlign w:val="center"/>
          </w:tcPr>
          <w:p w14:paraId="441D049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PAC投加泵</w:t>
            </w:r>
          </w:p>
        </w:tc>
        <w:tc>
          <w:tcPr>
            <w:tcW w:w="2110" w:type="pct"/>
            <w:tcBorders>
              <w:tl2br w:val="nil"/>
              <w:tr2bl w:val="nil"/>
            </w:tcBorders>
            <w:shd w:val="clear" w:color="auto" w:fill="auto"/>
            <w:vAlign w:val="center"/>
          </w:tcPr>
          <w:p w14:paraId="7CF1495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p=7bar、Q=5001/h,配套Y型过滤器、缓冲器、安全阀、背压阀，及所有安装附件</w:t>
            </w:r>
          </w:p>
        </w:tc>
        <w:tc>
          <w:tcPr>
            <w:tcW w:w="336" w:type="pct"/>
            <w:tcBorders>
              <w:tl2br w:val="nil"/>
              <w:tr2bl w:val="nil"/>
            </w:tcBorders>
            <w:shd w:val="clear" w:color="auto" w:fill="auto"/>
            <w:vAlign w:val="center"/>
          </w:tcPr>
          <w:p w14:paraId="3839FCB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777822B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6702A75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更换</w:t>
            </w:r>
          </w:p>
        </w:tc>
      </w:tr>
      <w:tr w14:paraId="6495B2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5E9C57E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w:t>
            </w:r>
          </w:p>
        </w:tc>
        <w:tc>
          <w:tcPr>
            <w:tcW w:w="887" w:type="pct"/>
            <w:tcBorders>
              <w:tl2br w:val="nil"/>
              <w:tr2bl w:val="nil"/>
            </w:tcBorders>
            <w:shd w:val="clear" w:color="auto" w:fill="auto"/>
            <w:vAlign w:val="center"/>
          </w:tcPr>
          <w:p w14:paraId="25A5AE5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卸药泵</w:t>
            </w:r>
          </w:p>
        </w:tc>
        <w:tc>
          <w:tcPr>
            <w:tcW w:w="2110" w:type="pct"/>
            <w:tcBorders>
              <w:tl2br w:val="nil"/>
              <w:tr2bl w:val="nil"/>
            </w:tcBorders>
            <w:shd w:val="clear" w:color="auto" w:fill="auto"/>
            <w:vAlign w:val="center"/>
          </w:tcPr>
          <w:p w14:paraId="5B36EE8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Q=10m³/h、H=30m、N=2.2kw</w:t>
            </w:r>
          </w:p>
        </w:tc>
        <w:tc>
          <w:tcPr>
            <w:tcW w:w="336" w:type="pct"/>
            <w:tcBorders>
              <w:tl2br w:val="nil"/>
              <w:tr2bl w:val="nil"/>
            </w:tcBorders>
            <w:shd w:val="clear" w:color="auto" w:fill="auto"/>
            <w:vAlign w:val="center"/>
          </w:tcPr>
          <w:p w14:paraId="45AD117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7B25482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789FA88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更换</w:t>
            </w:r>
          </w:p>
        </w:tc>
      </w:tr>
      <w:tr w14:paraId="4AAED0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10" w:hRule="atLeast"/>
        </w:trPr>
        <w:tc>
          <w:tcPr>
            <w:tcW w:w="445" w:type="pct"/>
            <w:tcBorders>
              <w:tl2br w:val="nil"/>
              <w:tr2bl w:val="nil"/>
            </w:tcBorders>
            <w:shd w:val="clear" w:color="auto" w:fill="auto"/>
            <w:vAlign w:val="center"/>
          </w:tcPr>
          <w:p w14:paraId="5815436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26BFE95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碳源加药</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系统</w:t>
            </w:r>
          </w:p>
        </w:tc>
        <w:tc>
          <w:tcPr>
            <w:tcW w:w="2110" w:type="pct"/>
            <w:tcBorders>
              <w:tl2br w:val="nil"/>
              <w:tr2bl w:val="nil"/>
            </w:tcBorders>
            <w:shd w:val="clear" w:color="auto" w:fill="auto"/>
            <w:vAlign w:val="center"/>
          </w:tcPr>
          <w:p w14:paraId="352B0BD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规格：包括卸药泵、PE储罐</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50m³,1个</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、超声波液位计、磁翻板液位计、加药泵、控制/plc子站</w:t>
            </w:r>
          </w:p>
        </w:tc>
        <w:tc>
          <w:tcPr>
            <w:tcW w:w="336" w:type="pct"/>
            <w:tcBorders>
              <w:tl2br w:val="nil"/>
              <w:tr2bl w:val="nil"/>
            </w:tcBorders>
            <w:shd w:val="clear" w:color="auto" w:fill="auto"/>
            <w:vAlign w:val="center"/>
          </w:tcPr>
          <w:p w14:paraId="18CAEF2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1A4ADC7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719B78C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更换</w:t>
            </w:r>
          </w:p>
        </w:tc>
      </w:tr>
      <w:tr w14:paraId="235EB0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80" w:hRule="atLeast"/>
        </w:trPr>
        <w:tc>
          <w:tcPr>
            <w:tcW w:w="445" w:type="pct"/>
            <w:tcBorders>
              <w:tl2br w:val="nil"/>
              <w:tr2bl w:val="nil"/>
            </w:tcBorders>
            <w:shd w:val="clear" w:color="auto" w:fill="auto"/>
            <w:vAlign w:val="center"/>
          </w:tcPr>
          <w:p w14:paraId="5F8679E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2.1</w:t>
            </w:r>
          </w:p>
        </w:tc>
        <w:tc>
          <w:tcPr>
            <w:tcW w:w="887" w:type="pct"/>
            <w:tcBorders>
              <w:tl2br w:val="nil"/>
              <w:tr2bl w:val="nil"/>
            </w:tcBorders>
            <w:shd w:val="clear" w:color="auto" w:fill="auto"/>
            <w:vAlign w:val="center"/>
          </w:tcPr>
          <w:p w14:paraId="463A434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碳源储罐</w:t>
            </w:r>
          </w:p>
        </w:tc>
        <w:tc>
          <w:tcPr>
            <w:tcW w:w="2110" w:type="pct"/>
            <w:tcBorders>
              <w:tl2br w:val="nil"/>
              <w:tr2bl w:val="nil"/>
            </w:tcBorders>
            <w:shd w:val="clear" w:color="auto" w:fill="auto"/>
            <w:vAlign w:val="center"/>
          </w:tcPr>
          <w:p w14:paraId="0F282E9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PE储罐，50m³,配套液位计、内部管道及阀门等所有安装附件</w:t>
            </w:r>
          </w:p>
        </w:tc>
        <w:tc>
          <w:tcPr>
            <w:tcW w:w="336" w:type="pct"/>
            <w:tcBorders>
              <w:tl2br w:val="nil"/>
              <w:tr2bl w:val="nil"/>
            </w:tcBorders>
            <w:shd w:val="clear" w:color="auto" w:fill="auto"/>
            <w:vAlign w:val="center"/>
          </w:tcPr>
          <w:p w14:paraId="7FCFBF3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124AD20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2B97CAB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更换</w:t>
            </w:r>
          </w:p>
        </w:tc>
      </w:tr>
      <w:tr w14:paraId="2FE435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0" w:hRule="atLeast"/>
        </w:trPr>
        <w:tc>
          <w:tcPr>
            <w:tcW w:w="445" w:type="pct"/>
            <w:tcBorders>
              <w:tl2br w:val="nil"/>
              <w:tr2bl w:val="nil"/>
            </w:tcBorders>
            <w:shd w:val="clear" w:color="auto" w:fill="auto"/>
            <w:vAlign w:val="center"/>
          </w:tcPr>
          <w:p w14:paraId="12006CB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2.2</w:t>
            </w:r>
          </w:p>
        </w:tc>
        <w:tc>
          <w:tcPr>
            <w:tcW w:w="887" w:type="pct"/>
            <w:tcBorders>
              <w:tl2br w:val="nil"/>
              <w:tr2bl w:val="nil"/>
            </w:tcBorders>
            <w:shd w:val="clear" w:color="auto" w:fill="auto"/>
            <w:vAlign w:val="center"/>
          </w:tcPr>
          <w:p w14:paraId="5F67974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碳源投加泵</w:t>
            </w:r>
          </w:p>
        </w:tc>
        <w:tc>
          <w:tcPr>
            <w:tcW w:w="2110" w:type="pct"/>
            <w:tcBorders>
              <w:tl2br w:val="nil"/>
              <w:tr2bl w:val="nil"/>
            </w:tcBorders>
            <w:shd w:val="clear" w:color="auto" w:fill="auto"/>
            <w:vAlign w:val="center"/>
          </w:tcPr>
          <w:p w14:paraId="41E83EA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p=7bar、Q=5001/h,配套Y型过滤器、缓冲器、安全阀、背压阀，及所有安装附件</w:t>
            </w:r>
          </w:p>
        </w:tc>
        <w:tc>
          <w:tcPr>
            <w:tcW w:w="336" w:type="pct"/>
            <w:tcBorders>
              <w:tl2br w:val="nil"/>
              <w:tr2bl w:val="nil"/>
            </w:tcBorders>
            <w:shd w:val="clear" w:color="auto" w:fill="auto"/>
            <w:vAlign w:val="center"/>
          </w:tcPr>
          <w:p w14:paraId="12909C5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4642477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17497C6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更换</w:t>
            </w:r>
          </w:p>
        </w:tc>
      </w:tr>
      <w:tr w14:paraId="19B4DF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7B1D0A8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2.3</w:t>
            </w:r>
          </w:p>
        </w:tc>
        <w:tc>
          <w:tcPr>
            <w:tcW w:w="887" w:type="pct"/>
            <w:tcBorders>
              <w:tl2br w:val="nil"/>
              <w:tr2bl w:val="nil"/>
            </w:tcBorders>
            <w:shd w:val="clear" w:color="auto" w:fill="auto"/>
            <w:vAlign w:val="center"/>
          </w:tcPr>
          <w:p w14:paraId="3502AAD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卸药泵</w:t>
            </w:r>
          </w:p>
        </w:tc>
        <w:tc>
          <w:tcPr>
            <w:tcW w:w="2110" w:type="pct"/>
            <w:tcBorders>
              <w:tl2br w:val="nil"/>
              <w:tr2bl w:val="nil"/>
            </w:tcBorders>
            <w:shd w:val="clear" w:color="auto" w:fill="auto"/>
            <w:vAlign w:val="center"/>
          </w:tcPr>
          <w:p w14:paraId="5C4334C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Q=10m³/h、H=30m、N=2.2kw</w:t>
            </w:r>
          </w:p>
        </w:tc>
        <w:tc>
          <w:tcPr>
            <w:tcW w:w="336" w:type="pct"/>
            <w:tcBorders>
              <w:tl2br w:val="nil"/>
              <w:tr2bl w:val="nil"/>
            </w:tcBorders>
            <w:shd w:val="clear" w:color="auto" w:fill="auto"/>
            <w:vAlign w:val="center"/>
          </w:tcPr>
          <w:p w14:paraId="7F3DCE3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1875BE1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4644667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更换</w:t>
            </w:r>
          </w:p>
        </w:tc>
      </w:tr>
      <w:tr w14:paraId="380FBA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5179D03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27D0F8E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配套管件阀门</w:t>
            </w:r>
          </w:p>
        </w:tc>
        <w:tc>
          <w:tcPr>
            <w:tcW w:w="2110" w:type="pct"/>
            <w:tcBorders>
              <w:tl2br w:val="nil"/>
              <w:tr2bl w:val="nil"/>
            </w:tcBorders>
            <w:shd w:val="clear" w:color="auto" w:fill="auto"/>
            <w:vAlign w:val="center"/>
          </w:tcPr>
          <w:p w14:paraId="24329180">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6" w:type="pct"/>
            <w:tcBorders>
              <w:tl2br w:val="nil"/>
              <w:tr2bl w:val="nil"/>
            </w:tcBorders>
            <w:shd w:val="clear" w:color="auto" w:fill="auto"/>
            <w:vAlign w:val="center"/>
          </w:tcPr>
          <w:p w14:paraId="0AE0674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673E28A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项</w:t>
            </w:r>
          </w:p>
        </w:tc>
        <w:tc>
          <w:tcPr>
            <w:tcW w:w="804" w:type="pct"/>
            <w:tcBorders>
              <w:tl2br w:val="nil"/>
              <w:tr2bl w:val="nil"/>
            </w:tcBorders>
            <w:shd w:val="clear" w:color="auto" w:fill="auto"/>
            <w:vAlign w:val="center"/>
          </w:tcPr>
          <w:p w14:paraId="7174E44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更换</w:t>
            </w:r>
          </w:p>
        </w:tc>
      </w:tr>
      <w:tr w14:paraId="0FCE0AD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5000" w:type="pct"/>
            <w:gridSpan w:val="6"/>
            <w:tcBorders>
              <w:tl2br w:val="nil"/>
              <w:tr2bl w:val="nil"/>
            </w:tcBorders>
            <w:shd w:val="clear" w:color="auto" w:fill="auto"/>
            <w:vAlign w:val="center"/>
          </w:tcPr>
          <w:p w14:paraId="1EE5C28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鼓风机房</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改造</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75D3B0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70" w:hRule="atLeast"/>
        </w:trPr>
        <w:tc>
          <w:tcPr>
            <w:tcW w:w="445" w:type="pct"/>
            <w:tcBorders>
              <w:tl2br w:val="nil"/>
              <w:tr2bl w:val="nil"/>
            </w:tcBorders>
            <w:shd w:val="clear" w:color="auto" w:fill="auto"/>
            <w:vAlign w:val="center"/>
          </w:tcPr>
          <w:p w14:paraId="5DE07FB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53B04F6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空气悬浮风机</w:t>
            </w:r>
          </w:p>
        </w:tc>
        <w:tc>
          <w:tcPr>
            <w:tcW w:w="2110" w:type="pct"/>
            <w:tcBorders>
              <w:tl2br w:val="nil"/>
              <w:tr2bl w:val="nil"/>
            </w:tcBorders>
            <w:shd w:val="clear" w:color="auto" w:fill="auto"/>
            <w:vAlign w:val="center"/>
          </w:tcPr>
          <w:p w14:paraId="2543F6C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规格型号： Q=165m³/min,p=58.8Kpa,</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N=220kW</w:t>
            </w:r>
          </w:p>
        </w:tc>
        <w:tc>
          <w:tcPr>
            <w:tcW w:w="336" w:type="pct"/>
            <w:tcBorders>
              <w:tl2br w:val="nil"/>
              <w:tr2bl w:val="nil"/>
            </w:tcBorders>
            <w:shd w:val="clear" w:color="auto" w:fill="auto"/>
            <w:vAlign w:val="center"/>
          </w:tcPr>
          <w:p w14:paraId="1E4D11A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217A285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5C464D8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拆除3台罗茨风</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机，更换为空浮</w:t>
            </w:r>
          </w:p>
        </w:tc>
      </w:tr>
      <w:tr w14:paraId="73E082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4714FE1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7E8728B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风量计</w:t>
            </w:r>
          </w:p>
        </w:tc>
        <w:tc>
          <w:tcPr>
            <w:tcW w:w="2110" w:type="pct"/>
            <w:tcBorders>
              <w:tl2br w:val="nil"/>
              <w:tr2bl w:val="nil"/>
            </w:tcBorders>
            <w:shd w:val="clear" w:color="auto" w:fill="auto"/>
            <w:vAlign w:val="center"/>
          </w:tcPr>
          <w:p w14:paraId="2942938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0-10000Nm³/h</w:t>
            </w:r>
          </w:p>
        </w:tc>
        <w:tc>
          <w:tcPr>
            <w:tcW w:w="336" w:type="pct"/>
            <w:tcBorders>
              <w:tl2br w:val="nil"/>
              <w:tr2bl w:val="nil"/>
            </w:tcBorders>
            <w:shd w:val="clear" w:color="auto" w:fill="auto"/>
            <w:vAlign w:val="center"/>
          </w:tcPr>
          <w:p w14:paraId="386ED2B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25F9BDA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0F7F65A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53F3E1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3FE5C50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15DFEB0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法兰蝶阀</w:t>
            </w:r>
          </w:p>
        </w:tc>
        <w:tc>
          <w:tcPr>
            <w:tcW w:w="2110" w:type="pct"/>
            <w:tcBorders>
              <w:tl2br w:val="nil"/>
              <w:tr2bl w:val="nil"/>
            </w:tcBorders>
            <w:shd w:val="clear" w:color="auto" w:fill="auto"/>
            <w:vAlign w:val="center"/>
          </w:tcPr>
          <w:p w14:paraId="617D5F0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DN450,PN0.6</w:t>
            </w:r>
          </w:p>
        </w:tc>
        <w:tc>
          <w:tcPr>
            <w:tcW w:w="336" w:type="pct"/>
            <w:tcBorders>
              <w:tl2br w:val="nil"/>
              <w:tr2bl w:val="nil"/>
            </w:tcBorders>
            <w:shd w:val="clear" w:color="auto" w:fill="auto"/>
            <w:vAlign w:val="center"/>
          </w:tcPr>
          <w:p w14:paraId="3A932F0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6BB8A1B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6492A98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3A16B32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3A64E8C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887" w:type="pct"/>
            <w:tcBorders>
              <w:tl2br w:val="nil"/>
              <w:tr2bl w:val="nil"/>
            </w:tcBorders>
            <w:shd w:val="clear" w:color="auto" w:fill="auto"/>
            <w:vAlign w:val="center"/>
          </w:tcPr>
          <w:p w14:paraId="4F5078D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不锈钢空气管</w:t>
            </w:r>
          </w:p>
        </w:tc>
        <w:tc>
          <w:tcPr>
            <w:tcW w:w="2110" w:type="pct"/>
            <w:tcBorders>
              <w:tl2br w:val="nil"/>
              <w:tr2bl w:val="nil"/>
            </w:tcBorders>
            <w:shd w:val="clear" w:color="auto" w:fill="auto"/>
            <w:vAlign w:val="center"/>
          </w:tcPr>
          <w:p w14:paraId="07FE8A8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DN450</w:t>
            </w:r>
          </w:p>
        </w:tc>
        <w:tc>
          <w:tcPr>
            <w:tcW w:w="336" w:type="pct"/>
            <w:tcBorders>
              <w:tl2br w:val="nil"/>
              <w:tr2bl w:val="nil"/>
            </w:tcBorders>
            <w:shd w:val="clear" w:color="auto" w:fill="auto"/>
            <w:vAlign w:val="center"/>
          </w:tcPr>
          <w:p w14:paraId="4C98B25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w:t>
            </w:r>
          </w:p>
        </w:tc>
        <w:tc>
          <w:tcPr>
            <w:tcW w:w="415" w:type="pct"/>
            <w:tcBorders>
              <w:tl2br w:val="nil"/>
              <w:tr2bl w:val="nil"/>
            </w:tcBorders>
            <w:shd w:val="clear" w:color="auto" w:fill="auto"/>
            <w:vAlign w:val="center"/>
          </w:tcPr>
          <w:p w14:paraId="325BF50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1C1A547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新增，含管件</w:t>
            </w:r>
          </w:p>
        </w:tc>
      </w:tr>
      <w:tr w14:paraId="4AFDAB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06C187D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887" w:type="pct"/>
            <w:tcBorders>
              <w:tl2br w:val="nil"/>
              <w:tr2bl w:val="nil"/>
            </w:tcBorders>
            <w:shd w:val="clear" w:color="auto" w:fill="auto"/>
            <w:vAlign w:val="center"/>
          </w:tcPr>
          <w:p w14:paraId="4FE1B29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不锈钢空气管</w:t>
            </w:r>
          </w:p>
        </w:tc>
        <w:tc>
          <w:tcPr>
            <w:tcW w:w="2110" w:type="pct"/>
            <w:tcBorders>
              <w:tl2br w:val="nil"/>
              <w:tr2bl w:val="nil"/>
            </w:tcBorders>
            <w:shd w:val="clear" w:color="auto" w:fill="auto"/>
            <w:vAlign w:val="center"/>
          </w:tcPr>
          <w:p w14:paraId="4AE6C0F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DN600</w:t>
            </w:r>
          </w:p>
        </w:tc>
        <w:tc>
          <w:tcPr>
            <w:tcW w:w="336" w:type="pct"/>
            <w:tcBorders>
              <w:tl2br w:val="nil"/>
              <w:tr2bl w:val="nil"/>
            </w:tcBorders>
            <w:shd w:val="clear" w:color="auto" w:fill="auto"/>
            <w:vAlign w:val="center"/>
          </w:tcPr>
          <w:p w14:paraId="5812011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w:t>
            </w:r>
          </w:p>
        </w:tc>
        <w:tc>
          <w:tcPr>
            <w:tcW w:w="415" w:type="pct"/>
            <w:tcBorders>
              <w:tl2br w:val="nil"/>
              <w:tr2bl w:val="nil"/>
            </w:tcBorders>
            <w:shd w:val="clear" w:color="auto" w:fill="auto"/>
            <w:vAlign w:val="center"/>
          </w:tcPr>
          <w:p w14:paraId="35C43B3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635EB77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新增，含管件</w:t>
            </w:r>
          </w:p>
        </w:tc>
      </w:tr>
      <w:tr w14:paraId="2B7233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5000" w:type="pct"/>
            <w:gridSpan w:val="6"/>
            <w:tcBorders>
              <w:tl2br w:val="nil"/>
              <w:tr2bl w:val="nil"/>
            </w:tcBorders>
            <w:shd w:val="clear" w:color="auto" w:fill="auto"/>
            <w:vAlign w:val="center"/>
          </w:tcPr>
          <w:p w14:paraId="5F6117E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污泥脱水机房</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改造</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2707B2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0" w:hRule="atLeast"/>
        </w:trPr>
        <w:tc>
          <w:tcPr>
            <w:tcW w:w="445" w:type="pct"/>
            <w:tcBorders>
              <w:tl2br w:val="nil"/>
              <w:tr2bl w:val="nil"/>
            </w:tcBorders>
            <w:shd w:val="clear" w:color="auto" w:fill="auto"/>
            <w:vAlign w:val="center"/>
          </w:tcPr>
          <w:p w14:paraId="0378F3D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5E0BEDD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污泥脱水机</w:t>
            </w:r>
          </w:p>
        </w:tc>
        <w:tc>
          <w:tcPr>
            <w:tcW w:w="2110" w:type="pct"/>
            <w:tcBorders>
              <w:tl2br w:val="nil"/>
              <w:tr2bl w:val="nil"/>
            </w:tcBorders>
            <w:shd w:val="clear" w:color="auto" w:fill="auto"/>
            <w:vAlign w:val="center"/>
          </w:tcPr>
          <w:p w14:paraId="2B23D07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处理量：湿污泥=37.5-49m³/h,污泥绝干量150-312kg.ds/h</w:t>
            </w:r>
          </w:p>
        </w:tc>
        <w:tc>
          <w:tcPr>
            <w:tcW w:w="336" w:type="pct"/>
            <w:tcBorders>
              <w:tl2br w:val="nil"/>
              <w:tr2bl w:val="nil"/>
            </w:tcBorders>
            <w:shd w:val="clear" w:color="auto" w:fill="auto"/>
            <w:vAlign w:val="center"/>
          </w:tcPr>
          <w:p w14:paraId="032942F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06B323B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738C5A2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2D1AC5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4E5C0FA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5D0799A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絮凝剂加药装置</w:t>
            </w:r>
          </w:p>
        </w:tc>
        <w:tc>
          <w:tcPr>
            <w:tcW w:w="2110" w:type="pct"/>
            <w:tcBorders>
              <w:tl2br w:val="nil"/>
              <w:tr2bl w:val="nil"/>
            </w:tcBorders>
            <w:shd w:val="clear" w:color="auto" w:fill="auto"/>
            <w:vAlign w:val="center"/>
          </w:tcPr>
          <w:p w14:paraId="15FB5CC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泡药量=3500L/h</w:t>
            </w:r>
          </w:p>
        </w:tc>
        <w:tc>
          <w:tcPr>
            <w:tcW w:w="336" w:type="pct"/>
            <w:tcBorders>
              <w:tl2br w:val="nil"/>
              <w:tr2bl w:val="nil"/>
            </w:tcBorders>
            <w:shd w:val="clear" w:color="auto" w:fill="auto"/>
            <w:vAlign w:val="center"/>
          </w:tcPr>
          <w:p w14:paraId="3FBE893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08A0074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5CE944D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08B4D7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05CFBE0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0B3DA8F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空压机</w:t>
            </w:r>
          </w:p>
        </w:tc>
        <w:tc>
          <w:tcPr>
            <w:tcW w:w="2110" w:type="pct"/>
            <w:tcBorders>
              <w:tl2br w:val="nil"/>
              <w:tr2bl w:val="nil"/>
            </w:tcBorders>
            <w:shd w:val="clear" w:color="auto" w:fill="auto"/>
            <w:vAlign w:val="center"/>
          </w:tcPr>
          <w:p w14:paraId="48F08BE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1HP-70</w:t>
            </w:r>
          </w:p>
        </w:tc>
        <w:tc>
          <w:tcPr>
            <w:tcW w:w="336" w:type="pct"/>
            <w:tcBorders>
              <w:tl2br w:val="nil"/>
              <w:tr2bl w:val="nil"/>
            </w:tcBorders>
            <w:shd w:val="clear" w:color="auto" w:fill="auto"/>
            <w:vAlign w:val="center"/>
          </w:tcPr>
          <w:p w14:paraId="3779F49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192BAB9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67C0FFF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23EA70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5" w:hRule="atLeast"/>
        </w:trPr>
        <w:tc>
          <w:tcPr>
            <w:tcW w:w="445" w:type="pct"/>
            <w:tcBorders>
              <w:tl2br w:val="nil"/>
              <w:tr2bl w:val="nil"/>
            </w:tcBorders>
            <w:shd w:val="clear" w:color="auto" w:fill="auto"/>
            <w:vAlign w:val="center"/>
          </w:tcPr>
          <w:p w14:paraId="0F45E9A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887" w:type="pct"/>
            <w:tcBorders>
              <w:tl2br w:val="nil"/>
              <w:tr2bl w:val="nil"/>
            </w:tcBorders>
            <w:shd w:val="clear" w:color="auto" w:fill="auto"/>
            <w:vAlign w:val="center"/>
          </w:tcPr>
          <w:p w14:paraId="5EF997A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清洗泵</w:t>
            </w:r>
          </w:p>
        </w:tc>
        <w:tc>
          <w:tcPr>
            <w:tcW w:w="2110" w:type="pct"/>
            <w:tcBorders>
              <w:tl2br w:val="nil"/>
              <w:tr2bl w:val="nil"/>
            </w:tcBorders>
            <w:shd w:val="clear" w:color="auto" w:fill="auto"/>
            <w:vAlign w:val="center"/>
          </w:tcPr>
          <w:p w14:paraId="263B3B2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G310-50,Q=11m³/h,H=70米</w:t>
            </w:r>
          </w:p>
        </w:tc>
        <w:tc>
          <w:tcPr>
            <w:tcW w:w="336" w:type="pct"/>
            <w:tcBorders>
              <w:tl2br w:val="nil"/>
              <w:tr2bl w:val="nil"/>
            </w:tcBorders>
            <w:shd w:val="clear" w:color="auto" w:fill="auto"/>
            <w:vAlign w:val="center"/>
          </w:tcPr>
          <w:p w14:paraId="561AE6D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35B9269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6D23729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15EA16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5" w:hRule="atLeast"/>
        </w:trPr>
        <w:tc>
          <w:tcPr>
            <w:tcW w:w="445" w:type="pct"/>
            <w:tcBorders>
              <w:tl2br w:val="nil"/>
              <w:tr2bl w:val="nil"/>
            </w:tcBorders>
            <w:shd w:val="clear" w:color="auto" w:fill="auto"/>
            <w:vAlign w:val="center"/>
          </w:tcPr>
          <w:p w14:paraId="7ECC797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887" w:type="pct"/>
            <w:tcBorders>
              <w:tl2br w:val="nil"/>
              <w:tr2bl w:val="nil"/>
            </w:tcBorders>
            <w:shd w:val="clear" w:color="auto" w:fill="auto"/>
            <w:vAlign w:val="center"/>
          </w:tcPr>
          <w:p w14:paraId="28A6522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加药泵</w:t>
            </w:r>
          </w:p>
        </w:tc>
        <w:tc>
          <w:tcPr>
            <w:tcW w:w="2110" w:type="pct"/>
            <w:tcBorders>
              <w:tl2br w:val="nil"/>
              <w:tr2bl w:val="nil"/>
            </w:tcBorders>
            <w:shd w:val="clear" w:color="auto" w:fill="auto"/>
            <w:vAlign w:val="center"/>
          </w:tcPr>
          <w:p w14:paraId="081DCE8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1.5kW,3500L/h</w:t>
            </w:r>
          </w:p>
        </w:tc>
        <w:tc>
          <w:tcPr>
            <w:tcW w:w="336" w:type="pct"/>
            <w:tcBorders>
              <w:tl2br w:val="nil"/>
              <w:tr2bl w:val="nil"/>
            </w:tcBorders>
            <w:shd w:val="clear" w:color="auto" w:fill="auto"/>
            <w:vAlign w:val="center"/>
          </w:tcPr>
          <w:p w14:paraId="008294D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7CA178E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4AA235B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464CBD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6ABBD3C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887" w:type="pct"/>
            <w:tcBorders>
              <w:tl2br w:val="nil"/>
              <w:tr2bl w:val="nil"/>
            </w:tcBorders>
            <w:shd w:val="clear" w:color="auto" w:fill="auto"/>
            <w:vAlign w:val="center"/>
          </w:tcPr>
          <w:p w14:paraId="08B271F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污泥泵</w:t>
            </w:r>
          </w:p>
        </w:tc>
        <w:tc>
          <w:tcPr>
            <w:tcW w:w="2110" w:type="pct"/>
            <w:tcBorders>
              <w:tl2br w:val="nil"/>
              <w:tr2bl w:val="nil"/>
            </w:tcBorders>
            <w:shd w:val="clear" w:color="auto" w:fill="auto"/>
            <w:vAlign w:val="center"/>
          </w:tcPr>
          <w:p w14:paraId="3F3054C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11kW,45m³/h</w:t>
            </w:r>
          </w:p>
        </w:tc>
        <w:tc>
          <w:tcPr>
            <w:tcW w:w="336" w:type="pct"/>
            <w:tcBorders>
              <w:tl2br w:val="nil"/>
              <w:tr2bl w:val="nil"/>
            </w:tcBorders>
            <w:shd w:val="clear" w:color="auto" w:fill="auto"/>
            <w:vAlign w:val="center"/>
          </w:tcPr>
          <w:p w14:paraId="44EE725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65E76A1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015734A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0C6B6D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0" w:hRule="atLeast"/>
        </w:trPr>
        <w:tc>
          <w:tcPr>
            <w:tcW w:w="445" w:type="pct"/>
            <w:tcBorders>
              <w:tl2br w:val="nil"/>
              <w:tr2bl w:val="nil"/>
            </w:tcBorders>
            <w:shd w:val="clear" w:color="auto" w:fill="auto"/>
            <w:vAlign w:val="center"/>
          </w:tcPr>
          <w:p w14:paraId="42B222E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c>
          <w:tcPr>
            <w:tcW w:w="887" w:type="pct"/>
            <w:tcBorders>
              <w:tl2br w:val="nil"/>
              <w:tr2bl w:val="nil"/>
            </w:tcBorders>
            <w:shd w:val="clear" w:color="auto" w:fill="auto"/>
            <w:vAlign w:val="center"/>
          </w:tcPr>
          <w:p w14:paraId="14EC82A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加药流量计</w:t>
            </w:r>
          </w:p>
        </w:tc>
        <w:tc>
          <w:tcPr>
            <w:tcW w:w="2110" w:type="pct"/>
            <w:tcBorders>
              <w:tl2br w:val="nil"/>
              <w:tr2bl w:val="nil"/>
            </w:tcBorders>
            <w:shd w:val="clear" w:color="auto" w:fill="auto"/>
            <w:vAlign w:val="center"/>
          </w:tcPr>
          <w:p w14:paraId="1182197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DN25</w:t>
            </w:r>
          </w:p>
        </w:tc>
        <w:tc>
          <w:tcPr>
            <w:tcW w:w="336" w:type="pct"/>
            <w:tcBorders>
              <w:tl2br w:val="nil"/>
              <w:tr2bl w:val="nil"/>
            </w:tcBorders>
            <w:shd w:val="clear" w:color="auto" w:fill="auto"/>
            <w:vAlign w:val="center"/>
          </w:tcPr>
          <w:p w14:paraId="131ED71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4B591FA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51A186F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2F6F8B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89" w:hRule="atLeast"/>
        </w:trPr>
        <w:tc>
          <w:tcPr>
            <w:tcW w:w="445" w:type="pct"/>
            <w:tcBorders>
              <w:tl2br w:val="nil"/>
              <w:tr2bl w:val="nil"/>
            </w:tcBorders>
            <w:shd w:val="clear" w:color="auto" w:fill="auto"/>
            <w:vAlign w:val="center"/>
          </w:tcPr>
          <w:p w14:paraId="4E03161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887" w:type="pct"/>
            <w:tcBorders>
              <w:tl2br w:val="nil"/>
              <w:tr2bl w:val="nil"/>
            </w:tcBorders>
            <w:shd w:val="clear" w:color="auto" w:fill="auto"/>
            <w:vAlign w:val="center"/>
          </w:tcPr>
          <w:p w14:paraId="27432C6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污泥流量计</w:t>
            </w:r>
          </w:p>
        </w:tc>
        <w:tc>
          <w:tcPr>
            <w:tcW w:w="2110" w:type="pct"/>
            <w:tcBorders>
              <w:tl2br w:val="nil"/>
              <w:tr2bl w:val="nil"/>
            </w:tcBorders>
            <w:shd w:val="clear" w:color="auto" w:fill="auto"/>
            <w:vAlign w:val="center"/>
          </w:tcPr>
          <w:p w14:paraId="39AC4D6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DN100</w:t>
            </w:r>
          </w:p>
        </w:tc>
        <w:tc>
          <w:tcPr>
            <w:tcW w:w="336" w:type="pct"/>
            <w:tcBorders>
              <w:tl2br w:val="nil"/>
              <w:tr2bl w:val="nil"/>
            </w:tcBorders>
            <w:shd w:val="clear" w:color="auto" w:fill="auto"/>
            <w:vAlign w:val="center"/>
          </w:tcPr>
          <w:p w14:paraId="1BD8C19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7A5AC4C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6D45032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43F699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30" w:hRule="atLeast"/>
        </w:trPr>
        <w:tc>
          <w:tcPr>
            <w:tcW w:w="445" w:type="pct"/>
            <w:tcBorders>
              <w:tl2br w:val="nil"/>
              <w:tr2bl w:val="nil"/>
            </w:tcBorders>
            <w:shd w:val="clear" w:color="auto" w:fill="auto"/>
            <w:vAlign w:val="center"/>
          </w:tcPr>
          <w:p w14:paraId="2FEF656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w:t>
            </w:r>
          </w:p>
        </w:tc>
        <w:tc>
          <w:tcPr>
            <w:tcW w:w="887" w:type="pct"/>
            <w:tcBorders>
              <w:tl2br w:val="nil"/>
              <w:tr2bl w:val="nil"/>
            </w:tcBorders>
            <w:shd w:val="clear" w:color="auto" w:fill="auto"/>
            <w:vAlign w:val="center"/>
          </w:tcPr>
          <w:p w14:paraId="42F6A89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控制柜/PLC子站</w:t>
            </w:r>
          </w:p>
        </w:tc>
        <w:tc>
          <w:tcPr>
            <w:tcW w:w="2110" w:type="pct"/>
            <w:tcBorders>
              <w:tl2br w:val="nil"/>
              <w:tr2bl w:val="nil"/>
            </w:tcBorders>
            <w:shd w:val="clear" w:color="auto" w:fill="auto"/>
            <w:vAlign w:val="center"/>
          </w:tcPr>
          <w:p w14:paraId="57983D1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RITTAL控制柜，西门子S7-1500、触摸屏、断路器、接触器</w:t>
            </w:r>
          </w:p>
        </w:tc>
        <w:tc>
          <w:tcPr>
            <w:tcW w:w="336" w:type="pct"/>
            <w:tcBorders>
              <w:tl2br w:val="nil"/>
              <w:tr2bl w:val="nil"/>
            </w:tcBorders>
            <w:shd w:val="clear" w:color="auto" w:fill="auto"/>
            <w:vAlign w:val="center"/>
          </w:tcPr>
          <w:p w14:paraId="2F67FD7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199DD88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4FAD720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11DF73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3931678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887" w:type="pct"/>
            <w:tcBorders>
              <w:tl2br w:val="nil"/>
              <w:tr2bl w:val="nil"/>
            </w:tcBorders>
            <w:shd w:val="clear" w:color="auto" w:fill="auto"/>
            <w:vAlign w:val="center"/>
          </w:tcPr>
          <w:p w14:paraId="083E6EE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配套管件阀门</w:t>
            </w:r>
          </w:p>
        </w:tc>
        <w:tc>
          <w:tcPr>
            <w:tcW w:w="2110" w:type="pct"/>
            <w:tcBorders>
              <w:tl2br w:val="nil"/>
              <w:tr2bl w:val="nil"/>
            </w:tcBorders>
            <w:shd w:val="clear" w:color="auto" w:fill="auto"/>
            <w:vAlign w:val="center"/>
          </w:tcPr>
          <w:p w14:paraId="0A64A8D1">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6" w:type="pct"/>
            <w:tcBorders>
              <w:tl2br w:val="nil"/>
              <w:tr2bl w:val="nil"/>
            </w:tcBorders>
            <w:shd w:val="clear" w:color="auto" w:fill="auto"/>
            <w:vAlign w:val="center"/>
          </w:tcPr>
          <w:p w14:paraId="55A04D8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3AF858B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项</w:t>
            </w:r>
          </w:p>
        </w:tc>
        <w:tc>
          <w:tcPr>
            <w:tcW w:w="804" w:type="pct"/>
            <w:tcBorders>
              <w:tl2br w:val="nil"/>
              <w:tr2bl w:val="nil"/>
            </w:tcBorders>
            <w:shd w:val="clear" w:color="auto" w:fill="auto"/>
            <w:vAlign w:val="center"/>
          </w:tcPr>
          <w:p w14:paraId="4EEB802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更换</w:t>
            </w:r>
          </w:p>
        </w:tc>
      </w:tr>
      <w:tr w14:paraId="7BA0E9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5000" w:type="pct"/>
            <w:gridSpan w:val="6"/>
            <w:tcBorders>
              <w:tl2br w:val="nil"/>
              <w:tr2bl w:val="nil"/>
            </w:tcBorders>
            <w:shd w:val="clear" w:color="auto" w:fill="auto"/>
            <w:vAlign w:val="center"/>
          </w:tcPr>
          <w:p w14:paraId="6BB5049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厂区总平面</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工艺管线</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r>
      <w:tr w14:paraId="5C070F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40" w:hRule="atLeast"/>
        </w:trPr>
        <w:tc>
          <w:tcPr>
            <w:tcW w:w="445" w:type="pct"/>
            <w:tcBorders>
              <w:tl2br w:val="nil"/>
              <w:tr2bl w:val="nil"/>
            </w:tcBorders>
            <w:shd w:val="clear" w:color="auto" w:fill="auto"/>
            <w:vAlign w:val="center"/>
          </w:tcPr>
          <w:p w14:paraId="5D5C750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5189CF1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伸缩蝶阀</w:t>
            </w:r>
          </w:p>
        </w:tc>
        <w:tc>
          <w:tcPr>
            <w:tcW w:w="2110" w:type="pct"/>
            <w:tcBorders>
              <w:tl2br w:val="nil"/>
              <w:tr2bl w:val="nil"/>
            </w:tcBorders>
            <w:shd w:val="clear" w:color="auto" w:fill="auto"/>
            <w:vAlign w:val="center"/>
          </w:tcPr>
          <w:p w14:paraId="13C8E18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DN1800,PNO.6</w:t>
            </w:r>
          </w:p>
        </w:tc>
        <w:tc>
          <w:tcPr>
            <w:tcW w:w="336" w:type="pct"/>
            <w:tcBorders>
              <w:tl2br w:val="nil"/>
              <w:tr2bl w:val="nil"/>
            </w:tcBorders>
            <w:shd w:val="clear" w:color="auto" w:fill="auto"/>
            <w:vAlign w:val="center"/>
          </w:tcPr>
          <w:p w14:paraId="448D4E5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5E74140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7572C86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6F505F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4633C7D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1AC5573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伸缩蝶阀</w:t>
            </w:r>
          </w:p>
        </w:tc>
        <w:tc>
          <w:tcPr>
            <w:tcW w:w="2110" w:type="pct"/>
            <w:tcBorders>
              <w:tl2br w:val="nil"/>
              <w:tr2bl w:val="nil"/>
            </w:tcBorders>
            <w:shd w:val="clear" w:color="auto" w:fill="auto"/>
            <w:vAlign w:val="center"/>
          </w:tcPr>
          <w:p w14:paraId="22470C9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DN1400,PNO.6</w:t>
            </w:r>
          </w:p>
        </w:tc>
        <w:tc>
          <w:tcPr>
            <w:tcW w:w="336" w:type="pct"/>
            <w:tcBorders>
              <w:tl2br w:val="nil"/>
              <w:tr2bl w:val="nil"/>
            </w:tcBorders>
            <w:shd w:val="clear" w:color="auto" w:fill="auto"/>
            <w:vAlign w:val="center"/>
          </w:tcPr>
          <w:p w14:paraId="3B61DEE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0221EFE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3F383FB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19F2FF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2EB6B2A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271696D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伸缩蝶阀</w:t>
            </w:r>
          </w:p>
        </w:tc>
        <w:tc>
          <w:tcPr>
            <w:tcW w:w="2110" w:type="pct"/>
            <w:tcBorders>
              <w:tl2br w:val="nil"/>
              <w:tr2bl w:val="nil"/>
            </w:tcBorders>
            <w:shd w:val="clear" w:color="auto" w:fill="auto"/>
            <w:vAlign w:val="center"/>
          </w:tcPr>
          <w:p w14:paraId="133B07E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DN1200,PNO.6</w:t>
            </w:r>
          </w:p>
        </w:tc>
        <w:tc>
          <w:tcPr>
            <w:tcW w:w="336" w:type="pct"/>
            <w:tcBorders>
              <w:tl2br w:val="nil"/>
              <w:tr2bl w:val="nil"/>
            </w:tcBorders>
            <w:shd w:val="clear" w:color="auto" w:fill="auto"/>
            <w:vAlign w:val="center"/>
          </w:tcPr>
          <w:p w14:paraId="344A59E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7C800BB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03C1626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2CC0DE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68B92AC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887" w:type="pct"/>
            <w:tcBorders>
              <w:tl2br w:val="nil"/>
              <w:tr2bl w:val="nil"/>
            </w:tcBorders>
            <w:shd w:val="clear" w:color="auto" w:fill="auto"/>
            <w:vAlign w:val="center"/>
          </w:tcPr>
          <w:p w14:paraId="6F73EE3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伸缩蝶阀</w:t>
            </w:r>
          </w:p>
        </w:tc>
        <w:tc>
          <w:tcPr>
            <w:tcW w:w="2110" w:type="pct"/>
            <w:tcBorders>
              <w:tl2br w:val="nil"/>
              <w:tr2bl w:val="nil"/>
            </w:tcBorders>
            <w:shd w:val="clear" w:color="auto" w:fill="auto"/>
            <w:vAlign w:val="center"/>
          </w:tcPr>
          <w:p w14:paraId="6793FC9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DN1000,PNO.6</w:t>
            </w:r>
          </w:p>
        </w:tc>
        <w:tc>
          <w:tcPr>
            <w:tcW w:w="336" w:type="pct"/>
            <w:tcBorders>
              <w:tl2br w:val="nil"/>
              <w:tr2bl w:val="nil"/>
            </w:tcBorders>
            <w:shd w:val="clear" w:color="auto" w:fill="auto"/>
            <w:vAlign w:val="center"/>
          </w:tcPr>
          <w:p w14:paraId="65B25F1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1AAB168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6F9AEAC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6E1C67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40" w:hRule="atLeast"/>
        </w:trPr>
        <w:tc>
          <w:tcPr>
            <w:tcW w:w="445" w:type="pct"/>
            <w:tcBorders>
              <w:tl2br w:val="nil"/>
              <w:tr2bl w:val="nil"/>
            </w:tcBorders>
            <w:shd w:val="clear" w:color="auto" w:fill="auto"/>
            <w:vAlign w:val="center"/>
          </w:tcPr>
          <w:p w14:paraId="4B076F5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887" w:type="pct"/>
            <w:tcBorders>
              <w:tl2br w:val="nil"/>
              <w:tr2bl w:val="nil"/>
            </w:tcBorders>
            <w:shd w:val="clear" w:color="auto" w:fill="auto"/>
            <w:vAlign w:val="center"/>
          </w:tcPr>
          <w:p w14:paraId="2B90A89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伸缩蝶阀</w:t>
            </w:r>
          </w:p>
        </w:tc>
        <w:tc>
          <w:tcPr>
            <w:tcW w:w="2110" w:type="pct"/>
            <w:tcBorders>
              <w:tl2br w:val="nil"/>
              <w:tr2bl w:val="nil"/>
            </w:tcBorders>
            <w:shd w:val="clear" w:color="auto" w:fill="auto"/>
            <w:vAlign w:val="center"/>
          </w:tcPr>
          <w:p w14:paraId="2A32E3F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DN900,PNO.6</w:t>
            </w:r>
          </w:p>
        </w:tc>
        <w:tc>
          <w:tcPr>
            <w:tcW w:w="336" w:type="pct"/>
            <w:tcBorders>
              <w:tl2br w:val="nil"/>
              <w:tr2bl w:val="nil"/>
            </w:tcBorders>
            <w:shd w:val="clear" w:color="auto" w:fill="auto"/>
            <w:vAlign w:val="center"/>
          </w:tcPr>
          <w:p w14:paraId="1009144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38237F7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5783365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6957EA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63BCD67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887" w:type="pct"/>
            <w:tcBorders>
              <w:tl2br w:val="nil"/>
              <w:tr2bl w:val="nil"/>
            </w:tcBorders>
            <w:shd w:val="clear" w:color="auto" w:fill="auto"/>
            <w:vAlign w:val="center"/>
          </w:tcPr>
          <w:p w14:paraId="42D9094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伸缩蝶阀</w:t>
            </w:r>
          </w:p>
        </w:tc>
        <w:tc>
          <w:tcPr>
            <w:tcW w:w="2110" w:type="pct"/>
            <w:tcBorders>
              <w:tl2br w:val="nil"/>
              <w:tr2bl w:val="nil"/>
            </w:tcBorders>
            <w:shd w:val="clear" w:color="auto" w:fill="auto"/>
            <w:vAlign w:val="center"/>
          </w:tcPr>
          <w:p w14:paraId="3832B86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DN600,PNO.6</w:t>
            </w:r>
          </w:p>
        </w:tc>
        <w:tc>
          <w:tcPr>
            <w:tcW w:w="336" w:type="pct"/>
            <w:tcBorders>
              <w:tl2br w:val="nil"/>
              <w:tr2bl w:val="nil"/>
            </w:tcBorders>
            <w:shd w:val="clear" w:color="auto" w:fill="auto"/>
            <w:vAlign w:val="center"/>
          </w:tcPr>
          <w:p w14:paraId="596272B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7A20245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7DAA0BA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3487AE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3CBE87E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c>
          <w:tcPr>
            <w:tcW w:w="887" w:type="pct"/>
            <w:tcBorders>
              <w:tl2br w:val="nil"/>
              <w:tr2bl w:val="nil"/>
            </w:tcBorders>
            <w:shd w:val="clear" w:color="auto" w:fill="auto"/>
            <w:vAlign w:val="center"/>
          </w:tcPr>
          <w:p w14:paraId="4440E3F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伸缩蝶阀</w:t>
            </w:r>
          </w:p>
        </w:tc>
        <w:tc>
          <w:tcPr>
            <w:tcW w:w="2110" w:type="pct"/>
            <w:tcBorders>
              <w:tl2br w:val="nil"/>
              <w:tr2bl w:val="nil"/>
            </w:tcBorders>
            <w:shd w:val="clear" w:color="auto" w:fill="auto"/>
            <w:vAlign w:val="center"/>
          </w:tcPr>
          <w:p w14:paraId="6A4A707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DN350,PNO.6</w:t>
            </w:r>
          </w:p>
        </w:tc>
        <w:tc>
          <w:tcPr>
            <w:tcW w:w="336" w:type="pct"/>
            <w:tcBorders>
              <w:tl2br w:val="nil"/>
              <w:tr2bl w:val="nil"/>
            </w:tcBorders>
            <w:shd w:val="clear" w:color="auto" w:fill="auto"/>
            <w:vAlign w:val="center"/>
          </w:tcPr>
          <w:p w14:paraId="14A6DB0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3F35AA9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804" w:type="pct"/>
            <w:tcBorders>
              <w:tl2br w:val="nil"/>
              <w:tr2bl w:val="nil"/>
            </w:tcBorders>
            <w:shd w:val="clear" w:color="auto" w:fill="auto"/>
            <w:vAlign w:val="center"/>
          </w:tcPr>
          <w:p w14:paraId="7A91415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75A6F5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45E78C9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887" w:type="pct"/>
            <w:tcBorders>
              <w:tl2br w:val="nil"/>
              <w:tr2bl w:val="nil"/>
            </w:tcBorders>
            <w:shd w:val="clear" w:color="auto" w:fill="auto"/>
            <w:vAlign w:val="center"/>
          </w:tcPr>
          <w:p w14:paraId="3911C60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焊接钢管</w:t>
            </w:r>
          </w:p>
        </w:tc>
        <w:tc>
          <w:tcPr>
            <w:tcW w:w="2110" w:type="pct"/>
            <w:tcBorders>
              <w:tl2br w:val="nil"/>
              <w:tr2bl w:val="nil"/>
            </w:tcBorders>
            <w:shd w:val="clear" w:color="auto" w:fill="auto"/>
            <w:vAlign w:val="center"/>
          </w:tcPr>
          <w:p w14:paraId="19AAB57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DN1200</w:t>
            </w:r>
          </w:p>
        </w:tc>
        <w:tc>
          <w:tcPr>
            <w:tcW w:w="336" w:type="pct"/>
            <w:tcBorders>
              <w:tl2br w:val="nil"/>
              <w:tr2bl w:val="nil"/>
            </w:tcBorders>
            <w:shd w:val="clear" w:color="auto" w:fill="auto"/>
            <w:vAlign w:val="center"/>
          </w:tcPr>
          <w:p w14:paraId="2DE9F9D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232</w:t>
            </w:r>
          </w:p>
        </w:tc>
        <w:tc>
          <w:tcPr>
            <w:tcW w:w="415" w:type="pct"/>
            <w:tcBorders>
              <w:tl2br w:val="nil"/>
              <w:tr2bl w:val="nil"/>
            </w:tcBorders>
            <w:shd w:val="clear" w:color="auto" w:fill="auto"/>
            <w:vAlign w:val="center"/>
          </w:tcPr>
          <w:p w14:paraId="0419734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7AE9120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新增，工艺回流管</w:t>
            </w:r>
          </w:p>
        </w:tc>
      </w:tr>
      <w:tr w14:paraId="068DE3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0" w:hRule="atLeast"/>
        </w:trPr>
        <w:tc>
          <w:tcPr>
            <w:tcW w:w="445" w:type="pct"/>
            <w:tcBorders>
              <w:tl2br w:val="nil"/>
              <w:tr2bl w:val="nil"/>
            </w:tcBorders>
            <w:shd w:val="clear" w:color="auto" w:fill="auto"/>
            <w:vAlign w:val="center"/>
          </w:tcPr>
          <w:p w14:paraId="09ABB2B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w:t>
            </w:r>
          </w:p>
        </w:tc>
        <w:tc>
          <w:tcPr>
            <w:tcW w:w="887" w:type="pct"/>
            <w:tcBorders>
              <w:tl2br w:val="nil"/>
              <w:tr2bl w:val="nil"/>
            </w:tcBorders>
            <w:shd w:val="clear" w:color="auto" w:fill="auto"/>
            <w:vAlign w:val="center"/>
          </w:tcPr>
          <w:p w14:paraId="56A36F8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焊接钢管</w:t>
            </w:r>
          </w:p>
        </w:tc>
        <w:tc>
          <w:tcPr>
            <w:tcW w:w="2110" w:type="pct"/>
            <w:tcBorders>
              <w:tl2br w:val="nil"/>
              <w:tr2bl w:val="nil"/>
            </w:tcBorders>
            <w:shd w:val="clear" w:color="auto" w:fill="auto"/>
            <w:vAlign w:val="center"/>
          </w:tcPr>
          <w:p w14:paraId="107A8A3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DN1000</w:t>
            </w:r>
          </w:p>
        </w:tc>
        <w:tc>
          <w:tcPr>
            <w:tcW w:w="336" w:type="pct"/>
            <w:tcBorders>
              <w:tl2br w:val="nil"/>
              <w:tr2bl w:val="nil"/>
            </w:tcBorders>
            <w:shd w:val="clear" w:color="auto" w:fill="auto"/>
            <w:vAlign w:val="center"/>
          </w:tcPr>
          <w:p w14:paraId="0608ACF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264</w:t>
            </w:r>
          </w:p>
        </w:tc>
        <w:tc>
          <w:tcPr>
            <w:tcW w:w="415" w:type="pct"/>
            <w:tcBorders>
              <w:tl2br w:val="nil"/>
              <w:tr2bl w:val="nil"/>
            </w:tcBorders>
            <w:shd w:val="clear" w:color="auto" w:fill="auto"/>
            <w:vAlign w:val="center"/>
          </w:tcPr>
          <w:p w14:paraId="141FA42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5D278CC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新增，工艺回流管</w:t>
            </w:r>
          </w:p>
        </w:tc>
      </w:tr>
      <w:tr w14:paraId="5E6654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44DA566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887" w:type="pct"/>
            <w:tcBorders>
              <w:tl2br w:val="nil"/>
              <w:tr2bl w:val="nil"/>
            </w:tcBorders>
            <w:shd w:val="clear" w:color="auto" w:fill="auto"/>
            <w:vAlign w:val="center"/>
          </w:tcPr>
          <w:p w14:paraId="44443B7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焊接钢管</w:t>
            </w:r>
          </w:p>
        </w:tc>
        <w:tc>
          <w:tcPr>
            <w:tcW w:w="2110" w:type="pct"/>
            <w:tcBorders>
              <w:tl2br w:val="nil"/>
              <w:tr2bl w:val="nil"/>
            </w:tcBorders>
            <w:shd w:val="clear" w:color="auto" w:fill="auto"/>
            <w:vAlign w:val="center"/>
          </w:tcPr>
          <w:p w14:paraId="4216DA7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DN1800</w:t>
            </w:r>
          </w:p>
        </w:tc>
        <w:tc>
          <w:tcPr>
            <w:tcW w:w="336" w:type="pct"/>
            <w:tcBorders>
              <w:tl2br w:val="nil"/>
              <w:tr2bl w:val="nil"/>
            </w:tcBorders>
            <w:shd w:val="clear" w:color="auto" w:fill="auto"/>
            <w:vAlign w:val="center"/>
          </w:tcPr>
          <w:p w14:paraId="1282D2D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112</w:t>
            </w:r>
          </w:p>
        </w:tc>
        <w:tc>
          <w:tcPr>
            <w:tcW w:w="415" w:type="pct"/>
            <w:tcBorders>
              <w:tl2br w:val="nil"/>
              <w:tr2bl w:val="nil"/>
            </w:tcBorders>
            <w:shd w:val="clear" w:color="auto" w:fill="auto"/>
            <w:vAlign w:val="center"/>
          </w:tcPr>
          <w:p w14:paraId="65A9E6E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39F863E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新增，工艺管</w:t>
            </w:r>
          </w:p>
        </w:tc>
      </w:tr>
      <w:tr w14:paraId="7C03AE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2DC1814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w:t>
            </w:r>
          </w:p>
        </w:tc>
        <w:tc>
          <w:tcPr>
            <w:tcW w:w="887" w:type="pct"/>
            <w:tcBorders>
              <w:tl2br w:val="nil"/>
              <w:tr2bl w:val="nil"/>
            </w:tcBorders>
            <w:shd w:val="clear" w:color="auto" w:fill="auto"/>
            <w:vAlign w:val="center"/>
          </w:tcPr>
          <w:p w14:paraId="2AAE86D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焊接钢管</w:t>
            </w:r>
          </w:p>
        </w:tc>
        <w:tc>
          <w:tcPr>
            <w:tcW w:w="2110" w:type="pct"/>
            <w:tcBorders>
              <w:tl2br w:val="nil"/>
              <w:tr2bl w:val="nil"/>
            </w:tcBorders>
            <w:shd w:val="clear" w:color="auto" w:fill="auto"/>
            <w:vAlign w:val="center"/>
          </w:tcPr>
          <w:p w14:paraId="55DD7A8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DN1400</w:t>
            </w:r>
          </w:p>
        </w:tc>
        <w:tc>
          <w:tcPr>
            <w:tcW w:w="336" w:type="pct"/>
            <w:tcBorders>
              <w:tl2br w:val="nil"/>
              <w:tr2bl w:val="nil"/>
            </w:tcBorders>
            <w:shd w:val="clear" w:color="auto" w:fill="auto"/>
            <w:vAlign w:val="center"/>
          </w:tcPr>
          <w:p w14:paraId="2017826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46</w:t>
            </w:r>
          </w:p>
        </w:tc>
        <w:tc>
          <w:tcPr>
            <w:tcW w:w="415" w:type="pct"/>
            <w:tcBorders>
              <w:tl2br w:val="nil"/>
              <w:tr2bl w:val="nil"/>
            </w:tcBorders>
            <w:shd w:val="clear" w:color="auto" w:fill="auto"/>
            <w:vAlign w:val="center"/>
          </w:tcPr>
          <w:p w14:paraId="386CA65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5A5B849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新增，工艺管</w:t>
            </w:r>
          </w:p>
        </w:tc>
      </w:tr>
      <w:tr w14:paraId="0CAA43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4C59E70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w:t>
            </w:r>
          </w:p>
        </w:tc>
        <w:tc>
          <w:tcPr>
            <w:tcW w:w="887" w:type="pct"/>
            <w:tcBorders>
              <w:tl2br w:val="nil"/>
              <w:tr2bl w:val="nil"/>
            </w:tcBorders>
            <w:shd w:val="clear" w:color="auto" w:fill="auto"/>
            <w:vAlign w:val="center"/>
          </w:tcPr>
          <w:p w14:paraId="4D2F293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焊接钢管</w:t>
            </w:r>
          </w:p>
        </w:tc>
        <w:tc>
          <w:tcPr>
            <w:tcW w:w="2110" w:type="pct"/>
            <w:tcBorders>
              <w:tl2br w:val="nil"/>
              <w:tr2bl w:val="nil"/>
            </w:tcBorders>
            <w:shd w:val="clear" w:color="auto" w:fill="auto"/>
            <w:vAlign w:val="center"/>
          </w:tcPr>
          <w:p w14:paraId="0DFF47C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DN900</w:t>
            </w:r>
          </w:p>
        </w:tc>
        <w:tc>
          <w:tcPr>
            <w:tcW w:w="336" w:type="pct"/>
            <w:tcBorders>
              <w:tl2br w:val="nil"/>
              <w:tr2bl w:val="nil"/>
            </w:tcBorders>
            <w:shd w:val="clear" w:color="auto" w:fill="auto"/>
            <w:vAlign w:val="center"/>
          </w:tcPr>
          <w:p w14:paraId="0A244E8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132</w:t>
            </w:r>
          </w:p>
        </w:tc>
        <w:tc>
          <w:tcPr>
            <w:tcW w:w="415" w:type="pct"/>
            <w:tcBorders>
              <w:tl2br w:val="nil"/>
              <w:tr2bl w:val="nil"/>
            </w:tcBorders>
            <w:shd w:val="clear" w:color="auto" w:fill="auto"/>
            <w:vAlign w:val="center"/>
          </w:tcPr>
          <w:p w14:paraId="6C6C46A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71F59FC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新增，工艺管</w:t>
            </w:r>
          </w:p>
        </w:tc>
      </w:tr>
      <w:tr w14:paraId="56CAFB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5563759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w:t>
            </w:r>
          </w:p>
        </w:tc>
        <w:tc>
          <w:tcPr>
            <w:tcW w:w="887" w:type="pct"/>
            <w:tcBorders>
              <w:tl2br w:val="nil"/>
              <w:tr2bl w:val="nil"/>
            </w:tcBorders>
            <w:shd w:val="clear" w:color="auto" w:fill="auto"/>
            <w:vAlign w:val="center"/>
          </w:tcPr>
          <w:p w14:paraId="3FFAF9B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焊接钢管</w:t>
            </w:r>
          </w:p>
        </w:tc>
        <w:tc>
          <w:tcPr>
            <w:tcW w:w="2110" w:type="pct"/>
            <w:tcBorders>
              <w:tl2br w:val="nil"/>
              <w:tr2bl w:val="nil"/>
            </w:tcBorders>
            <w:shd w:val="clear" w:color="auto" w:fill="auto"/>
            <w:vAlign w:val="center"/>
          </w:tcPr>
          <w:p w14:paraId="719CCA4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DN600</w:t>
            </w:r>
          </w:p>
        </w:tc>
        <w:tc>
          <w:tcPr>
            <w:tcW w:w="336" w:type="pct"/>
            <w:tcBorders>
              <w:tl2br w:val="nil"/>
              <w:tr2bl w:val="nil"/>
            </w:tcBorders>
            <w:shd w:val="clear" w:color="auto" w:fill="auto"/>
            <w:vAlign w:val="center"/>
          </w:tcPr>
          <w:p w14:paraId="156D4F8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148</w:t>
            </w:r>
          </w:p>
        </w:tc>
        <w:tc>
          <w:tcPr>
            <w:tcW w:w="415" w:type="pct"/>
            <w:tcBorders>
              <w:tl2br w:val="nil"/>
              <w:tr2bl w:val="nil"/>
            </w:tcBorders>
            <w:shd w:val="clear" w:color="auto" w:fill="auto"/>
            <w:vAlign w:val="center"/>
          </w:tcPr>
          <w:p w14:paraId="6E868DF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3B5E704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新增，工艺管</w:t>
            </w:r>
          </w:p>
        </w:tc>
      </w:tr>
      <w:tr w14:paraId="65F63B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40" w:hRule="atLeast"/>
        </w:trPr>
        <w:tc>
          <w:tcPr>
            <w:tcW w:w="445" w:type="pct"/>
            <w:tcBorders>
              <w:tl2br w:val="nil"/>
              <w:tr2bl w:val="nil"/>
            </w:tcBorders>
            <w:shd w:val="clear" w:color="auto" w:fill="auto"/>
            <w:vAlign w:val="center"/>
          </w:tcPr>
          <w:p w14:paraId="563EC8E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14</w:t>
            </w:r>
          </w:p>
        </w:tc>
        <w:tc>
          <w:tcPr>
            <w:tcW w:w="887" w:type="pct"/>
            <w:tcBorders>
              <w:tl2br w:val="nil"/>
              <w:tr2bl w:val="nil"/>
            </w:tcBorders>
            <w:shd w:val="clear" w:color="auto" w:fill="auto"/>
            <w:vAlign w:val="center"/>
          </w:tcPr>
          <w:p w14:paraId="7498D9D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焊接钢管</w:t>
            </w:r>
          </w:p>
        </w:tc>
        <w:tc>
          <w:tcPr>
            <w:tcW w:w="2110" w:type="pct"/>
            <w:tcBorders>
              <w:tl2br w:val="nil"/>
              <w:tr2bl w:val="nil"/>
            </w:tcBorders>
            <w:shd w:val="clear" w:color="auto" w:fill="auto"/>
            <w:vAlign w:val="center"/>
          </w:tcPr>
          <w:p w14:paraId="4692E5B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DN350</w:t>
            </w:r>
          </w:p>
        </w:tc>
        <w:tc>
          <w:tcPr>
            <w:tcW w:w="336" w:type="pct"/>
            <w:tcBorders>
              <w:tl2br w:val="nil"/>
              <w:tr2bl w:val="nil"/>
            </w:tcBorders>
            <w:shd w:val="clear" w:color="auto" w:fill="auto"/>
            <w:vAlign w:val="center"/>
          </w:tcPr>
          <w:p w14:paraId="0A07C94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18</w:t>
            </w:r>
          </w:p>
        </w:tc>
        <w:tc>
          <w:tcPr>
            <w:tcW w:w="415" w:type="pct"/>
            <w:tcBorders>
              <w:tl2br w:val="nil"/>
              <w:tr2bl w:val="nil"/>
            </w:tcBorders>
            <w:shd w:val="clear" w:color="auto" w:fill="auto"/>
            <w:vAlign w:val="center"/>
          </w:tcPr>
          <w:p w14:paraId="507563E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33CDE69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新增，工艺管</w:t>
            </w:r>
          </w:p>
        </w:tc>
      </w:tr>
      <w:tr w14:paraId="373AC4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7E6F831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w:t>
            </w:r>
          </w:p>
        </w:tc>
        <w:tc>
          <w:tcPr>
            <w:tcW w:w="887" w:type="pct"/>
            <w:tcBorders>
              <w:tl2br w:val="nil"/>
              <w:tr2bl w:val="nil"/>
            </w:tcBorders>
            <w:shd w:val="clear" w:color="auto" w:fill="auto"/>
            <w:vAlign w:val="center"/>
          </w:tcPr>
          <w:p w14:paraId="3A817F2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焊接钢管</w:t>
            </w:r>
          </w:p>
        </w:tc>
        <w:tc>
          <w:tcPr>
            <w:tcW w:w="2110" w:type="pct"/>
            <w:tcBorders>
              <w:tl2br w:val="nil"/>
              <w:tr2bl w:val="nil"/>
            </w:tcBorders>
            <w:shd w:val="clear" w:color="auto" w:fill="auto"/>
            <w:vAlign w:val="center"/>
          </w:tcPr>
          <w:p w14:paraId="45CC567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DN150</w:t>
            </w:r>
          </w:p>
        </w:tc>
        <w:tc>
          <w:tcPr>
            <w:tcW w:w="336" w:type="pct"/>
            <w:tcBorders>
              <w:tl2br w:val="nil"/>
              <w:tr2bl w:val="nil"/>
            </w:tcBorders>
            <w:shd w:val="clear" w:color="auto" w:fill="auto"/>
            <w:vAlign w:val="center"/>
          </w:tcPr>
          <w:p w14:paraId="4B66C2E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116</w:t>
            </w:r>
          </w:p>
        </w:tc>
        <w:tc>
          <w:tcPr>
            <w:tcW w:w="415" w:type="pct"/>
            <w:tcBorders>
              <w:tl2br w:val="nil"/>
              <w:tr2bl w:val="nil"/>
            </w:tcBorders>
            <w:shd w:val="clear" w:color="auto" w:fill="auto"/>
            <w:vAlign w:val="center"/>
          </w:tcPr>
          <w:p w14:paraId="6263EE4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615679E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新增，污泥管</w:t>
            </w:r>
          </w:p>
        </w:tc>
      </w:tr>
      <w:tr w14:paraId="522769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6FA3234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16</w:t>
            </w:r>
          </w:p>
        </w:tc>
        <w:tc>
          <w:tcPr>
            <w:tcW w:w="887" w:type="pct"/>
            <w:tcBorders>
              <w:tl2br w:val="nil"/>
              <w:tr2bl w:val="nil"/>
            </w:tcBorders>
            <w:shd w:val="clear" w:color="auto" w:fill="auto"/>
            <w:vAlign w:val="center"/>
          </w:tcPr>
          <w:p w14:paraId="64226B0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不锈钢管</w:t>
            </w:r>
          </w:p>
        </w:tc>
        <w:tc>
          <w:tcPr>
            <w:tcW w:w="2110" w:type="pct"/>
            <w:tcBorders>
              <w:tl2br w:val="nil"/>
              <w:tr2bl w:val="nil"/>
            </w:tcBorders>
            <w:shd w:val="clear" w:color="auto" w:fill="auto"/>
            <w:vAlign w:val="center"/>
          </w:tcPr>
          <w:p w14:paraId="65A09D7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DN600</w:t>
            </w:r>
          </w:p>
        </w:tc>
        <w:tc>
          <w:tcPr>
            <w:tcW w:w="336" w:type="pct"/>
            <w:tcBorders>
              <w:tl2br w:val="nil"/>
              <w:tr2bl w:val="nil"/>
            </w:tcBorders>
            <w:shd w:val="clear" w:color="auto" w:fill="auto"/>
            <w:vAlign w:val="center"/>
          </w:tcPr>
          <w:p w14:paraId="3DEC8C0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22</w:t>
            </w:r>
          </w:p>
        </w:tc>
        <w:tc>
          <w:tcPr>
            <w:tcW w:w="415" w:type="pct"/>
            <w:tcBorders>
              <w:tl2br w:val="nil"/>
              <w:tr2bl w:val="nil"/>
            </w:tcBorders>
            <w:shd w:val="clear" w:color="auto" w:fill="auto"/>
            <w:vAlign w:val="center"/>
          </w:tcPr>
          <w:p w14:paraId="59A159E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51348E5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新增，空气管</w:t>
            </w:r>
          </w:p>
        </w:tc>
      </w:tr>
      <w:tr w14:paraId="768B7B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6DC9DCD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17</w:t>
            </w:r>
          </w:p>
        </w:tc>
        <w:tc>
          <w:tcPr>
            <w:tcW w:w="887" w:type="pct"/>
            <w:tcBorders>
              <w:tl2br w:val="nil"/>
              <w:tr2bl w:val="nil"/>
            </w:tcBorders>
            <w:shd w:val="clear" w:color="auto" w:fill="auto"/>
            <w:vAlign w:val="center"/>
          </w:tcPr>
          <w:p w14:paraId="1A83C29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不锈钢管</w:t>
            </w:r>
          </w:p>
        </w:tc>
        <w:tc>
          <w:tcPr>
            <w:tcW w:w="2110" w:type="pct"/>
            <w:tcBorders>
              <w:tl2br w:val="nil"/>
              <w:tr2bl w:val="nil"/>
            </w:tcBorders>
            <w:shd w:val="clear" w:color="auto" w:fill="auto"/>
            <w:vAlign w:val="center"/>
          </w:tcPr>
          <w:p w14:paraId="625057A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DN450</w:t>
            </w:r>
          </w:p>
        </w:tc>
        <w:tc>
          <w:tcPr>
            <w:tcW w:w="336" w:type="pct"/>
            <w:tcBorders>
              <w:tl2br w:val="nil"/>
              <w:tr2bl w:val="nil"/>
            </w:tcBorders>
            <w:shd w:val="clear" w:color="auto" w:fill="auto"/>
            <w:vAlign w:val="center"/>
          </w:tcPr>
          <w:p w14:paraId="79AD8E1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132</w:t>
            </w:r>
          </w:p>
        </w:tc>
        <w:tc>
          <w:tcPr>
            <w:tcW w:w="415" w:type="pct"/>
            <w:tcBorders>
              <w:tl2br w:val="nil"/>
              <w:tr2bl w:val="nil"/>
            </w:tcBorders>
            <w:shd w:val="clear" w:color="auto" w:fill="auto"/>
            <w:vAlign w:val="center"/>
          </w:tcPr>
          <w:p w14:paraId="689C6E7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3D0856A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新增，空气管</w:t>
            </w:r>
          </w:p>
        </w:tc>
      </w:tr>
      <w:tr w14:paraId="7E6B58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40" w:hRule="atLeast"/>
        </w:trPr>
        <w:tc>
          <w:tcPr>
            <w:tcW w:w="445" w:type="pct"/>
            <w:tcBorders>
              <w:tl2br w:val="nil"/>
              <w:tr2bl w:val="nil"/>
            </w:tcBorders>
            <w:shd w:val="clear" w:color="auto" w:fill="auto"/>
            <w:vAlign w:val="center"/>
          </w:tcPr>
          <w:p w14:paraId="5FB25DD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18</w:t>
            </w:r>
          </w:p>
        </w:tc>
        <w:tc>
          <w:tcPr>
            <w:tcW w:w="887" w:type="pct"/>
            <w:tcBorders>
              <w:tl2br w:val="nil"/>
              <w:tr2bl w:val="nil"/>
            </w:tcBorders>
            <w:shd w:val="clear" w:color="auto" w:fill="auto"/>
            <w:vAlign w:val="center"/>
          </w:tcPr>
          <w:p w14:paraId="10469C3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PE给水管</w:t>
            </w:r>
          </w:p>
        </w:tc>
        <w:tc>
          <w:tcPr>
            <w:tcW w:w="2110" w:type="pct"/>
            <w:tcBorders>
              <w:tl2br w:val="nil"/>
              <w:tr2bl w:val="nil"/>
            </w:tcBorders>
            <w:shd w:val="clear" w:color="auto" w:fill="auto"/>
            <w:vAlign w:val="center"/>
          </w:tcPr>
          <w:p w14:paraId="1DBA777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Del10,PN1.0</w:t>
            </w:r>
          </w:p>
        </w:tc>
        <w:tc>
          <w:tcPr>
            <w:tcW w:w="336" w:type="pct"/>
            <w:tcBorders>
              <w:tl2br w:val="nil"/>
              <w:tr2bl w:val="nil"/>
            </w:tcBorders>
            <w:shd w:val="clear" w:color="auto" w:fill="auto"/>
            <w:vAlign w:val="center"/>
          </w:tcPr>
          <w:p w14:paraId="53DECA1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110</w:t>
            </w:r>
          </w:p>
        </w:tc>
        <w:tc>
          <w:tcPr>
            <w:tcW w:w="415" w:type="pct"/>
            <w:tcBorders>
              <w:tl2br w:val="nil"/>
              <w:tr2bl w:val="nil"/>
            </w:tcBorders>
            <w:shd w:val="clear" w:color="auto" w:fill="auto"/>
            <w:vAlign w:val="center"/>
          </w:tcPr>
          <w:p w14:paraId="1C3D1BF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7671B60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新增，给水管</w:t>
            </w:r>
          </w:p>
        </w:tc>
      </w:tr>
      <w:tr w14:paraId="6EDF25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4402494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19</w:t>
            </w:r>
          </w:p>
        </w:tc>
        <w:tc>
          <w:tcPr>
            <w:tcW w:w="887" w:type="pct"/>
            <w:tcBorders>
              <w:tl2br w:val="nil"/>
              <w:tr2bl w:val="nil"/>
            </w:tcBorders>
            <w:shd w:val="clear" w:color="auto" w:fill="auto"/>
            <w:vAlign w:val="center"/>
          </w:tcPr>
          <w:p w14:paraId="069FF99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PE给水管</w:t>
            </w:r>
          </w:p>
        </w:tc>
        <w:tc>
          <w:tcPr>
            <w:tcW w:w="2110" w:type="pct"/>
            <w:tcBorders>
              <w:tl2br w:val="nil"/>
              <w:tr2bl w:val="nil"/>
            </w:tcBorders>
            <w:shd w:val="clear" w:color="auto" w:fill="auto"/>
            <w:vAlign w:val="center"/>
          </w:tcPr>
          <w:p w14:paraId="68BA77A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De32,PN1.0</w:t>
            </w:r>
          </w:p>
        </w:tc>
        <w:tc>
          <w:tcPr>
            <w:tcW w:w="336" w:type="pct"/>
            <w:tcBorders>
              <w:tl2br w:val="nil"/>
              <w:tr2bl w:val="nil"/>
            </w:tcBorders>
            <w:shd w:val="clear" w:color="auto" w:fill="auto"/>
            <w:vAlign w:val="center"/>
          </w:tcPr>
          <w:p w14:paraId="31FB91C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88</w:t>
            </w:r>
          </w:p>
        </w:tc>
        <w:tc>
          <w:tcPr>
            <w:tcW w:w="415" w:type="pct"/>
            <w:tcBorders>
              <w:tl2br w:val="nil"/>
              <w:tr2bl w:val="nil"/>
            </w:tcBorders>
            <w:shd w:val="clear" w:color="auto" w:fill="auto"/>
            <w:vAlign w:val="center"/>
          </w:tcPr>
          <w:p w14:paraId="3B36643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7EE74D9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新增，加药管</w:t>
            </w:r>
          </w:p>
        </w:tc>
      </w:tr>
      <w:tr w14:paraId="602BAD5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1EBA418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w:t>
            </w:r>
          </w:p>
        </w:tc>
        <w:tc>
          <w:tcPr>
            <w:tcW w:w="887" w:type="pct"/>
            <w:tcBorders>
              <w:tl2br w:val="nil"/>
              <w:tr2bl w:val="nil"/>
            </w:tcBorders>
            <w:shd w:val="clear" w:color="auto" w:fill="auto"/>
            <w:vAlign w:val="center"/>
          </w:tcPr>
          <w:p w14:paraId="125963C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HDPE双壁</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波纹管</w:t>
            </w:r>
          </w:p>
        </w:tc>
        <w:tc>
          <w:tcPr>
            <w:tcW w:w="2110" w:type="pct"/>
            <w:tcBorders>
              <w:tl2br w:val="nil"/>
              <w:tr2bl w:val="nil"/>
            </w:tcBorders>
            <w:shd w:val="clear" w:color="auto" w:fill="auto"/>
            <w:vAlign w:val="center"/>
          </w:tcPr>
          <w:p w14:paraId="405BC04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De400</w:t>
            </w:r>
          </w:p>
        </w:tc>
        <w:tc>
          <w:tcPr>
            <w:tcW w:w="336" w:type="pct"/>
            <w:tcBorders>
              <w:tl2br w:val="nil"/>
              <w:tr2bl w:val="nil"/>
            </w:tcBorders>
            <w:shd w:val="clear" w:color="auto" w:fill="auto"/>
            <w:vAlign w:val="center"/>
          </w:tcPr>
          <w:p w14:paraId="59D25CB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120</w:t>
            </w:r>
          </w:p>
        </w:tc>
        <w:tc>
          <w:tcPr>
            <w:tcW w:w="415" w:type="pct"/>
            <w:tcBorders>
              <w:tl2br w:val="nil"/>
              <w:tr2bl w:val="nil"/>
            </w:tcBorders>
            <w:shd w:val="clear" w:color="auto" w:fill="auto"/>
            <w:vAlign w:val="center"/>
          </w:tcPr>
          <w:p w14:paraId="0493BED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59843D4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新增，排水管</w:t>
            </w:r>
          </w:p>
        </w:tc>
      </w:tr>
      <w:tr w14:paraId="0A3CDF7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24" w:hRule="atLeast"/>
        </w:trPr>
        <w:tc>
          <w:tcPr>
            <w:tcW w:w="445" w:type="pct"/>
            <w:tcBorders>
              <w:tl2br w:val="nil"/>
              <w:tr2bl w:val="nil"/>
            </w:tcBorders>
            <w:shd w:val="clear" w:color="auto" w:fill="auto"/>
            <w:vAlign w:val="center"/>
          </w:tcPr>
          <w:p w14:paraId="30D8B91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21</w:t>
            </w:r>
          </w:p>
        </w:tc>
        <w:tc>
          <w:tcPr>
            <w:tcW w:w="887" w:type="pct"/>
            <w:tcBorders>
              <w:tl2br w:val="nil"/>
              <w:tr2bl w:val="nil"/>
            </w:tcBorders>
            <w:shd w:val="clear" w:color="auto" w:fill="auto"/>
            <w:vAlign w:val="center"/>
          </w:tcPr>
          <w:p w14:paraId="46AFAFD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混凝土检查井</w:t>
            </w:r>
          </w:p>
        </w:tc>
        <w:tc>
          <w:tcPr>
            <w:tcW w:w="2110" w:type="pct"/>
            <w:tcBorders>
              <w:tl2br w:val="nil"/>
              <w:tr2bl w:val="nil"/>
            </w:tcBorders>
            <w:shd w:val="clear" w:color="auto" w:fill="auto"/>
            <w:vAlign w:val="center"/>
          </w:tcPr>
          <w:p w14:paraId="23D0B12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直径1.0m</w:t>
            </w:r>
          </w:p>
        </w:tc>
        <w:tc>
          <w:tcPr>
            <w:tcW w:w="336" w:type="pct"/>
            <w:tcBorders>
              <w:tl2br w:val="nil"/>
              <w:tr2bl w:val="nil"/>
            </w:tcBorders>
            <w:shd w:val="clear" w:color="auto" w:fill="auto"/>
            <w:vAlign w:val="center"/>
          </w:tcPr>
          <w:p w14:paraId="5715DBF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415" w:type="pct"/>
            <w:tcBorders>
              <w:tl2br w:val="nil"/>
              <w:tr2bl w:val="nil"/>
            </w:tcBorders>
            <w:shd w:val="clear" w:color="auto" w:fill="auto"/>
            <w:vAlign w:val="center"/>
          </w:tcPr>
          <w:p w14:paraId="4B28808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座</w:t>
            </w:r>
          </w:p>
        </w:tc>
        <w:tc>
          <w:tcPr>
            <w:tcW w:w="804" w:type="pct"/>
            <w:tcBorders>
              <w:tl2br w:val="nil"/>
              <w:tr2bl w:val="nil"/>
            </w:tcBorders>
            <w:shd w:val="clear" w:color="auto" w:fill="auto"/>
            <w:vAlign w:val="center"/>
          </w:tcPr>
          <w:p w14:paraId="7AE9F02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5BB70A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5" w:hRule="atLeast"/>
        </w:trPr>
        <w:tc>
          <w:tcPr>
            <w:tcW w:w="445" w:type="pct"/>
            <w:tcBorders>
              <w:tl2br w:val="nil"/>
              <w:tr2bl w:val="nil"/>
            </w:tcBorders>
            <w:shd w:val="clear" w:color="auto" w:fill="auto"/>
            <w:vAlign w:val="center"/>
          </w:tcPr>
          <w:p w14:paraId="0F7A8F0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22</w:t>
            </w:r>
          </w:p>
        </w:tc>
        <w:tc>
          <w:tcPr>
            <w:tcW w:w="887" w:type="pct"/>
            <w:tcBorders>
              <w:tl2br w:val="nil"/>
              <w:tr2bl w:val="nil"/>
            </w:tcBorders>
            <w:shd w:val="clear" w:color="auto" w:fill="auto"/>
            <w:vAlign w:val="center"/>
          </w:tcPr>
          <w:p w14:paraId="5AFE881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混凝土阀</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门井</w:t>
            </w:r>
          </w:p>
        </w:tc>
        <w:tc>
          <w:tcPr>
            <w:tcW w:w="2110" w:type="pct"/>
            <w:tcBorders>
              <w:tl2br w:val="nil"/>
              <w:tr2bl w:val="nil"/>
            </w:tcBorders>
            <w:shd w:val="clear" w:color="auto" w:fill="auto"/>
            <w:vAlign w:val="center"/>
          </w:tcPr>
          <w:p w14:paraId="3604345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L×B:1.4m×1.8m</w:t>
            </w:r>
          </w:p>
        </w:tc>
        <w:tc>
          <w:tcPr>
            <w:tcW w:w="336" w:type="pct"/>
            <w:tcBorders>
              <w:tl2br w:val="nil"/>
              <w:tr2bl w:val="nil"/>
            </w:tcBorders>
            <w:shd w:val="clear" w:color="auto" w:fill="auto"/>
            <w:vAlign w:val="center"/>
          </w:tcPr>
          <w:p w14:paraId="3BAB9DB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53B7E8F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座</w:t>
            </w:r>
          </w:p>
        </w:tc>
        <w:tc>
          <w:tcPr>
            <w:tcW w:w="804" w:type="pct"/>
            <w:tcBorders>
              <w:tl2br w:val="nil"/>
              <w:tr2bl w:val="nil"/>
            </w:tcBorders>
            <w:shd w:val="clear" w:color="auto" w:fill="auto"/>
            <w:vAlign w:val="center"/>
          </w:tcPr>
          <w:p w14:paraId="247E27B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7E1C32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098232A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23</w:t>
            </w:r>
          </w:p>
        </w:tc>
        <w:tc>
          <w:tcPr>
            <w:tcW w:w="887" w:type="pct"/>
            <w:tcBorders>
              <w:tl2br w:val="nil"/>
              <w:tr2bl w:val="nil"/>
            </w:tcBorders>
            <w:shd w:val="clear" w:color="auto" w:fill="auto"/>
            <w:vAlign w:val="center"/>
          </w:tcPr>
          <w:p w14:paraId="196D0B1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混凝土阀</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门井</w:t>
            </w:r>
          </w:p>
        </w:tc>
        <w:tc>
          <w:tcPr>
            <w:tcW w:w="2110" w:type="pct"/>
            <w:tcBorders>
              <w:tl2br w:val="nil"/>
              <w:tr2bl w:val="nil"/>
            </w:tcBorders>
            <w:shd w:val="clear" w:color="auto" w:fill="auto"/>
            <w:vAlign w:val="center"/>
          </w:tcPr>
          <w:p w14:paraId="431794A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L×B:1.8m×2.6m</w:t>
            </w:r>
          </w:p>
        </w:tc>
        <w:tc>
          <w:tcPr>
            <w:tcW w:w="336" w:type="pct"/>
            <w:tcBorders>
              <w:tl2br w:val="nil"/>
              <w:tr2bl w:val="nil"/>
            </w:tcBorders>
            <w:shd w:val="clear" w:color="auto" w:fill="auto"/>
            <w:vAlign w:val="center"/>
          </w:tcPr>
          <w:p w14:paraId="7673033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415" w:type="pct"/>
            <w:tcBorders>
              <w:tl2br w:val="nil"/>
              <w:tr2bl w:val="nil"/>
            </w:tcBorders>
            <w:shd w:val="clear" w:color="auto" w:fill="auto"/>
            <w:vAlign w:val="center"/>
          </w:tcPr>
          <w:p w14:paraId="4F99272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座</w:t>
            </w:r>
          </w:p>
        </w:tc>
        <w:tc>
          <w:tcPr>
            <w:tcW w:w="804" w:type="pct"/>
            <w:tcBorders>
              <w:tl2br w:val="nil"/>
              <w:tr2bl w:val="nil"/>
            </w:tcBorders>
            <w:shd w:val="clear" w:color="auto" w:fill="auto"/>
            <w:vAlign w:val="center"/>
          </w:tcPr>
          <w:p w14:paraId="3DBAFE1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123DCF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54EC5AB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24</w:t>
            </w:r>
          </w:p>
        </w:tc>
        <w:tc>
          <w:tcPr>
            <w:tcW w:w="887" w:type="pct"/>
            <w:tcBorders>
              <w:tl2br w:val="nil"/>
              <w:tr2bl w:val="nil"/>
            </w:tcBorders>
            <w:shd w:val="clear" w:color="auto" w:fill="auto"/>
            <w:vAlign w:val="center"/>
          </w:tcPr>
          <w:p w14:paraId="6245930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混凝土阀</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门井</w:t>
            </w:r>
          </w:p>
        </w:tc>
        <w:tc>
          <w:tcPr>
            <w:tcW w:w="2110" w:type="pct"/>
            <w:tcBorders>
              <w:tl2br w:val="nil"/>
              <w:tr2bl w:val="nil"/>
            </w:tcBorders>
            <w:shd w:val="clear" w:color="auto" w:fill="auto"/>
            <w:vAlign w:val="center"/>
          </w:tcPr>
          <w:p w14:paraId="4F53B21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L×B:2.2m×3.4m</w:t>
            </w:r>
          </w:p>
        </w:tc>
        <w:tc>
          <w:tcPr>
            <w:tcW w:w="336" w:type="pct"/>
            <w:tcBorders>
              <w:tl2br w:val="nil"/>
              <w:tr2bl w:val="nil"/>
            </w:tcBorders>
            <w:shd w:val="clear" w:color="auto" w:fill="auto"/>
            <w:vAlign w:val="center"/>
          </w:tcPr>
          <w:p w14:paraId="79ABB52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568AD9F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座</w:t>
            </w:r>
          </w:p>
        </w:tc>
        <w:tc>
          <w:tcPr>
            <w:tcW w:w="804" w:type="pct"/>
            <w:tcBorders>
              <w:tl2br w:val="nil"/>
              <w:tr2bl w:val="nil"/>
            </w:tcBorders>
            <w:shd w:val="clear" w:color="auto" w:fill="auto"/>
            <w:vAlign w:val="center"/>
          </w:tcPr>
          <w:p w14:paraId="28B95DC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3D9A5E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62BD576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25</w:t>
            </w:r>
          </w:p>
        </w:tc>
        <w:tc>
          <w:tcPr>
            <w:tcW w:w="887" w:type="pct"/>
            <w:tcBorders>
              <w:tl2br w:val="nil"/>
              <w:tr2bl w:val="nil"/>
            </w:tcBorders>
            <w:shd w:val="clear" w:color="auto" w:fill="auto"/>
            <w:vAlign w:val="center"/>
          </w:tcPr>
          <w:p w14:paraId="741E41F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混凝土阀</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门井</w:t>
            </w:r>
          </w:p>
        </w:tc>
        <w:tc>
          <w:tcPr>
            <w:tcW w:w="2110" w:type="pct"/>
            <w:tcBorders>
              <w:tl2br w:val="nil"/>
              <w:tr2bl w:val="nil"/>
            </w:tcBorders>
            <w:shd w:val="clear" w:color="auto" w:fill="auto"/>
            <w:vAlign w:val="center"/>
          </w:tcPr>
          <w:p w14:paraId="5FEDFB7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L×B:2.2m×3.8m</w:t>
            </w:r>
          </w:p>
        </w:tc>
        <w:tc>
          <w:tcPr>
            <w:tcW w:w="336" w:type="pct"/>
            <w:tcBorders>
              <w:tl2br w:val="nil"/>
              <w:tr2bl w:val="nil"/>
            </w:tcBorders>
            <w:shd w:val="clear" w:color="auto" w:fill="auto"/>
            <w:vAlign w:val="center"/>
          </w:tcPr>
          <w:p w14:paraId="646ADC2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611C2D5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座</w:t>
            </w:r>
          </w:p>
        </w:tc>
        <w:tc>
          <w:tcPr>
            <w:tcW w:w="804" w:type="pct"/>
            <w:tcBorders>
              <w:tl2br w:val="nil"/>
              <w:tr2bl w:val="nil"/>
            </w:tcBorders>
            <w:shd w:val="clear" w:color="auto" w:fill="auto"/>
            <w:vAlign w:val="center"/>
          </w:tcPr>
          <w:p w14:paraId="5D40502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3D5D0B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40" w:hRule="atLeast"/>
        </w:trPr>
        <w:tc>
          <w:tcPr>
            <w:tcW w:w="4195" w:type="pct"/>
            <w:gridSpan w:val="5"/>
            <w:tcBorders>
              <w:tl2br w:val="nil"/>
              <w:tr2bl w:val="nil"/>
            </w:tcBorders>
            <w:shd w:val="clear" w:color="auto" w:fill="auto"/>
            <w:vAlign w:val="center"/>
          </w:tcPr>
          <w:p w14:paraId="42B7176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仪表（新增）</w:t>
            </w:r>
          </w:p>
        </w:tc>
        <w:tc>
          <w:tcPr>
            <w:tcW w:w="804" w:type="pct"/>
            <w:tcBorders>
              <w:tl2br w:val="nil"/>
              <w:tr2bl w:val="nil"/>
            </w:tcBorders>
            <w:shd w:val="clear" w:color="auto" w:fill="auto"/>
            <w:vAlign w:val="center"/>
          </w:tcPr>
          <w:p w14:paraId="072879D1">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5C829E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6DB025B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3DB04F8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在线pH/ORP仪</w:t>
            </w:r>
          </w:p>
        </w:tc>
        <w:tc>
          <w:tcPr>
            <w:tcW w:w="2110" w:type="pct"/>
            <w:tcBorders>
              <w:tl2br w:val="nil"/>
              <w:tr2bl w:val="nil"/>
            </w:tcBorders>
            <w:shd w:val="clear" w:color="auto" w:fill="auto"/>
            <w:vAlign w:val="center"/>
          </w:tcPr>
          <w:p w14:paraId="6041779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pH量程0～14,ORP量程一400～400;输出信号4～20mA</w:t>
            </w:r>
          </w:p>
        </w:tc>
        <w:tc>
          <w:tcPr>
            <w:tcW w:w="336" w:type="pct"/>
            <w:tcBorders>
              <w:tl2br w:val="nil"/>
              <w:tr2bl w:val="nil"/>
            </w:tcBorders>
            <w:shd w:val="clear" w:color="auto" w:fill="auto"/>
            <w:vAlign w:val="center"/>
          </w:tcPr>
          <w:p w14:paraId="357C0B6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36DDAE0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59581FF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厌氧池、缺氧池、</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后缺氧池</w:t>
            </w:r>
          </w:p>
        </w:tc>
      </w:tr>
      <w:tr w14:paraId="77D13D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21450CF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0134910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在线D0仪</w:t>
            </w:r>
          </w:p>
        </w:tc>
        <w:tc>
          <w:tcPr>
            <w:tcW w:w="2110" w:type="pct"/>
            <w:tcBorders>
              <w:tl2br w:val="nil"/>
              <w:tr2bl w:val="nil"/>
            </w:tcBorders>
            <w:shd w:val="clear" w:color="auto" w:fill="auto"/>
            <w:vAlign w:val="center"/>
          </w:tcPr>
          <w:p w14:paraId="6868FD5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量程0~10mg/L,输出信号4~20mA</w:t>
            </w:r>
          </w:p>
        </w:tc>
        <w:tc>
          <w:tcPr>
            <w:tcW w:w="336" w:type="pct"/>
            <w:tcBorders>
              <w:tl2br w:val="nil"/>
              <w:tr2bl w:val="nil"/>
            </w:tcBorders>
            <w:shd w:val="clear" w:color="auto" w:fill="auto"/>
            <w:vAlign w:val="center"/>
          </w:tcPr>
          <w:p w14:paraId="594ECB5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6024909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21462CC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好氧池</w:t>
            </w:r>
          </w:p>
        </w:tc>
      </w:tr>
      <w:tr w14:paraId="104794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21B4E4B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7813273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氨氮/硝氮监测仪</w:t>
            </w:r>
          </w:p>
        </w:tc>
        <w:tc>
          <w:tcPr>
            <w:tcW w:w="2110" w:type="pct"/>
            <w:tcBorders>
              <w:tl2br w:val="nil"/>
              <w:tr2bl w:val="nil"/>
            </w:tcBorders>
            <w:shd w:val="clear" w:color="auto" w:fill="auto"/>
            <w:vAlign w:val="center"/>
          </w:tcPr>
          <w:p w14:paraId="2664095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0~200mg/L,4-20mA</w:t>
            </w:r>
          </w:p>
        </w:tc>
        <w:tc>
          <w:tcPr>
            <w:tcW w:w="336" w:type="pct"/>
            <w:tcBorders>
              <w:tl2br w:val="nil"/>
              <w:tr2bl w:val="nil"/>
            </w:tcBorders>
            <w:shd w:val="clear" w:color="auto" w:fill="auto"/>
            <w:vAlign w:val="center"/>
          </w:tcPr>
          <w:p w14:paraId="041C922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128D446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0C292C2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缺氧池1、好氧池</w:t>
            </w:r>
          </w:p>
        </w:tc>
      </w:tr>
      <w:tr w14:paraId="1EFEB7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1C495D7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887" w:type="pct"/>
            <w:tcBorders>
              <w:tl2br w:val="nil"/>
              <w:tr2bl w:val="nil"/>
            </w:tcBorders>
            <w:shd w:val="clear" w:color="auto" w:fill="auto"/>
            <w:vAlign w:val="center"/>
          </w:tcPr>
          <w:p w14:paraId="7BEAF54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在线MLSS仪</w:t>
            </w:r>
          </w:p>
        </w:tc>
        <w:tc>
          <w:tcPr>
            <w:tcW w:w="2110" w:type="pct"/>
            <w:tcBorders>
              <w:tl2br w:val="nil"/>
              <w:tr2bl w:val="nil"/>
            </w:tcBorders>
            <w:shd w:val="clear" w:color="auto" w:fill="auto"/>
            <w:vAlign w:val="center"/>
          </w:tcPr>
          <w:p w14:paraId="3B7B39C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量程0~20g/L,输出信号4~20mA</w:t>
            </w:r>
          </w:p>
        </w:tc>
        <w:tc>
          <w:tcPr>
            <w:tcW w:w="336" w:type="pct"/>
            <w:tcBorders>
              <w:tl2br w:val="nil"/>
              <w:tr2bl w:val="nil"/>
            </w:tcBorders>
            <w:shd w:val="clear" w:color="auto" w:fill="auto"/>
            <w:vAlign w:val="center"/>
          </w:tcPr>
          <w:p w14:paraId="449F121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786E1D1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371936E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好氧池、膜池</w:t>
            </w:r>
          </w:p>
        </w:tc>
      </w:tr>
      <w:tr w14:paraId="4369E8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10" w:hRule="atLeast"/>
        </w:trPr>
        <w:tc>
          <w:tcPr>
            <w:tcW w:w="445" w:type="pct"/>
            <w:tcBorders>
              <w:tl2br w:val="nil"/>
              <w:tr2bl w:val="nil"/>
            </w:tcBorders>
            <w:shd w:val="clear" w:color="auto" w:fill="auto"/>
            <w:vAlign w:val="center"/>
          </w:tcPr>
          <w:p w14:paraId="41D6DF2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887" w:type="pct"/>
            <w:tcBorders>
              <w:tl2br w:val="nil"/>
              <w:tr2bl w:val="nil"/>
            </w:tcBorders>
            <w:shd w:val="clear" w:color="auto" w:fill="auto"/>
            <w:vAlign w:val="center"/>
          </w:tcPr>
          <w:p w14:paraId="37EC960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超声波液位计</w:t>
            </w:r>
          </w:p>
        </w:tc>
        <w:tc>
          <w:tcPr>
            <w:tcW w:w="2110" w:type="pct"/>
            <w:tcBorders>
              <w:tl2br w:val="nil"/>
              <w:tr2bl w:val="nil"/>
            </w:tcBorders>
            <w:shd w:val="clear" w:color="auto" w:fill="auto"/>
            <w:vAlign w:val="center"/>
          </w:tcPr>
          <w:p w14:paraId="2D3E6E7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量程0～10m,输出信号4～20mA,传感器外壳材质： PVDF</w:t>
            </w:r>
          </w:p>
        </w:tc>
        <w:tc>
          <w:tcPr>
            <w:tcW w:w="336" w:type="pct"/>
            <w:tcBorders>
              <w:tl2br w:val="nil"/>
              <w:tr2bl w:val="nil"/>
            </w:tcBorders>
            <w:shd w:val="clear" w:color="auto" w:fill="auto"/>
            <w:vAlign w:val="center"/>
          </w:tcPr>
          <w:p w14:paraId="1640C8A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415" w:type="pct"/>
            <w:tcBorders>
              <w:tl2br w:val="nil"/>
              <w:tr2bl w:val="nil"/>
            </w:tcBorders>
            <w:shd w:val="clear" w:color="auto" w:fill="auto"/>
            <w:vAlign w:val="center"/>
          </w:tcPr>
          <w:p w14:paraId="60E4B4F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7DE444C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厌氧池、缺氧池、</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后缺氧池、污泥池、</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中水池等</w:t>
            </w:r>
          </w:p>
        </w:tc>
      </w:tr>
      <w:tr w14:paraId="78B6EE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40" w:hRule="atLeast"/>
        </w:trPr>
        <w:tc>
          <w:tcPr>
            <w:tcW w:w="445" w:type="pct"/>
            <w:tcBorders>
              <w:tl2br w:val="nil"/>
              <w:tr2bl w:val="nil"/>
            </w:tcBorders>
            <w:shd w:val="clear" w:color="auto" w:fill="auto"/>
            <w:vAlign w:val="center"/>
          </w:tcPr>
          <w:p w14:paraId="65A5E27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887" w:type="pct"/>
            <w:tcBorders>
              <w:tl2br w:val="nil"/>
              <w:tr2bl w:val="nil"/>
            </w:tcBorders>
            <w:shd w:val="clear" w:color="auto" w:fill="auto"/>
            <w:vAlign w:val="center"/>
          </w:tcPr>
          <w:p w14:paraId="3C15EE4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插入式热</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式流量计</w:t>
            </w:r>
          </w:p>
        </w:tc>
        <w:tc>
          <w:tcPr>
            <w:tcW w:w="2110" w:type="pct"/>
            <w:tcBorders>
              <w:tl2br w:val="nil"/>
              <w:tr2bl w:val="nil"/>
            </w:tcBorders>
            <w:shd w:val="clear" w:color="auto" w:fill="auto"/>
            <w:vAlign w:val="center"/>
          </w:tcPr>
          <w:p w14:paraId="2BDA922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DN450,量程0～700m³/min,四氟衬里，</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钛电极，输出信号4～20mA,0.6MPa,分</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体式</w:t>
            </w:r>
          </w:p>
        </w:tc>
        <w:tc>
          <w:tcPr>
            <w:tcW w:w="336" w:type="pct"/>
            <w:tcBorders>
              <w:tl2br w:val="nil"/>
              <w:tr2bl w:val="nil"/>
            </w:tcBorders>
            <w:shd w:val="clear" w:color="auto" w:fill="auto"/>
            <w:vAlign w:val="center"/>
          </w:tcPr>
          <w:p w14:paraId="6F6FEE8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7252654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49542CE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鼓风机房</w:t>
            </w:r>
          </w:p>
        </w:tc>
      </w:tr>
      <w:tr w14:paraId="3944BC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20" w:hRule="atLeast"/>
        </w:trPr>
        <w:tc>
          <w:tcPr>
            <w:tcW w:w="445" w:type="pct"/>
            <w:tcBorders>
              <w:tl2br w:val="nil"/>
              <w:tr2bl w:val="nil"/>
            </w:tcBorders>
            <w:shd w:val="clear" w:color="auto" w:fill="auto"/>
            <w:vAlign w:val="center"/>
          </w:tcPr>
          <w:p w14:paraId="1CCB88F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c>
          <w:tcPr>
            <w:tcW w:w="887" w:type="pct"/>
            <w:tcBorders>
              <w:tl2br w:val="nil"/>
              <w:tr2bl w:val="nil"/>
            </w:tcBorders>
            <w:shd w:val="clear" w:color="auto" w:fill="auto"/>
            <w:vAlign w:val="center"/>
          </w:tcPr>
          <w:p w14:paraId="21EFA47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电磁流量计</w:t>
            </w:r>
          </w:p>
        </w:tc>
        <w:tc>
          <w:tcPr>
            <w:tcW w:w="2110" w:type="pct"/>
            <w:tcBorders>
              <w:tl2br w:val="nil"/>
              <w:tr2bl w:val="nil"/>
            </w:tcBorders>
            <w:shd w:val="clear" w:color="auto" w:fill="auto"/>
            <w:vAlign w:val="center"/>
          </w:tcPr>
          <w:p w14:paraId="52A6791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DN900,量程0～10000m³/h,四氟衬里，</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钛电极，输出信号4～20mA,1.0MPa,分体式</w:t>
            </w:r>
          </w:p>
        </w:tc>
        <w:tc>
          <w:tcPr>
            <w:tcW w:w="336" w:type="pct"/>
            <w:tcBorders>
              <w:tl2br w:val="nil"/>
              <w:tr2bl w:val="nil"/>
            </w:tcBorders>
            <w:shd w:val="clear" w:color="auto" w:fill="auto"/>
            <w:vAlign w:val="center"/>
          </w:tcPr>
          <w:p w14:paraId="0E6D6AE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33DD66D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7B9EDD5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工艺管</w:t>
            </w:r>
          </w:p>
        </w:tc>
      </w:tr>
      <w:tr w14:paraId="7730AD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20" w:hRule="atLeast"/>
        </w:trPr>
        <w:tc>
          <w:tcPr>
            <w:tcW w:w="445" w:type="pct"/>
            <w:tcBorders>
              <w:tl2br w:val="nil"/>
              <w:tr2bl w:val="nil"/>
            </w:tcBorders>
            <w:shd w:val="clear" w:color="auto" w:fill="auto"/>
            <w:vAlign w:val="center"/>
          </w:tcPr>
          <w:p w14:paraId="5D17F48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887" w:type="pct"/>
            <w:tcBorders>
              <w:tl2br w:val="nil"/>
              <w:tr2bl w:val="nil"/>
            </w:tcBorders>
            <w:shd w:val="clear" w:color="auto" w:fill="auto"/>
            <w:vAlign w:val="center"/>
          </w:tcPr>
          <w:p w14:paraId="7FBEBF1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电磁流量计</w:t>
            </w:r>
          </w:p>
        </w:tc>
        <w:tc>
          <w:tcPr>
            <w:tcW w:w="2110" w:type="pct"/>
            <w:tcBorders>
              <w:tl2br w:val="nil"/>
              <w:tr2bl w:val="nil"/>
            </w:tcBorders>
            <w:shd w:val="clear" w:color="auto" w:fill="auto"/>
            <w:vAlign w:val="center"/>
          </w:tcPr>
          <w:p w14:paraId="16681B2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DN600,量程0～700m³/min,四氟衬里，</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钛电极，输出信号4～20mA,1.0MPa,分体式</w:t>
            </w:r>
          </w:p>
        </w:tc>
        <w:tc>
          <w:tcPr>
            <w:tcW w:w="336" w:type="pct"/>
            <w:tcBorders>
              <w:tl2br w:val="nil"/>
              <w:tr2bl w:val="nil"/>
            </w:tcBorders>
            <w:shd w:val="clear" w:color="auto" w:fill="auto"/>
            <w:vAlign w:val="center"/>
          </w:tcPr>
          <w:p w14:paraId="1F4ABFD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7F5729E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0F92F33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工艺管</w:t>
            </w:r>
          </w:p>
        </w:tc>
      </w:tr>
      <w:tr w14:paraId="4E1522C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40" w:hRule="atLeast"/>
        </w:trPr>
        <w:tc>
          <w:tcPr>
            <w:tcW w:w="445" w:type="pct"/>
            <w:tcBorders>
              <w:tl2br w:val="nil"/>
              <w:tr2bl w:val="nil"/>
            </w:tcBorders>
            <w:shd w:val="clear" w:color="auto" w:fill="auto"/>
            <w:vAlign w:val="center"/>
          </w:tcPr>
          <w:p w14:paraId="320AA81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w:t>
            </w:r>
          </w:p>
        </w:tc>
        <w:tc>
          <w:tcPr>
            <w:tcW w:w="887" w:type="pct"/>
            <w:tcBorders>
              <w:tl2br w:val="nil"/>
              <w:tr2bl w:val="nil"/>
            </w:tcBorders>
            <w:shd w:val="clear" w:color="auto" w:fill="auto"/>
            <w:vAlign w:val="center"/>
          </w:tcPr>
          <w:p w14:paraId="20501F5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电磁流量计</w:t>
            </w:r>
          </w:p>
        </w:tc>
        <w:tc>
          <w:tcPr>
            <w:tcW w:w="2110" w:type="pct"/>
            <w:tcBorders>
              <w:tl2br w:val="nil"/>
              <w:tr2bl w:val="nil"/>
            </w:tcBorders>
            <w:shd w:val="clear" w:color="auto" w:fill="auto"/>
            <w:vAlign w:val="center"/>
          </w:tcPr>
          <w:p w14:paraId="52129D0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DN1200,量程0～10000m³/h,四氟衬里，钛电极，输出信号4～20mA,1.0MPa,分体式</w:t>
            </w:r>
          </w:p>
        </w:tc>
        <w:tc>
          <w:tcPr>
            <w:tcW w:w="336" w:type="pct"/>
            <w:tcBorders>
              <w:tl2br w:val="nil"/>
              <w:tr2bl w:val="nil"/>
            </w:tcBorders>
            <w:shd w:val="clear" w:color="auto" w:fill="auto"/>
            <w:vAlign w:val="center"/>
          </w:tcPr>
          <w:p w14:paraId="6182647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52D9E8A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5D78804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回流管</w:t>
            </w:r>
          </w:p>
        </w:tc>
      </w:tr>
      <w:tr w14:paraId="6C10C51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10" w:hRule="atLeast"/>
        </w:trPr>
        <w:tc>
          <w:tcPr>
            <w:tcW w:w="445" w:type="pct"/>
            <w:tcBorders>
              <w:tl2br w:val="nil"/>
              <w:tr2bl w:val="nil"/>
            </w:tcBorders>
            <w:shd w:val="clear" w:color="auto" w:fill="auto"/>
            <w:vAlign w:val="center"/>
          </w:tcPr>
          <w:p w14:paraId="7F12521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887" w:type="pct"/>
            <w:tcBorders>
              <w:tl2br w:val="nil"/>
              <w:tr2bl w:val="nil"/>
            </w:tcBorders>
            <w:shd w:val="clear" w:color="auto" w:fill="auto"/>
            <w:vAlign w:val="center"/>
          </w:tcPr>
          <w:p w14:paraId="4A6F301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电磁流量计</w:t>
            </w:r>
          </w:p>
        </w:tc>
        <w:tc>
          <w:tcPr>
            <w:tcW w:w="2110" w:type="pct"/>
            <w:tcBorders>
              <w:tl2br w:val="nil"/>
              <w:tr2bl w:val="nil"/>
            </w:tcBorders>
            <w:shd w:val="clear" w:color="auto" w:fill="auto"/>
            <w:vAlign w:val="center"/>
          </w:tcPr>
          <w:p w14:paraId="7971485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DN1000,量程0～700m³/min,四氟衬里，钛电极，输出信号4～20mA,1.0MPa,分体式</w:t>
            </w:r>
          </w:p>
        </w:tc>
        <w:tc>
          <w:tcPr>
            <w:tcW w:w="336" w:type="pct"/>
            <w:tcBorders>
              <w:tl2br w:val="nil"/>
              <w:tr2bl w:val="nil"/>
            </w:tcBorders>
            <w:shd w:val="clear" w:color="auto" w:fill="auto"/>
            <w:vAlign w:val="center"/>
          </w:tcPr>
          <w:p w14:paraId="26D1BDF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554225E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69E0C99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回流管</w:t>
            </w:r>
          </w:p>
        </w:tc>
      </w:tr>
      <w:tr w14:paraId="7D8681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2E9469D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w:t>
            </w:r>
          </w:p>
        </w:tc>
        <w:tc>
          <w:tcPr>
            <w:tcW w:w="887" w:type="pct"/>
            <w:tcBorders>
              <w:tl2br w:val="nil"/>
              <w:tr2bl w:val="nil"/>
            </w:tcBorders>
            <w:shd w:val="clear" w:color="auto" w:fill="auto"/>
            <w:vAlign w:val="center"/>
          </w:tcPr>
          <w:p w14:paraId="49687EC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压力表</w:t>
            </w:r>
          </w:p>
        </w:tc>
        <w:tc>
          <w:tcPr>
            <w:tcW w:w="2110" w:type="pct"/>
            <w:tcBorders>
              <w:tl2br w:val="nil"/>
              <w:tr2bl w:val="nil"/>
            </w:tcBorders>
            <w:shd w:val="clear" w:color="auto" w:fill="auto"/>
            <w:vAlign w:val="center"/>
          </w:tcPr>
          <w:p w14:paraId="7B5B240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0～1.0MPa</w:t>
            </w:r>
          </w:p>
        </w:tc>
        <w:tc>
          <w:tcPr>
            <w:tcW w:w="336" w:type="pct"/>
            <w:tcBorders>
              <w:tl2br w:val="nil"/>
              <w:tr2bl w:val="nil"/>
            </w:tcBorders>
            <w:shd w:val="clear" w:color="auto" w:fill="auto"/>
            <w:vAlign w:val="center"/>
          </w:tcPr>
          <w:p w14:paraId="6199310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个</w:t>
            </w:r>
          </w:p>
        </w:tc>
        <w:tc>
          <w:tcPr>
            <w:tcW w:w="415" w:type="pct"/>
            <w:tcBorders>
              <w:tl2br w:val="nil"/>
              <w:tr2bl w:val="nil"/>
            </w:tcBorders>
            <w:shd w:val="clear" w:color="auto" w:fill="auto"/>
            <w:vAlign w:val="center"/>
          </w:tcPr>
          <w:p w14:paraId="6165B5C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18</w:t>
            </w:r>
          </w:p>
        </w:tc>
        <w:tc>
          <w:tcPr>
            <w:tcW w:w="804" w:type="pct"/>
            <w:tcBorders>
              <w:tl2br w:val="nil"/>
              <w:tr2bl w:val="nil"/>
            </w:tcBorders>
            <w:shd w:val="clear" w:color="auto" w:fill="auto"/>
            <w:vAlign w:val="center"/>
          </w:tcPr>
          <w:p w14:paraId="5BA075B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泵出口</w:t>
            </w:r>
          </w:p>
        </w:tc>
      </w:tr>
      <w:tr w14:paraId="1D2CBD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40" w:hRule="atLeast"/>
        </w:trPr>
        <w:tc>
          <w:tcPr>
            <w:tcW w:w="445" w:type="pct"/>
            <w:tcBorders>
              <w:tl2br w:val="nil"/>
              <w:tr2bl w:val="nil"/>
            </w:tcBorders>
            <w:shd w:val="clear" w:color="auto" w:fill="auto"/>
            <w:vAlign w:val="center"/>
          </w:tcPr>
          <w:p w14:paraId="2A48CD0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w:t>
            </w:r>
          </w:p>
        </w:tc>
        <w:tc>
          <w:tcPr>
            <w:tcW w:w="887" w:type="pct"/>
            <w:tcBorders>
              <w:tl2br w:val="nil"/>
              <w:tr2bl w:val="nil"/>
            </w:tcBorders>
            <w:shd w:val="clear" w:color="auto" w:fill="auto"/>
            <w:vAlign w:val="center"/>
          </w:tcPr>
          <w:p w14:paraId="0742364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在线监测设备预处理采样箱</w:t>
            </w:r>
          </w:p>
        </w:tc>
        <w:tc>
          <w:tcPr>
            <w:tcW w:w="2110" w:type="pct"/>
            <w:tcBorders>
              <w:tl2br w:val="nil"/>
              <w:tr2bl w:val="nil"/>
            </w:tcBorders>
            <w:shd w:val="clear" w:color="auto" w:fill="auto"/>
            <w:vAlign w:val="center"/>
          </w:tcPr>
          <w:p w14:paraId="71F09CE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与在线设备配套</w:t>
            </w:r>
          </w:p>
        </w:tc>
        <w:tc>
          <w:tcPr>
            <w:tcW w:w="336" w:type="pct"/>
            <w:tcBorders>
              <w:tl2br w:val="nil"/>
              <w:tr2bl w:val="nil"/>
            </w:tcBorders>
            <w:shd w:val="clear" w:color="auto" w:fill="auto"/>
            <w:vAlign w:val="center"/>
          </w:tcPr>
          <w:p w14:paraId="52D7613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415" w:type="pct"/>
            <w:tcBorders>
              <w:tl2br w:val="nil"/>
              <w:tr2bl w:val="nil"/>
            </w:tcBorders>
            <w:shd w:val="clear" w:color="auto" w:fill="auto"/>
            <w:vAlign w:val="center"/>
          </w:tcPr>
          <w:p w14:paraId="1A860F8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04" w:type="pct"/>
            <w:tcBorders>
              <w:tl2br w:val="nil"/>
              <w:tr2bl w:val="nil"/>
            </w:tcBorders>
            <w:shd w:val="clear" w:color="auto" w:fill="auto"/>
            <w:vAlign w:val="center"/>
          </w:tcPr>
          <w:p w14:paraId="7BA96CC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进、出水监测间</w:t>
            </w:r>
          </w:p>
        </w:tc>
      </w:tr>
      <w:tr w14:paraId="16907A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5B575AE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w:t>
            </w:r>
          </w:p>
        </w:tc>
        <w:tc>
          <w:tcPr>
            <w:tcW w:w="887" w:type="pct"/>
            <w:tcBorders>
              <w:tl2br w:val="nil"/>
              <w:tr2bl w:val="nil"/>
            </w:tcBorders>
            <w:shd w:val="clear" w:color="auto" w:fill="auto"/>
            <w:vAlign w:val="center"/>
          </w:tcPr>
          <w:p w14:paraId="53165B2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COD在线监测仪</w:t>
            </w:r>
          </w:p>
        </w:tc>
        <w:tc>
          <w:tcPr>
            <w:tcW w:w="2110" w:type="pct"/>
            <w:tcBorders>
              <w:tl2br w:val="nil"/>
              <w:tr2bl w:val="nil"/>
            </w:tcBorders>
            <w:shd w:val="clear" w:color="auto" w:fill="auto"/>
            <w:vAlign w:val="center"/>
          </w:tcPr>
          <w:p w14:paraId="536B40C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0~1000mg/L,4-20mA</w:t>
            </w:r>
          </w:p>
        </w:tc>
        <w:tc>
          <w:tcPr>
            <w:tcW w:w="336" w:type="pct"/>
            <w:tcBorders>
              <w:tl2br w:val="nil"/>
              <w:tr2bl w:val="nil"/>
            </w:tcBorders>
            <w:shd w:val="clear" w:color="auto" w:fill="auto"/>
            <w:vAlign w:val="center"/>
          </w:tcPr>
          <w:p w14:paraId="4F07887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415" w:type="pct"/>
            <w:tcBorders>
              <w:tl2br w:val="nil"/>
              <w:tr2bl w:val="nil"/>
            </w:tcBorders>
            <w:shd w:val="clear" w:color="auto" w:fill="auto"/>
            <w:vAlign w:val="center"/>
          </w:tcPr>
          <w:p w14:paraId="265FE12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04" w:type="pct"/>
            <w:tcBorders>
              <w:tl2br w:val="nil"/>
              <w:tr2bl w:val="nil"/>
            </w:tcBorders>
            <w:shd w:val="clear" w:color="auto" w:fill="auto"/>
            <w:vAlign w:val="center"/>
          </w:tcPr>
          <w:p w14:paraId="2A8BA8B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进出水</w:t>
            </w:r>
          </w:p>
        </w:tc>
      </w:tr>
      <w:tr w14:paraId="3D35A2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30" w:hRule="atLeast"/>
        </w:trPr>
        <w:tc>
          <w:tcPr>
            <w:tcW w:w="445" w:type="pct"/>
            <w:tcBorders>
              <w:tl2br w:val="nil"/>
              <w:tr2bl w:val="nil"/>
            </w:tcBorders>
            <w:shd w:val="clear" w:color="auto" w:fill="auto"/>
            <w:vAlign w:val="center"/>
          </w:tcPr>
          <w:p w14:paraId="27C452F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14</w:t>
            </w:r>
          </w:p>
        </w:tc>
        <w:tc>
          <w:tcPr>
            <w:tcW w:w="887" w:type="pct"/>
            <w:tcBorders>
              <w:tl2br w:val="nil"/>
              <w:tr2bl w:val="nil"/>
            </w:tcBorders>
            <w:shd w:val="clear" w:color="auto" w:fill="auto"/>
            <w:vAlign w:val="center"/>
          </w:tcPr>
          <w:p w14:paraId="3F24A01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氨氮在线监测仪</w:t>
            </w:r>
          </w:p>
        </w:tc>
        <w:tc>
          <w:tcPr>
            <w:tcW w:w="2110" w:type="pct"/>
            <w:tcBorders>
              <w:tl2br w:val="nil"/>
              <w:tr2bl w:val="nil"/>
            </w:tcBorders>
            <w:shd w:val="clear" w:color="auto" w:fill="auto"/>
            <w:vAlign w:val="center"/>
          </w:tcPr>
          <w:p w14:paraId="5110B17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0~200mg/L,4-20mA</w:t>
            </w:r>
          </w:p>
        </w:tc>
        <w:tc>
          <w:tcPr>
            <w:tcW w:w="336" w:type="pct"/>
            <w:tcBorders>
              <w:tl2br w:val="nil"/>
              <w:tr2bl w:val="nil"/>
            </w:tcBorders>
            <w:shd w:val="clear" w:color="auto" w:fill="auto"/>
            <w:vAlign w:val="center"/>
          </w:tcPr>
          <w:p w14:paraId="61E5C12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415" w:type="pct"/>
            <w:tcBorders>
              <w:tl2br w:val="nil"/>
              <w:tr2bl w:val="nil"/>
            </w:tcBorders>
            <w:shd w:val="clear" w:color="auto" w:fill="auto"/>
            <w:vAlign w:val="center"/>
          </w:tcPr>
          <w:p w14:paraId="2F6FB11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04" w:type="pct"/>
            <w:tcBorders>
              <w:tl2br w:val="nil"/>
              <w:tr2bl w:val="nil"/>
            </w:tcBorders>
            <w:shd w:val="clear" w:color="auto" w:fill="auto"/>
            <w:vAlign w:val="center"/>
          </w:tcPr>
          <w:p w14:paraId="36C6CA9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进出水</w:t>
            </w:r>
          </w:p>
        </w:tc>
      </w:tr>
      <w:tr w14:paraId="0CAF3C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29" w:hRule="atLeast"/>
        </w:trPr>
        <w:tc>
          <w:tcPr>
            <w:tcW w:w="445" w:type="pct"/>
            <w:tcBorders>
              <w:tl2br w:val="nil"/>
              <w:tr2bl w:val="nil"/>
            </w:tcBorders>
            <w:shd w:val="clear" w:color="auto" w:fill="auto"/>
            <w:vAlign w:val="center"/>
          </w:tcPr>
          <w:p w14:paraId="57E81D9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w:t>
            </w:r>
          </w:p>
        </w:tc>
        <w:tc>
          <w:tcPr>
            <w:tcW w:w="887" w:type="pct"/>
            <w:tcBorders>
              <w:tl2br w:val="nil"/>
              <w:tr2bl w:val="nil"/>
            </w:tcBorders>
            <w:shd w:val="clear" w:color="auto" w:fill="auto"/>
            <w:vAlign w:val="center"/>
          </w:tcPr>
          <w:p w14:paraId="4ACD3F9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TN在线监测仪</w:t>
            </w:r>
          </w:p>
        </w:tc>
        <w:tc>
          <w:tcPr>
            <w:tcW w:w="2110" w:type="pct"/>
            <w:tcBorders>
              <w:tl2br w:val="nil"/>
              <w:tr2bl w:val="nil"/>
            </w:tcBorders>
            <w:shd w:val="clear" w:color="auto" w:fill="auto"/>
            <w:vAlign w:val="center"/>
          </w:tcPr>
          <w:p w14:paraId="4252F39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0~200mg/L,4-20mA</w:t>
            </w:r>
          </w:p>
        </w:tc>
        <w:tc>
          <w:tcPr>
            <w:tcW w:w="336" w:type="pct"/>
            <w:tcBorders>
              <w:tl2br w:val="nil"/>
              <w:tr2bl w:val="nil"/>
            </w:tcBorders>
            <w:shd w:val="clear" w:color="auto" w:fill="auto"/>
            <w:vAlign w:val="center"/>
          </w:tcPr>
          <w:p w14:paraId="4EDCEBB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415" w:type="pct"/>
            <w:tcBorders>
              <w:tl2br w:val="nil"/>
              <w:tr2bl w:val="nil"/>
            </w:tcBorders>
            <w:shd w:val="clear" w:color="auto" w:fill="auto"/>
            <w:vAlign w:val="center"/>
          </w:tcPr>
          <w:p w14:paraId="3E253A6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04" w:type="pct"/>
            <w:tcBorders>
              <w:tl2br w:val="nil"/>
              <w:tr2bl w:val="nil"/>
            </w:tcBorders>
            <w:shd w:val="clear" w:color="auto" w:fill="auto"/>
            <w:vAlign w:val="center"/>
          </w:tcPr>
          <w:p w14:paraId="3BB2FC8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进出水</w:t>
            </w:r>
          </w:p>
        </w:tc>
      </w:tr>
      <w:tr w14:paraId="093601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9" w:hRule="atLeast"/>
        </w:trPr>
        <w:tc>
          <w:tcPr>
            <w:tcW w:w="445" w:type="pct"/>
            <w:tcBorders>
              <w:tl2br w:val="nil"/>
              <w:tr2bl w:val="nil"/>
            </w:tcBorders>
            <w:shd w:val="clear" w:color="auto" w:fill="auto"/>
            <w:vAlign w:val="center"/>
          </w:tcPr>
          <w:p w14:paraId="64159AC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16</w:t>
            </w:r>
          </w:p>
        </w:tc>
        <w:tc>
          <w:tcPr>
            <w:tcW w:w="887" w:type="pct"/>
            <w:tcBorders>
              <w:tl2br w:val="nil"/>
              <w:tr2bl w:val="nil"/>
            </w:tcBorders>
            <w:shd w:val="clear" w:color="auto" w:fill="auto"/>
            <w:vAlign w:val="center"/>
          </w:tcPr>
          <w:p w14:paraId="3B084D5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TP在线监测仪</w:t>
            </w:r>
          </w:p>
        </w:tc>
        <w:tc>
          <w:tcPr>
            <w:tcW w:w="2110" w:type="pct"/>
            <w:tcBorders>
              <w:tl2br w:val="nil"/>
              <w:tr2bl w:val="nil"/>
            </w:tcBorders>
            <w:shd w:val="clear" w:color="auto" w:fill="auto"/>
            <w:vAlign w:val="center"/>
          </w:tcPr>
          <w:p w14:paraId="216FE10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0~20mg/L,4-20mA</w:t>
            </w:r>
          </w:p>
        </w:tc>
        <w:tc>
          <w:tcPr>
            <w:tcW w:w="336" w:type="pct"/>
            <w:tcBorders>
              <w:tl2br w:val="nil"/>
              <w:tr2bl w:val="nil"/>
            </w:tcBorders>
            <w:shd w:val="clear" w:color="auto" w:fill="auto"/>
            <w:vAlign w:val="center"/>
          </w:tcPr>
          <w:p w14:paraId="1CBE26E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415" w:type="pct"/>
            <w:tcBorders>
              <w:tl2br w:val="nil"/>
              <w:tr2bl w:val="nil"/>
            </w:tcBorders>
            <w:shd w:val="clear" w:color="auto" w:fill="auto"/>
            <w:vAlign w:val="center"/>
          </w:tcPr>
          <w:p w14:paraId="2BA5937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04" w:type="pct"/>
            <w:tcBorders>
              <w:tl2br w:val="nil"/>
              <w:tr2bl w:val="nil"/>
            </w:tcBorders>
            <w:shd w:val="clear" w:color="auto" w:fill="auto"/>
            <w:vAlign w:val="center"/>
          </w:tcPr>
          <w:p w14:paraId="3E6DA1D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进出水</w:t>
            </w:r>
          </w:p>
        </w:tc>
      </w:tr>
      <w:tr w14:paraId="56935C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34" w:hRule="atLeast"/>
        </w:trPr>
        <w:tc>
          <w:tcPr>
            <w:tcW w:w="445" w:type="pct"/>
            <w:tcBorders>
              <w:tl2br w:val="nil"/>
              <w:tr2bl w:val="nil"/>
            </w:tcBorders>
            <w:shd w:val="clear" w:color="auto" w:fill="auto"/>
            <w:vAlign w:val="center"/>
          </w:tcPr>
          <w:p w14:paraId="716FFBA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17</w:t>
            </w:r>
          </w:p>
        </w:tc>
        <w:tc>
          <w:tcPr>
            <w:tcW w:w="887" w:type="pct"/>
            <w:tcBorders>
              <w:tl2br w:val="nil"/>
              <w:tr2bl w:val="nil"/>
            </w:tcBorders>
            <w:shd w:val="clear" w:color="auto" w:fill="auto"/>
            <w:vAlign w:val="center"/>
          </w:tcPr>
          <w:p w14:paraId="57A72CA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SS在线监测仪</w:t>
            </w:r>
          </w:p>
        </w:tc>
        <w:tc>
          <w:tcPr>
            <w:tcW w:w="2110" w:type="pct"/>
            <w:tcBorders>
              <w:tl2br w:val="nil"/>
              <w:tr2bl w:val="nil"/>
            </w:tcBorders>
            <w:shd w:val="clear" w:color="auto" w:fill="auto"/>
            <w:vAlign w:val="center"/>
          </w:tcPr>
          <w:p w14:paraId="23578CB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量程0~20g/L,4-20mA</w:t>
            </w:r>
          </w:p>
        </w:tc>
        <w:tc>
          <w:tcPr>
            <w:tcW w:w="336" w:type="pct"/>
            <w:tcBorders>
              <w:tl2br w:val="nil"/>
              <w:tr2bl w:val="nil"/>
            </w:tcBorders>
            <w:shd w:val="clear" w:color="auto" w:fill="auto"/>
            <w:vAlign w:val="center"/>
          </w:tcPr>
          <w:p w14:paraId="4A7B593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415" w:type="pct"/>
            <w:tcBorders>
              <w:tl2br w:val="nil"/>
              <w:tr2bl w:val="nil"/>
            </w:tcBorders>
            <w:shd w:val="clear" w:color="auto" w:fill="auto"/>
            <w:vAlign w:val="center"/>
          </w:tcPr>
          <w:p w14:paraId="615B924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04" w:type="pct"/>
            <w:tcBorders>
              <w:tl2br w:val="nil"/>
              <w:tr2bl w:val="nil"/>
            </w:tcBorders>
            <w:shd w:val="clear" w:color="auto" w:fill="auto"/>
            <w:vAlign w:val="center"/>
          </w:tcPr>
          <w:p w14:paraId="7D15E95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进出水</w:t>
            </w:r>
          </w:p>
        </w:tc>
      </w:tr>
      <w:tr w14:paraId="525FFF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3" w:hRule="atLeast"/>
        </w:trPr>
        <w:tc>
          <w:tcPr>
            <w:tcW w:w="445" w:type="pct"/>
            <w:tcBorders>
              <w:tl2br w:val="nil"/>
              <w:tr2bl w:val="nil"/>
            </w:tcBorders>
            <w:shd w:val="clear" w:color="auto" w:fill="auto"/>
            <w:vAlign w:val="center"/>
          </w:tcPr>
          <w:p w14:paraId="7B88A4B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18</w:t>
            </w:r>
          </w:p>
        </w:tc>
        <w:tc>
          <w:tcPr>
            <w:tcW w:w="887" w:type="pct"/>
            <w:tcBorders>
              <w:tl2br w:val="nil"/>
              <w:tr2bl w:val="nil"/>
            </w:tcBorders>
            <w:shd w:val="clear" w:color="auto" w:fill="auto"/>
            <w:vAlign w:val="center"/>
          </w:tcPr>
          <w:p w14:paraId="68C975F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PH在线监测仪</w:t>
            </w:r>
          </w:p>
        </w:tc>
        <w:tc>
          <w:tcPr>
            <w:tcW w:w="2110" w:type="pct"/>
            <w:tcBorders>
              <w:tl2br w:val="nil"/>
              <w:tr2bl w:val="nil"/>
            </w:tcBorders>
            <w:shd w:val="clear" w:color="auto" w:fill="auto"/>
            <w:vAlign w:val="center"/>
          </w:tcPr>
          <w:p w14:paraId="1D10884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0~14,4-20mA</w:t>
            </w:r>
          </w:p>
        </w:tc>
        <w:tc>
          <w:tcPr>
            <w:tcW w:w="336" w:type="pct"/>
            <w:tcBorders>
              <w:tl2br w:val="nil"/>
              <w:tr2bl w:val="nil"/>
            </w:tcBorders>
            <w:shd w:val="clear" w:color="auto" w:fill="auto"/>
            <w:vAlign w:val="center"/>
          </w:tcPr>
          <w:p w14:paraId="2CFB11A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415" w:type="pct"/>
            <w:tcBorders>
              <w:tl2br w:val="nil"/>
              <w:tr2bl w:val="nil"/>
            </w:tcBorders>
            <w:shd w:val="clear" w:color="auto" w:fill="auto"/>
            <w:vAlign w:val="center"/>
          </w:tcPr>
          <w:p w14:paraId="6BC64F8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04" w:type="pct"/>
            <w:tcBorders>
              <w:tl2br w:val="nil"/>
              <w:tr2bl w:val="nil"/>
            </w:tcBorders>
            <w:shd w:val="clear" w:color="auto" w:fill="auto"/>
            <w:vAlign w:val="center"/>
          </w:tcPr>
          <w:p w14:paraId="439F6D3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进出水</w:t>
            </w:r>
          </w:p>
        </w:tc>
      </w:tr>
      <w:tr w14:paraId="702813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0DAF4D8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19</w:t>
            </w:r>
          </w:p>
        </w:tc>
        <w:tc>
          <w:tcPr>
            <w:tcW w:w="887" w:type="pct"/>
            <w:tcBorders>
              <w:tl2br w:val="nil"/>
              <w:tr2bl w:val="nil"/>
            </w:tcBorders>
            <w:shd w:val="clear" w:color="auto" w:fill="auto"/>
            <w:vAlign w:val="center"/>
          </w:tcPr>
          <w:p w14:paraId="30C0C16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温度在线监测仪</w:t>
            </w:r>
          </w:p>
        </w:tc>
        <w:tc>
          <w:tcPr>
            <w:tcW w:w="2110" w:type="pct"/>
            <w:tcBorders>
              <w:tl2br w:val="nil"/>
              <w:tr2bl w:val="nil"/>
            </w:tcBorders>
            <w:shd w:val="clear" w:color="auto" w:fill="auto"/>
            <w:vAlign w:val="center"/>
          </w:tcPr>
          <w:p w14:paraId="4189131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-10~60℃,4-20mA</w:t>
            </w:r>
          </w:p>
        </w:tc>
        <w:tc>
          <w:tcPr>
            <w:tcW w:w="336" w:type="pct"/>
            <w:tcBorders>
              <w:tl2br w:val="nil"/>
              <w:tr2bl w:val="nil"/>
            </w:tcBorders>
            <w:shd w:val="clear" w:color="auto" w:fill="auto"/>
            <w:vAlign w:val="center"/>
          </w:tcPr>
          <w:p w14:paraId="179805F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415" w:type="pct"/>
            <w:tcBorders>
              <w:tl2br w:val="nil"/>
              <w:tr2bl w:val="nil"/>
            </w:tcBorders>
            <w:shd w:val="clear" w:color="auto" w:fill="auto"/>
            <w:vAlign w:val="center"/>
          </w:tcPr>
          <w:p w14:paraId="5AA6767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04" w:type="pct"/>
            <w:tcBorders>
              <w:tl2br w:val="nil"/>
              <w:tr2bl w:val="nil"/>
            </w:tcBorders>
            <w:shd w:val="clear" w:color="auto" w:fill="auto"/>
            <w:vAlign w:val="center"/>
          </w:tcPr>
          <w:p w14:paraId="4586CCB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进出水</w:t>
            </w:r>
          </w:p>
        </w:tc>
      </w:tr>
      <w:tr w14:paraId="316085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80" w:hRule="atLeast"/>
        </w:trPr>
        <w:tc>
          <w:tcPr>
            <w:tcW w:w="445" w:type="pct"/>
            <w:tcBorders>
              <w:tl2br w:val="nil"/>
              <w:tr2bl w:val="nil"/>
            </w:tcBorders>
            <w:shd w:val="clear" w:color="auto" w:fill="auto"/>
            <w:vAlign w:val="center"/>
          </w:tcPr>
          <w:p w14:paraId="369D9D4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w:t>
            </w:r>
          </w:p>
        </w:tc>
        <w:tc>
          <w:tcPr>
            <w:tcW w:w="887" w:type="pct"/>
            <w:tcBorders>
              <w:tl2br w:val="nil"/>
              <w:tr2bl w:val="nil"/>
            </w:tcBorders>
            <w:shd w:val="clear" w:color="auto" w:fill="auto"/>
            <w:vAlign w:val="center"/>
          </w:tcPr>
          <w:p w14:paraId="593BA0D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余氯在线监测仪</w:t>
            </w:r>
          </w:p>
        </w:tc>
        <w:tc>
          <w:tcPr>
            <w:tcW w:w="2110" w:type="pct"/>
            <w:tcBorders>
              <w:tl2br w:val="nil"/>
              <w:tr2bl w:val="nil"/>
            </w:tcBorders>
            <w:shd w:val="clear" w:color="auto" w:fill="auto"/>
            <w:vAlign w:val="center"/>
          </w:tcPr>
          <w:p w14:paraId="366CA20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0~5mg/L,4-20mA</w:t>
            </w:r>
          </w:p>
        </w:tc>
        <w:tc>
          <w:tcPr>
            <w:tcW w:w="336" w:type="pct"/>
            <w:tcBorders>
              <w:tl2br w:val="nil"/>
              <w:tr2bl w:val="nil"/>
            </w:tcBorders>
            <w:shd w:val="clear" w:color="auto" w:fill="auto"/>
            <w:vAlign w:val="center"/>
          </w:tcPr>
          <w:p w14:paraId="203CC57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415" w:type="pct"/>
            <w:tcBorders>
              <w:tl2br w:val="nil"/>
              <w:tr2bl w:val="nil"/>
            </w:tcBorders>
            <w:shd w:val="clear" w:color="auto" w:fill="auto"/>
            <w:vAlign w:val="center"/>
          </w:tcPr>
          <w:p w14:paraId="39348C9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04" w:type="pct"/>
            <w:tcBorders>
              <w:tl2br w:val="nil"/>
              <w:tr2bl w:val="nil"/>
            </w:tcBorders>
            <w:shd w:val="clear" w:color="auto" w:fill="auto"/>
            <w:vAlign w:val="center"/>
          </w:tcPr>
          <w:p w14:paraId="18264A2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出水</w:t>
            </w:r>
          </w:p>
        </w:tc>
      </w:tr>
      <w:tr w14:paraId="152817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20" w:hRule="atLeast"/>
        </w:trPr>
        <w:tc>
          <w:tcPr>
            <w:tcW w:w="445" w:type="pct"/>
            <w:tcBorders>
              <w:tl2br w:val="nil"/>
              <w:tr2bl w:val="nil"/>
            </w:tcBorders>
            <w:shd w:val="clear" w:color="auto" w:fill="auto"/>
            <w:vAlign w:val="center"/>
          </w:tcPr>
          <w:p w14:paraId="22543E3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21</w:t>
            </w:r>
          </w:p>
        </w:tc>
        <w:tc>
          <w:tcPr>
            <w:tcW w:w="887" w:type="pct"/>
            <w:tcBorders>
              <w:tl2br w:val="nil"/>
              <w:tr2bl w:val="nil"/>
            </w:tcBorders>
            <w:shd w:val="clear" w:color="auto" w:fill="auto"/>
            <w:vAlign w:val="center"/>
          </w:tcPr>
          <w:p w14:paraId="05CC343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有毒有害气体监测仪</w:t>
            </w:r>
          </w:p>
        </w:tc>
        <w:tc>
          <w:tcPr>
            <w:tcW w:w="2110" w:type="pct"/>
            <w:tcBorders>
              <w:tl2br w:val="nil"/>
              <w:tr2bl w:val="nil"/>
            </w:tcBorders>
            <w:shd w:val="clear" w:color="auto" w:fill="auto"/>
            <w:vAlign w:val="center"/>
          </w:tcPr>
          <w:p w14:paraId="2079337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H2S、CH4</w:t>
            </w:r>
          </w:p>
        </w:tc>
        <w:tc>
          <w:tcPr>
            <w:tcW w:w="336" w:type="pct"/>
            <w:tcBorders>
              <w:tl2br w:val="nil"/>
              <w:tr2bl w:val="nil"/>
            </w:tcBorders>
            <w:shd w:val="clear" w:color="auto" w:fill="auto"/>
            <w:vAlign w:val="center"/>
          </w:tcPr>
          <w:p w14:paraId="77AC868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415" w:type="pct"/>
            <w:tcBorders>
              <w:tl2br w:val="nil"/>
              <w:tr2bl w:val="nil"/>
            </w:tcBorders>
            <w:shd w:val="clear" w:color="auto" w:fill="auto"/>
            <w:vAlign w:val="center"/>
          </w:tcPr>
          <w:p w14:paraId="7002BA6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04" w:type="pct"/>
            <w:tcBorders>
              <w:tl2br w:val="nil"/>
              <w:tr2bl w:val="nil"/>
            </w:tcBorders>
            <w:shd w:val="clear" w:color="auto" w:fill="auto"/>
            <w:vAlign w:val="center"/>
          </w:tcPr>
          <w:p w14:paraId="092CCA4E">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6DBD99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40" w:hRule="atLeast"/>
        </w:trPr>
        <w:tc>
          <w:tcPr>
            <w:tcW w:w="5000" w:type="pct"/>
            <w:gridSpan w:val="6"/>
            <w:tcBorders>
              <w:tl2br w:val="nil"/>
              <w:tr2bl w:val="nil"/>
            </w:tcBorders>
            <w:shd w:val="clear" w:color="auto" w:fill="auto"/>
            <w:vAlign w:val="center"/>
          </w:tcPr>
          <w:p w14:paraId="2E5E5B5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电气及自控设备</w:t>
            </w:r>
          </w:p>
        </w:tc>
      </w:tr>
      <w:tr w14:paraId="3DAD16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20" w:hRule="atLeast"/>
        </w:trPr>
        <w:tc>
          <w:tcPr>
            <w:tcW w:w="445" w:type="pct"/>
            <w:tcBorders>
              <w:tl2br w:val="nil"/>
              <w:tr2bl w:val="nil"/>
            </w:tcBorders>
            <w:shd w:val="clear" w:color="auto" w:fill="auto"/>
            <w:vAlign w:val="center"/>
          </w:tcPr>
          <w:p w14:paraId="71B72A8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一</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887" w:type="pct"/>
            <w:tcBorders>
              <w:tl2br w:val="nil"/>
              <w:tr2bl w:val="nil"/>
            </w:tcBorders>
            <w:shd w:val="clear" w:color="auto" w:fill="auto"/>
            <w:vAlign w:val="center"/>
          </w:tcPr>
          <w:p w14:paraId="3AA0A2B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现状更新电气及自控设备</w:t>
            </w:r>
          </w:p>
        </w:tc>
        <w:tc>
          <w:tcPr>
            <w:tcW w:w="2110" w:type="pct"/>
            <w:tcBorders>
              <w:tl2br w:val="nil"/>
              <w:tr2bl w:val="nil"/>
            </w:tcBorders>
            <w:shd w:val="clear" w:color="auto" w:fill="auto"/>
            <w:vAlign w:val="center"/>
          </w:tcPr>
          <w:p w14:paraId="36038616">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6" w:type="pct"/>
            <w:tcBorders>
              <w:tl2br w:val="nil"/>
              <w:tr2bl w:val="nil"/>
            </w:tcBorders>
            <w:shd w:val="clear" w:color="auto" w:fill="auto"/>
            <w:vAlign w:val="center"/>
          </w:tcPr>
          <w:p w14:paraId="7CA31A77">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415" w:type="pct"/>
            <w:tcBorders>
              <w:tl2br w:val="nil"/>
              <w:tr2bl w:val="nil"/>
            </w:tcBorders>
            <w:shd w:val="clear" w:color="auto" w:fill="auto"/>
            <w:vAlign w:val="center"/>
          </w:tcPr>
          <w:p w14:paraId="4B03815C">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04" w:type="pct"/>
            <w:tcBorders>
              <w:tl2br w:val="nil"/>
              <w:tr2bl w:val="nil"/>
            </w:tcBorders>
            <w:shd w:val="clear" w:color="auto" w:fill="auto"/>
            <w:vAlign w:val="center"/>
          </w:tcPr>
          <w:p w14:paraId="6B53DF3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更新</w:t>
            </w:r>
          </w:p>
        </w:tc>
      </w:tr>
      <w:tr w14:paraId="19534E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80" w:hRule="atLeast"/>
        </w:trPr>
        <w:tc>
          <w:tcPr>
            <w:tcW w:w="445" w:type="pct"/>
            <w:tcBorders>
              <w:tl2br w:val="nil"/>
              <w:tr2bl w:val="nil"/>
            </w:tcBorders>
            <w:shd w:val="clear" w:color="auto" w:fill="auto"/>
            <w:vAlign w:val="center"/>
          </w:tcPr>
          <w:p w14:paraId="6E8A787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工</w:t>
            </w:r>
          </w:p>
        </w:tc>
        <w:tc>
          <w:tcPr>
            <w:tcW w:w="887" w:type="pct"/>
            <w:tcBorders>
              <w:tl2br w:val="nil"/>
              <w:tr2bl w:val="nil"/>
            </w:tcBorders>
            <w:shd w:val="clear" w:color="auto" w:fill="auto"/>
            <w:vAlign w:val="center"/>
          </w:tcPr>
          <w:p w14:paraId="1951896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控制柜/PLC</w:t>
            </w:r>
          </w:p>
        </w:tc>
        <w:tc>
          <w:tcPr>
            <w:tcW w:w="2110" w:type="pct"/>
            <w:tcBorders>
              <w:tl2br w:val="nil"/>
              <w:tr2bl w:val="nil"/>
            </w:tcBorders>
            <w:shd w:val="clear" w:color="auto" w:fill="auto"/>
            <w:vAlign w:val="center"/>
          </w:tcPr>
          <w:p w14:paraId="2610815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RITTAL控制柜，西门子S7-1500、触摸屏、断路器、接触器</w:t>
            </w:r>
          </w:p>
        </w:tc>
        <w:tc>
          <w:tcPr>
            <w:tcW w:w="336" w:type="pct"/>
            <w:tcBorders>
              <w:tl2br w:val="nil"/>
              <w:tr2bl w:val="nil"/>
            </w:tcBorders>
            <w:shd w:val="clear" w:color="auto" w:fill="auto"/>
            <w:vAlign w:val="center"/>
          </w:tcPr>
          <w:p w14:paraId="1851833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2DF90A1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6C7F2752">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1AF8FE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20" w:hRule="atLeast"/>
        </w:trPr>
        <w:tc>
          <w:tcPr>
            <w:tcW w:w="445" w:type="pct"/>
            <w:tcBorders>
              <w:tl2br w:val="nil"/>
              <w:tr2bl w:val="nil"/>
            </w:tcBorders>
            <w:shd w:val="clear" w:color="auto" w:fill="auto"/>
            <w:vAlign w:val="center"/>
          </w:tcPr>
          <w:p w14:paraId="1407617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040C821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现场各设备就地急停</w:t>
            </w:r>
          </w:p>
        </w:tc>
        <w:tc>
          <w:tcPr>
            <w:tcW w:w="2110" w:type="pct"/>
            <w:tcBorders>
              <w:tl2br w:val="nil"/>
              <w:tr2bl w:val="nil"/>
            </w:tcBorders>
            <w:shd w:val="clear" w:color="auto" w:fill="auto"/>
            <w:vAlign w:val="center"/>
          </w:tcPr>
          <w:p w14:paraId="01C6010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300*200*150、急停按钮、端子</w:t>
            </w:r>
          </w:p>
        </w:tc>
        <w:tc>
          <w:tcPr>
            <w:tcW w:w="336" w:type="pct"/>
            <w:tcBorders>
              <w:tl2br w:val="nil"/>
              <w:tr2bl w:val="nil"/>
            </w:tcBorders>
            <w:shd w:val="clear" w:color="auto" w:fill="auto"/>
            <w:vAlign w:val="center"/>
          </w:tcPr>
          <w:p w14:paraId="235B2AE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33E1808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2ACAA33D">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33FDD5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0C8688C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3D13F96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低压成套柜</w:t>
            </w:r>
          </w:p>
        </w:tc>
        <w:tc>
          <w:tcPr>
            <w:tcW w:w="2110" w:type="pct"/>
            <w:tcBorders>
              <w:tl2br w:val="nil"/>
              <w:tr2bl w:val="nil"/>
            </w:tcBorders>
            <w:shd w:val="clear" w:color="auto" w:fill="auto"/>
            <w:vAlign w:val="center"/>
          </w:tcPr>
          <w:p w14:paraId="1DF2742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型号：CFNS额定电压：380V,额定电流：1000A</w:t>
            </w:r>
          </w:p>
        </w:tc>
        <w:tc>
          <w:tcPr>
            <w:tcW w:w="336" w:type="pct"/>
            <w:tcBorders>
              <w:tl2br w:val="nil"/>
              <w:tr2bl w:val="nil"/>
            </w:tcBorders>
            <w:shd w:val="clear" w:color="auto" w:fill="auto"/>
            <w:vAlign w:val="center"/>
          </w:tcPr>
          <w:p w14:paraId="03F87EA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17</w:t>
            </w:r>
          </w:p>
        </w:tc>
        <w:tc>
          <w:tcPr>
            <w:tcW w:w="415" w:type="pct"/>
            <w:tcBorders>
              <w:tl2br w:val="nil"/>
              <w:tr2bl w:val="nil"/>
            </w:tcBorders>
            <w:shd w:val="clear" w:color="auto" w:fill="auto"/>
            <w:vAlign w:val="center"/>
          </w:tcPr>
          <w:p w14:paraId="6141BED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181415A0">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B03E3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8" w:hRule="atLeast"/>
        </w:trPr>
        <w:tc>
          <w:tcPr>
            <w:tcW w:w="445" w:type="pct"/>
            <w:tcBorders>
              <w:tl2br w:val="nil"/>
              <w:tr2bl w:val="nil"/>
            </w:tcBorders>
            <w:shd w:val="clear" w:color="auto" w:fill="auto"/>
            <w:vAlign w:val="center"/>
          </w:tcPr>
          <w:p w14:paraId="5553238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0443B6B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动力配电箱</w:t>
            </w:r>
          </w:p>
        </w:tc>
        <w:tc>
          <w:tcPr>
            <w:tcW w:w="2110" w:type="pct"/>
            <w:tcBorders>
              <w:tl2br w:val="nil"/>
              <w:tr2bl w:val="nil"/>
            </w:tcBorders>
            <w:shd w:val="clear" w:color="auto" w:fill="auto"/>
            <w:vAlign w:val="center"/>
          </w:tcPr>
          <w:p w14:paraId="20181D6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型号：JXF380V63A</w:t>
            </w:r>
          </w:p>
        </w:tc>
        <w:tc>
          <w:tcPr>
            <w:tcW w:w="336" w:type="pct"/>
            <w:tcBorders>
              <w:tl2br w:val="nil"/>
              <w:tr2bl w:val="nil"/>
            </w:tcBorders>
            <w:shd w:val="clear" w:color="auto" w:fill="auto"/>
            <w:vAlign w:val="center"/>
          </w:tcPr>
          <w:p w14:paraId="5050E3F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768EAD2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0A9121E9">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1ABD4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30" w:hRule="atLeast"/>
        </w:trPr>
        <w:tc>
          <w:tcPr>
            <w:tcW w:w="445" w:type="pct"/>
            <w:tcBorders>
              <w:tl2br w:val="nil"/>
              <w:tr2bl w:val="nil"/>
            </w:tcBorders>
            <w:shd w:val="clear" w:color="auto" w:fill="auto"/>
            <w:vAlign w:val="center"/>
          </w:tcPr>
          <w:p w14:paraId="760F5E5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72ECA7C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干式变压器</w:t>
            </w:r>
          </w:p>
        </w:tc>
        <w:tc>
          <w:tcPr>
            <w:tcW w:w="2110" w:type="pct"/>
            <w:tcBorders>
              <w:tl2br w:val="nil"/>
              <w:tr2bl w:val="nil"/>
            </w:tcBorders>
            <w:shd w:val="clear" w:color="auto" w:fill="auto"/>
            <w:vAlign w:val="center"/>
          </w:tcPr>
          <w:p w14:paraId="2C1A16F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型号：SGB10-1250\10额定容量：</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1250KVA,额定电压：10000±2×</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2.5%/400V</w:t>
            </w:r>
          </w:p>
        </w:tc>
        <w:tc>
          <w:tcPr>
            <w:tcW w:w="336" w:type="pct"/>
            <w:tcBorders>
              <w:tl2br w:val="nil"/>
              <w:tr2bl w:val="nil"/>
            </w:tcBorders>
            <w:shd w:val="clear" w:color="auto" w:fill="auto"/>
            <w:vAlign w:val="center"/>
          </w:tcPr>
          <w:p w14:paraId="1392253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113FC09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452C0F43">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58610E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1EEF5E0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887" w:type="pct"/>
            <w:tcBorders>
              <w:tl2br w:val="nil"/>
              <w:tr2bl w:val="nil"/>
            </w:tcBorders>
            <w:shd w:val="clear" w:color="auto" w:fill="auto"/>
            <w:vAlign w:val="center"/>
          </w:tcPr>
          <w:p w14:paraId="5DBCEC6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进线柜</w:t>
            </w:r>
          </w:p>
        </w:tc>
        <w:tc>
          <w:tcPr>
            <w:tcW w:w="2110" w:type="pct"/>
            <w:tcBorders>
              <w:tl2br w:val="nil"/>
              <w:tr2bl w:val="nil"/>
            </w:tcBorders>
            <w:shd w:val="clear" w:color="auto" w:fill="auto"/>
            <w:vAlign w:val="center"/>
          </w:tcPr>
          <w:p w14:paraId="51B046E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型号：KYN28-12额定电流：630A,额定电压/频率12KV/50Hz</w:t>
            </w:r>
          </w:p>
        </w:tc>
        <w:tc>
          <w:tcPr>
            <w:tcW w:w="336" w:type="pct"/>
            <w:tcBorders>
              <w:tl2br w:val="nil"/>
              <w:tr2bl w:val="nil"/>
            </w:tcBorders>
            <w:shd w:val="clear" w:color="auto" w:fill="auto"/>
            <w:vAlign w:val="center"/>
          </w:tcPr>
          <w:p w14:paraId="5867CF4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732661D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2469461E">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67290C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0933997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887" w:type="pct"/>
            <w:tcBorders>
              <w:tl2br w:val="nil"/>
              <w:tr2bl w:val="nil"/>
            </w:tcBorders>
            <w:shd w:val="clear" w:color="auto" w:fill="auto"/>
            <w:vAlign w:val="center"/>
          </w:tcPr>
          <w:p w14:paraId="541F820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PT计量柜</w:t>
            </w:r>
          </w:p>
        </w:tc>
        <w:tc>
          <w:tcPr>
            <w:tcW w:w="2110" w:type="pct"/>
            <w:tcBorders>
              <w:tl2br w:val="nil"/>
              <w:tr2bl w:val="nil"/>
            </w:tcBorders>
            <w:shd w:val="clear" w:color="auto" w:fill="auto"/>
            <w:vAlign w:val="center"/>
          </w:tcPr>
          <w:p w14:paraId="1FC174B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型号：KYN28-12额定电流：630A,额定电压/频率12KV/50Hz</w:t>
            </w:r>
          </w:p>
        </w:tc>
        <w:tc>
          <w:tcPr>
            <w:tcW w:w="336" w:type="pct"/>
            <w:tcBorders>
              <w:tl2br w:val="nil"/>
              <w:tr2bl w:val="nil"/>
            </w:tcBorders>
            <w:shd w:val="clear" w:color="auto" w:fill="auto"/>
            <w:vAlign w:val="center"/>
          </w:tcPr>
          <w:p w14:paraId="7D37FF2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33BFF98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349FE5D0">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5643F2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6C925C4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887" w:type="pct"/>
            <w:tcBorders>
              <w:tl2br w:val="nil"/>
              <w:tr2bl w:val="nil"/>
            </w:tcBorders>
            <w:shd w:val="clear" w:color="auto" w:fill="auto"/>
            <w:vAlign w:val="center"/>
          </w:tcPr>
          <w:p w14:paraId="00295B4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出线柜</w:t>
            </w:r>
          </w:p>
        </w:tc>
        <w:tc>
          <w:tcPr>
            <w:tcW w:w="2110" w:type="pct"/>
            <w:tcBorders>
              <w:tl2br w:val="nil"/>
              <w:tr2bl w:val="nil"/>
            </w:tcBorders>
            <w:shd w:val="clear" w:color="auto" w:fill="auto"/>
            <w:vAlign w:val="center"/>
          </w:tcPr>
          <w:p w14:paraId="0B6EDA1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型号：KYN28-12额定电流：630A,额定</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电压/频率12KV/50Hz</w:t>
            </w:r>
          </w:p>
        </w:tc>
        <w:tc>
          <w:tcPr>
            <w:tcW w:w="336" w:type="pct"/>
            <w:tcBorders>
              <w:tl2br w:val="nil"/>
              <w:tr2bl w:val="nil"/>
            </w:tcBorders>
            <w:shd w:val="clear" w:color="auto" w:fill="auto"/>
            <w:vAlign w:val="center"/>
          </w:tcPr>
          <w:p w14:paraId="4964D13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06D4FCE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7CCA45F1">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0546E7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30" w:hRule="atLeast"/>
        </w:trPr>
        <w:tc>
          <w:tcPr>
            <w:tcW w:w="445" w:type="pct"/>
            <w:tcBorders>
              <w:tl2br w:val="nil"/>
              <w:tr2bl w:val="nil"/>
            </w:tcBorders>
            <w:shd w:val="clear" w:color="auto" w:fill="auto"/>
            <w:vAlign w:val="center"/>
          </w:tcPr>
          <w:p w14:paraId="2FB46F6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c>
          <w:tcPr>
            <w:tcW w:w="887" w:type="pct"/>
            <w:tcBorders>
              <w:tl2br w:val="nil"/>
              <w:tr2bl w:val="nil"/>
            </w:tcBorders>
            <w:shd w:val="clear" w:color="auto" w:fill="auto"/>
            <w:vAlign w:val="center"/>
          </w:tcPr>
          <w:p w14:paraId="29358D0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中控室LED大屏</w:t>
            </w:r>
          </w:p>
        </w:tc>
        <w:tc>
          <w:tcPr>
            <w:tcW w:w="2110" w:type="pct"/>
            <w:tcBorders>
              <w:tl2br w:val="nil"/>
              <w:tr2bl w:val="nil"/>
            </w:tcBorders>
            <w:shd w:val="clear" w:color="auto" w:fill="auto"/>
            <w:vAlign w:val="center"/>
          </w:tcPr>
          <w:p w14:paraId="4777775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尺寸49”,物理拼缝3.5mm,背光类型</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LED,分辨率1920×1080,显示尺寸</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mm</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1074.24</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H</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×604.24</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V</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336" w:type="pct"/>
            <w:tcBorders>
              <w:tl2br w:val="nil"/>
              <w:tr2bl w:val="nil"/>
            </w:tcBorders>
            <w:shd w:val="clear" w:color="auto" w:fill="auto"/>
            <w:vAlign w:val="center"/>
          </w:tcPr>
          <w:p w14:paraId="7C115D8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23F576E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258E8131">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8D6D9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20" w:hRule="atLeast"/>
        </w:trPr>
        <w:tc>
          <w:tcPr>
            <w:tcW w:w="445" w:type="pct"/>
            <w:tcBorders>
              <w:tl2br w:val="nil"/>
              <w:tr2bl w:val="nil"/>
            </w:tcBorders>
            <w:shd w:val="clear" w:color="auto" w:fill="auto"/>
            <w:vAlign w:val="center"/>
          </w:tcPr>
          <w:p w14:paraId="14F1AB0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二</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887" w:type="pct"/>
            <w:tcBorders>
              <w:tl2br w:val="nil"/>
              <w:tr2bl w:val="nil"/>
            </w:tcBorders>
            <w:shd w:val="clear" w:color="auto" w:fill="auto"/>
            <w:vAlign w:val="center"/>
          </w:tcPr>
          <w:p w14:paraId="74CA90F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新增电气及自控设备</w:t>
            </w:r>
          </w:p>
        </w:tc>
        <w:tc>
          <w:tcPr>
            <w:tcW w:w="2110" w:type="pct"/>
            <w:tcBorders>
              <w:tl2br w:val="nil"/>
              <w:tr2bl w:val="nil"/>
            </w:tcBorders>
            <w:shd w:val="clear" w:color="auto" w:fill="auto"/>
            <w:vAlign w:val="center"/>
          </w:tcPr>
          <w:p w14:paraId="1ED40EAB">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6" w:type="pct"/>
            <w:tcBorders>
              <w:tl2br w:val="nil"/>
              <w:tr2bl w:val="nil"/>
            </w:tcBorders>
            <w:shd w:val="clear" w:color="auto" w:fill="auto"/>
            <w:vAlign w:val="center"/>
          </w:tcPr>
          <w:p w14:paraId="7D0BEA34">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415" w:type="pct"/>
            <w:tcBorders>
              <w:tl2br w:val="nil"/>
              <w:tr2bl w:val="nil"/>
            </w:tcBorders>
            <w:shd w:val="clear" w:color="auto" w:fill="auto"/>
            <w:vAlign w:val="center"/>
          </w:tcPr>
          <w:p w14:paraId="36EF1A18">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04" w:type="pct"/>
            <w:tcBorders>
              <w:tl2br w:val="nil"/>
              <w:tr2bl w:val="nil"/>
            </w:tcBorders>
            <w:shd w:val="clear" w:color="auto" w:fill="auto"/>
            <w:vAlign w:val="center"/>
          </w:tcPr>
          <w:p w14:paraId="1BEAEC9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新增</w:t>
            </w:r>
          </w:p>
        </w:tc>
      </w:tr>
      <w:tr w14:paraId="5C8BF5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38" w:hRule="atLeast"/>
        </w:trPr>
        <w:tc>
          <w:tcPr>
            <w:tcW w:w="445" w:type="pct"/>
            <w:tcBorders>
              <w:tl2br w:val="nil"/>
              <w:tr2bl w:val="nil"/>
            </w:tcBorders>
            <w:shd w:val="clear" w:color="auto" w:fill="auto"/>
            <w:vAlign w:val="center"/>
          </w:tcPr>
          <w:p w14:paraId="19C7E6F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01851B0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高压开关柜</w:t>
            </w:r>
          </w:p>
        </w:tc>
        <w:tc>
          <w:tcPr>
            <w:tcW w:w="2110" w:type="pct"/>
            <w:tcBorders>
              <w:tl2br w:val="nil"/>
              <w:tr2bl w:val="nil"/>
            </w:tcBorders>
            <w:shd w:val="clear" w:color="auto" w:fill="auto"/>
            <w:vAlign w:val="center"/>
          </w:tcPr>
          <w:p w14:paraId="753AF5E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KYN28-12</w:t>
            </w:r>
          </w:p>
        </w:tc>
        <w:tc>
          <w:tcPr>
            <w:tcW w:w="336" w:type="pct"/>
            <w:tcBorders>
              <w:tl2br w:val="nil"/>
              <w:tr2bl w:val="nil"/>
            </w:tcBorders>
            <w:shd w:val="clear" w:color="auto" w:fill="auto"/>
            <w:vAlign w:val="center"/>
          </w:tcPr>
          <w:p w14:paraId="386F626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3D8C1B8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07797C2D">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425F3D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8" w:hRule="atLeast"/>
        </w:trPr>
        <w:tc>
          <w:tcPr>
            <w:tcW w:w="445" w:type="pct"/>
            <w:tcBorders>
              <w:tl2br w:val="nil"/>
              <w:tr2bl w:val="nil"/>
            </w:tcBorders>
            <w:shd w:val="clear" w:color="auto" w:fill="auto"/>
            <w:vAlign w:val="center"/>
          </w:tcPr>
          <w:p w14:paraId="6DD81DF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70E88F3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干式变压器</w:t>
            </w:r>
          </w:p>
        </w:tc>
        <w:tc>
          <w:tcPr>
            <w:tcW w:w="2110" w:type="pct"/>
            <w:tcBorders>
              <w:tl2br w:val="nil"/>
              <w:tr2bl w:val="nil"/>
            </w:tcBorders>
            <w:shd w:val="clear" w:color="auto" w:fill="auto"/>
            <w:vAlign w:val="center"/>
          </w:tcPr>
          <w:p w14:paraId="2F06AC0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SCB14-1600/10/0.4kV</w:t>
            </w:r>
          </w:p>
        </w:tc>
        <w:tc>
          <w:tcPr>
            <w:tcW w:w="336" w:type="pct"/>
            <w:tcBorders>
              <w:tl2br w:val="nil"/>
              <w:tr2bl w:val="nil"/>
            </w:tcBorders>
            <w:shd w:val="clear" w:color="auto" w:fill="auto"/>
            <w:vAlign w:val="center"/>
          </w:tcPr>
          <w:p w14:paraId="13CC20F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2BE7E69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座</w:t>
            </w:r>
          </w:p>
        </w:tc>
        <w:tc>
          <w:tcPr>
            <w:tcW w:w="804" w:type="pct"/>
            <w:tcBorders>
              <w:tl2br w:val="nil"/>
              <w:tr2bl w:val="nil"/>
            </w:tcBorders>
            <w:shd w:val="clear" w:color="auto" w:fill="auto"/>
            <w:vAlign w:val="center"/>
          </w:tcPr>
          <w:p w14:paraId="5A949A54">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02C16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82" w:hRule="atLeast"/>
        </w:trPr>
        <w:tc>
          <w:tcPr>
            <w:tcW w:w="445" w:type="pct"/>
            <w:tcBorders>
              <w:tl2br w:val="nil"/>
              <w:tr2bl w:val="nil"/>
            </w:tcBorders>
            <w:shd w:val="clear" w:color="auto" w:fill="auto"/>
            <w:vAlign w:val="center"/>
          </w:tcPr>
          <w:p w14:paraId="570EC0D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887" w:type="pct"/>
            <w:tcBorders>
              <w:tl2br w:val="nil"/>
              <w:tr2bl w:val="nil"/>
            </w:tcBorders>
            <w:shd w:val="clear" w:color="auto" w:fill="auto"/>
            <w:vAlign w:val="center"/>
          </w:tcPr>
          <w:p w14:paraId="44533BC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低压开关柜</w:t>
            </w:r>
          </w:p>
        </w:tc>
        <w:tc>
          <w:tcPr>
            <w:tcW w:w="2110" w:type="pct"/>
            <w:tcBorders>
              <w:tl2br w:val="nil"/>
              <w:tr2bl w:val="nil"/>
            </w:tcBorders>
            <w:shd w:val="clear" w:color="auto" w:fill="auto"/>
            <w:vAlign w:val="center"/>
          </w:tcPr>
          <w:p w14:paraId="37799A8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MNS</w:t>
            </w:r>
          </w:p>
        </w:tc>
        <w:tc>
          <w:tcPr>
            <w:tcW w:w="336" w:type="pct"/>
            <w:tcBorders>
              <w:tl2br w:val="nil"/>
              <w:tr2bl w:val="nil"/>
            </w:tcBorders>
            <w:shd w:val="clear" w:color="auto" w:fill="auto"/>
            <w:vAlign w:val="center"/>
          </w:tcPr>
          <w:p w14:paraId="760A562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6418209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64FDE9AB">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14AC0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0" w:hRule="atLeast"/>
        </w:trPr>
        <w:tc>
          <w:tcPr>
            <w:tcW w:w="445" w:type="pct"/>
            <w:tcBorders>
              <w:tl2br w:val="nil"/>
              <w:tr2bl w:val="nil"/>
            </w:tcBorders>
            <w:shd w:val="clear" w:color="auto" w:fill="auto"/>
            <w:vAlign w:val="center"/>
          </w:tcPr>
          <w:p w14:paraId="459D573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887" w:type="pct"/>
            <w:tcBorders>
              <w:tl2br w:val="nil"/>
              <w:tr2bl w:val="nil"/>
            </w:tcBorders>
            <w:shd w:val="clear" w:color="auto" w:fill="auto"/>
            <w:vAlign w:val="center"/>
          </w:tcPr>
          <w:p w14:paraId="1D753FE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功率补偿柜</w:t>
            </w:r>
          </w:p>
        </w:tc>
        <w:tc>
          <w:tcPr>
            <w:tcW w:w="2110" w:type="pct"/>
            <w:tcBorders>
              <w:tl2br w:val="nil"/>
              <w:tr2bl w:val="nil"/>
            </w:tcBorders>
            <w:shd w:val="clear" w:color="auto" w:fill="auto"/>
            <w:vAlign w:val="center"/>
          </w:tcPr>
          <w:p w14:paraId="6824A3F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MNS</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改</w:t>
            </w:r>
            <w:r>
              <w:rPr>
                <w:rStyle w:val="24"/>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480kvar</w:t>
            </w:r>
          </w:p>
        </w:tc>
        <w:tc>
          <w:tcPr>
            <w:tcW w:w="336" w:type="pct"/>
            <w:tcBorders>
              <w:tl2br w:val="nil"/>
              <w:tr2bl w:val="nil"/>
            </w:tcBorders>
            <w:shd w:val="clear" w:color="auto" w:fill="auto"/>
            <w:vAlign w:val="center"/>
          </w:tcPr>
          <w:p w14:paraId="436BE55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340F7A9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2C62EDF2">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34366B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8" w:hRule="atLeast"/>
        </w:trPr>
        <w:tc>
          <w:tcPr>
            <w:tcW w:w="445" w:type="pct"/>
            <w:tcBorders>
              <w:tl2br w:val="nil"/>
              <w:tr2bl w:val="nil"/>
            </w:tcBorders>
            <w:shd w:val="clear" w:color="auto" w:fill="auto"/>
            <w:vAlign w:val="center"/>
          </w:tcPr>
          <w:p w14:paraId="43154F5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887" w:type="pct"/>
            <w:tcBorders>
              <w:tl2br w:val="nil"/>
              <w:tr2bl w:val="nil"/>
            </w:tcBorders>
            <w:shd w:val="clear" w:color="auto" w:fill="auto"/>
            <w:vAlign w:val="center"/>
          </w:tcPr>
          <w:p w14:paraId="70806EF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软启控制柜</w:t>
            </w:r>
          </w:p>
        </w:tc>
        <w:tc>
          <w:tcPr>
            <w:tcW w:w="2110" w:type="pct"/>
            <w:tcBorders>
              <w:tl2br w:val="nil"/>
              <w:tr2bl w:val="nil"/>
            </w:tcBorders>
            <w:shd w:val="clear" w:color="auto" w:fill="auto"/>
            <w:vAlign w:val="center"/>
          </w:tcPr>
          <w:p w14:paraId="7E319A6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GGD,800*600*2200,,55kw*2</w:t>
            </w:r>
          </w:p>
        </w:tc>
        <w:tc>
          <w:tcPr>
            <w:tcW w:w="336" w:type="pct"/>
            <w:tcBorders>
              <w:tl2br w:val="nil"/>
              <w:tr2bl w:val="nil"/>
            </w:tcBorders>
            <w:shd w:val="clear" w:color="auto" w:fill="auto"/>
            <w:vAlign w:val="center"/>
          </w:tcPr>
          <w:p w14:paraId="1D7B2A4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415" w:type="pct"/>
            <w:tcBorders>
              <w:tl2br w:val="nil"/>
              <w:tr2bl w:val="nil"/>
            </w:tcBorders>
            <w:shd w:val="clear" w:color="auto" w:fill="auto"/>
            <w:vAlign w:val="center"/>
          </w:tcPr>
          <w:p w14:paraId="31B72C4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4A44D58F">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4A4032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5" w:hRule="atLeast"/>
        </w:trPr>
        <w:tc>
          <w:tcPr>
            <w:tcW w:w="445" w:type="pct"/>
            <w:tcBorders>
              <w:tl2br w:val="nil"/>
              <w:tr2bl w:val="nil"/>
            </w:tcBorders>
            <w:shd w:val="clear" w:color="auto" w:fill="auto"/>
            <w:vAlign w:val="center"/>
          </w:tcPr>
          <w:p w14:paraId="17D99B0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887" w:type="pct"/>
            <w:tcBorders>
              <w:tl2br w:val="nil"/>
              <w:tr2bl w:val="nil"/>
            </w:tcBorders>
            <w:shd w:val="clear" w:color="auto" w:fill="auto"/>
            <w:vAlign w:val="center"/>
          </w:tcPr>
          <w:p w14:paraId="103ABA1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控制柜</w:t>
            </w:r>
          </w:p>
        </w:tc>
        <w:tc>
          <w:tcPr>
            <w:tcW w:w="2110" w:type="pct"/>
            <w:tcBorders>
              <w:tl2br w:val="nil"/>
              <w:tr2bl w:val="nil"/>
            </w:tcBorders>
            <w:shd w:val="clear" w:color="auto" w:fill="auto"/>
            <w:vAlign w:val="center"/>
          </w:tcPr>
          <w:p w14:paraId="6F311A1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GGD,800*600*2200,变频7.5kw*2+常规7.5kw*2</w:t>
            </w:r>
          </w:p>
        </w:tc>
        <w:tc>
          <w:tcPr>
            <w:tcW w:w="336" w:type="pct"/>
            <w:tcBorders>
              <w:tl2br w:val="nil"/>
              <w:tr2bl w:val="nil"/>
            </w:tcBorders>
            <w:shd w:val="clear" w:color="auto" w:fill="auto"/>
            <w:vAlign w:val="center"/>
          </w:tcPr>
          <w:p w14:paraId="7F2EA9C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50F7034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4"/>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4EECAF74">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7BDA7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34" w:hRule="atLeast"/>
        </w:trPr>
        <w:tc>
          <w:tcPr>
            <w:tcW w:w="445" w:type="pct"/>
            <w:tcBorders>
              <w:tl2br w:val="nil"/>
              <w:tr2bl w:val="nil"/>
            </w:tcBorders>
            <w:shd w:val="clear" w:color="auto" w:fill="auto"/>
            <w:vAlign w:val="center"/>
          </w:tcPr>
          <w:p w14:paraId="46A32F9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w:t>
            </w:r>
          </w:p>
        </w:tc>
        <w:tc>
          <w:tcPr>
            <w:tcW w:w="887" w:type="pct"/>
            <w:tcBorders>
              <w:tl2br w:val="nil"/>
              <w:tr2bl w:val="nil"/>
            </w:tcBorders>
            <w:shd w:val="clear" w:color="auto" w:fill="auto"/>
            <w:vAlign w:val="center"/>
          </w:tcPr>
          <w:p w14:paraId="1A6F40B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变频控制柜</w:t>
            </w:r>
          </w:p>
        </w:tc>
        <w:tc>
          <w:tcPr>
            <w:tcW w:w="2110" w:type="pct"/>
            <w:tcBorders>
              <w:tl2br w:val="nil"/>
              <w:tr2bl w:val="nil"/>
            </w:tcBorders>
            <w:shd w:val="clear" w:color="auto" w:fill="auto"/>
            <w:vAlign w:val="center"/>
          </w:tcPr>
          <w:p w14:paraId="615D622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GGD,800*600*2200,75kW</w:t>
            </w:r>
          </w:p>
        </w:tc>
        <w:tc>
          <w:tcPr>
            <w:tcW w:w="336" w:type="pct"/>
            <w:tcBorders>
              <w:tl2br w:val="nil"/>
              <w:tr2bl w:val="nil"/>
            </w:tcBorders>
            <w:shd w:val="clear" w:color="auto" w:fill="auto"/>
            <w:vAlign w:val="center"/>
          </w:tcPr>
          <w:p w14:paraId="3486D35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5006163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0A31196A">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4D369E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29" w:hRule="atLeast"/>
        </w:trPr>
        <w:tc>
          <w:tcPr>
            <w:tcW w:w="445" w:type="pct"/>
            <w:tcBorders>
              <w:tl2br w:val="nil"/>
              <w:tr2bl w:val="nil"/>
            </w:tcBorders>
            <w:shd w:val="clear" w:color="auto" w:fill="auto"/>
            <w:vAlign w:val="center"/>
          </w:tcPr>
          <w:p w14:paraId="6F310C4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w:t>
            </w:r>
          </w:p>
        </w:tc>
        <w:tc>
          <w:tcPr>
            <w:tcW w:w="887" w:type="pct"/>
            <w:tcBorders>
              <w:tl2br w:val="nil"/>
              <w:tr2bl w:val="nil"/>
            </w:tcBorders>
            <w:shd w:val="clear" w:color="auto" w:fill="auto"/>
            <w:vAlign w:val="center"/>
          </w:tcPr>
          <w:p w14:paraId="257BD6D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变频控制柜</w:t>
            </w:r>
          </w:p>
        </w:tc>
        <w:tc>
          <w:tcPr>
            <w:tcW w:w="2110" w:type="pct"/>
            <w:tcBorders>
              <w:tl2br w:val="nil"/>
              <w:tr2bl w:val="nil"/>
            </w:tcBorders>
            <w:shd w:val="clear" w:color="auto" w:fill="auto"/>
            <w:vAlign w:val="center"/>
          </w:tcPr>
          <w:p w14:paraId="08533DA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GGD,800*600*2200,7.5kw*3</w:t>
            </w:r>
          </w:p>
        </w:tc>
        <w:tc>
          <w:tcPr>
            <w:tcW w:w="336" w:type="pct"/>
            <w:tcBorders>
              <w:tl2br w:val="nil"/>
              <w:tr2bl w:val="nil"/>
            </w:tcBorders>
            <w:shd w:val="clear" w:color="auto" w:fill="auto"/>
            <w:vAlign w:val="center"/>
          </w:tcPr>
          <w:p w14:paraId="0658FD0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415" w:type="pct"/>
            <w:tcBorders>
              <w:tl2br w:val="nil"/>
              <w:tr2bl w:val="nil"/>
            </w:tcBorders>
            <w:shd w:val="clear" w:color="auto" w:fill="auto"/>
            <w:vAlign w:val="center"/>
          </w:tcPr>
          <w:p w14:paraId="3D8A591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6021F572">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48E2DA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9" w:hRule="atLeast"/>
        </w:trPr>
        <w:tc>
          <w:tcPr>
            <w:tcW w:w="445" w:type="pct"/>
            <w:tcBorders>
              <w:tl2br w:val="nil"/>
              <w:tr2bl w:val="nil"/>
            </w:tcBorders>
            <w:shd w:val="clear" w:color="auto" w:fill="auto"/>
            <w:vAlign w:val="center"/>
          </w:tcPr>
          <w:p w14:paraId="33D3A89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w:t>
            </w:r>
          </w:p>
        </w:tc>
        <w:tc>
          <w:tcPr>
            <w:tcW w:w="887" w:type="pct"/>
            <w:tcBorders>
              <w:tl2br w:val="nil"/>
              <w:tr2bl w:val="nil"/>
            </w:tcBorders>
            <w:shd w:val="clear" w:color="auto" w:fill="auto"/>
            <w:vAlign w:val="center"/>
          </w:tcPr>
          <w:p w14:paraId="608411D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变频控制柜</w:t>
            </w:r>
          </w:p>
        </w:tc>
        <w:tc>
          <w:tcPr>
            <w:tcW w:w="2110" w:type="pct"/>
            <w:tcBorders>
              <w:tl2br w:val="nil"/>
              <w:tr2bl w:val="nil"/>
            </w:tcBorders>
            <w:shd w:val="clear" w:color="auto" w:fill="auto"/>
            <w:vAlign w:val="center"/>
          </w:tcPr>
          <w:p w14:paraId="0087B10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GGD,800*600*2200,11kw*3</w:t>
            </w:r>
          </w:p>
        </w:tc>
        <w:tc>
          <w:tcPr>
            <w:tcW w:w="336" w:type="pct"/>
            <w:tcBorders>
              <w:tl2br w:val="nil"/>
              <w:tr2bl w:val="nil"/>
            </w:tcBorders>
            <w:shd w:val="clear" w:color="auto" w:fill="auto"/>
            <w:vAlign w:val="center"/>
          </w:tcPr>
          <w:p w14:paraId="66A7728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4FC2F3E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7E5374A6">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51D043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39" w:hRule="atLeast"/>
        </w:trPr>
        <w:tc>
          <w:tcPr>
            <w:tcW w:w="445" w:type="pct"/>
            <w:tcBorders>
              <w:tl2br w:val="nil"/>
              <w:tr2bl w:val="nil"/>
            </w:tcBorders>
            <w:shd w:val="clear" w:color="auto" w:fill="auto"/>
            <w:vAlign w:val="center"/>
          </w:tcPr>
          <w:p w14:paraId="3D73957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w:t>
            </w:r>
          </w:p>
        </w:tc>
        <w:tc>
          <w:tcPr>
            <w:tcW w:w="887" w:type="pct"/>
            <w:tcBorders>
              <w:tl2br w:val="nil"/>
              <w:tr2bl w:val="nil"/>
            </w:tcBorders>
            <w:shd w:val="clear" w:color="auto" w:fill="auto"/>
            <w:vAlign w:val="center"/>
          </w:tcPr>
          <w:p w14:paraId="4B97A73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变频控制柜</w:t>
            </w:r>
          </w:p>
        </w:tc>
        <w:tc>
          <w:tcPr>
            <w:tcW w:w="2110" w:type="pct"/>
            <w:tcBorders>
              <w:tl2br w:val="nil"/>
              <w:tr2bl w:val="nil"/>
            </w:tcBorders>
            <w:shd w:val="clear" w:color="auto" w:fill="auto"/>
            <w:vAlign w:val="center"/>
          </w:tcPr>
          <w:p w14:paraId="082EFD2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GGD,800*600*2200,110kW</w:t>
            </w:r>
          </w:p>
        </w:tc>
        <w:tc>
          <w:tcPr>
            <w:tcW w:w="336" w:type="pct"/>
            <w:tcBorders>
              <w:tl2br w:val="nil"/>
              <w:tr2bl w:val="nil"/>
            </w:tcBorders>
            <w:shd w:val="clear" w:color="auto" w:fill="auto"/>
            <w:vAlign w:val="center"/>
          </w:tcPr>
          <w:p w14:paraId="2FB8236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p>
        </w:tc>
        <w:tc>
          <w:tcPr>
            <w:tcW w:w="415" w:type="pct"/>
            <w:tcBorders>
              <w:tl2br w:val="nil"/>
              <w:tr2bl w:val="nil"/>
            </w:tcBorders>
            <w:shd w:val="clear" w:color="auto" w:fill="auto"/>
            <w:vAlign w:val="center"/>
          </w:tcPr>
          <w:p w14:paraId="246B26A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45720CD4">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63C4F3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06BF7DD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w:t>
            </w:r>
          </w:p>
        </w:tc>
        <w:tc>
          <w:tcPr>
            <w:tcW w:w="887" w:type="pct"/>
            <w:tcBorders>
              <w:tl2br w:val="nil"/>
              <w:tr2bl w:val="nil"/>
            </w:tcBorders>
            <w:shd w:val="clear" w:color="auto" w:fill="auto"/>
            <w:vAlign w:val="center"/>
          </w:tcPr>
          <w:p w14:paraId="0017DDD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进线柜</w:t>
            </w:r>
          </w:p>
        </w:tc>
        <w:tc>
          <w:tcPr>
            <w:tcW w:w="2110" w:type="pct"/>
            <w:tcBorders>
              <w:tl2br w:val="nil"/>
              <w:tr2bl w:val="nil"/>
            </w:tcBorders>
            <w:shd w:val="clear" w:color="auto" w:fill="auto"/>
            <w:vAlign w:val="center"/>
          </w:tcPr>
          <w:p w14:paraId="443255A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GGD,800*600*2200</w:t>
            </w:r>
          </w:p>
        </w:tc>
        <w:tc>
          <w:tcPr>
            <w:tcW w:w="336" w:type="pct"/>
            <w:tcBorders>
              <w:tl2br w:val="nil"/>
              <w:tr2bl w:val="nil"/>
            </w:tcBorders>
            <w:shd w:val="clear" w:color="auto" w:fill="auto"/>
            <w:vAlign w:val="center"/>
          </w:tcPr>
          <w:p w14:paraId="7D0D760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65780F6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2C447DC7">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0EB348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0" w:hRule="atLeast"/>
        </w:trPr>
        <w:tc>
          <w:tcPr>
            <w:tcW w:w="445" w:type="pct"/>
            <w:tcBorders>
              <w:tl2br w:val="nil"/>
              <w:tr2bl w:val="nil"/>
            </w:tcBorders>
            <w:shd w:val="clear" w:color="auto" w:fill="auto"/>
            <w:vAlign w:val="center"/>
          </w:tcPr>
          <w:p w14:paraId="2A7F207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w:t>
            </w:r>
          </w:p>
        </w:tc>
        <w:tc>
          <w:tcPr>
            <w:tcW w:w="887" w:type="pct"/>
            <w:tcBorders>
              <w:tl2br w:val="nil"/>
              <w:tr2bl w:val="nil"/>
            </w:tcBorders>
            <w:shd w:val="clear" w:color="auto" w:fill="auto"/>
            <w:vAlign w:val="center"/>
          </w:tcPr>
          <w:p w14:paraId="7EBDC70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PLC柜</w:t>
            </w:r>
          </w:p>
        </w:tc>
        <w:tc>
          <w:tcPr>
            <w:tcW w:w="2110" w:type="pct"/>
            <w:tcBorders>
              <w:tl2br w:val="nil"/>
              <w:tr2bl w:val="nil"/>
            </w:tcBorders>
            <w:shd w:val="clear" w:color="auto" w:fill="auto"/>
            <w:vAlign w:val="center"/>
          </w:tcPr>
          <w:p w14:paraId="666C8CB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800*600*2200,配套西门子S7-1500、触</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摸屏、断路器、接触器等</w:t>
            </w:r>
          </w:p>
        </w:tc>
        <w:tc>
          <w:tcPr>
            <w:tcW w:w="336" w:type="pct"/>
            <w:tcBorders>
              <w:tl2br w:val="nil"/>
              <w:tr2bl w:val="nil"/>
            </w:tcBorders>
            <w:shd w:val="clear" w:color="auto" w:fill="auto"/>
            <w:vAlign w:val="center"/>
          </w:tcPr>
          <w:p w14:paraId="580765D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60661C8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455AFA7A">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6D7FB5B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40" w:hRule="atLeast"/>
        </w:trPr>
        <w:tc>
          <w:tcPr>
            <w:tcW w:w="445" w:type="pct"/>
            <w:tcBorders>
              <w:tl2br w:val="nil"/>
              <w:tr2bl w:val="nil"/>
            </w:tcBorders>
            <w:shd w:val="clear" w:color="auto" w:fill="auto"/>
            <w:vAlign w:val="center"/>
          </w:tcPr>
          <w:p w14:paraId="7C0BE9E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w:t>
            </w:r>
          </w:p>
        </w:tc>
        <w:tc>
          <w:tcPr>
            <w:tcW w:w="887" w:type="pct"/>
            <w:tcBorders>
              <w:tl2br w:val="nil"/>
              <w:tr2bl w:val="nil"/>
            </w:tcBorders>
            <w:shd w:val="clear" w:color="auto" w:fill="auto"/>
            <w:vAlign w:val="center"/>
          </w:tcPr>
          <w:p w14:paraId="30521D7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中控室LED大屏</w:t>
            </w:r>
          </w:p>
        </w:tc>
        <w:tc>
          <w:tcPr>
            <w:tcW w:w="2110" w:type="pct"/>
            <w:tcBorders>
              <w:tl2br w:val="nil"/>
              <w:tr2bl w:val="nil"/>
            </w:tcBorders>
            <w:shd w:val="clear" w:color="auto" w:fill="auto"/>
            <w:vAlign w:val="center"/>
          </w:tcPr>
          <w:p w14:paraId="668BBA2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尺寸49”,物理拼缝3.5mm,背光类型</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LED,分辨率1920×1080,显示尺寸</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mm</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1074.24</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H</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×604.24</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V</w:t>
            </w:r>
            <w:r>
              <w:rPr>
                <w:rStyle w:val="25"/>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w:t>
            </w:r>
          </w:p>
        </w:tc>
        <w:tc>
          <w:tcPr>
            <w:tcW w:w="336" w:type="pct"/>
            <w:tcBorders>
              <w:tl2br w:val="nil"/>
              <w:tr2bl w:val="nil"/>
            </w:tcBorders>
            <w:shd w:val="clear" w:color="auto" w:fill="auto"/>
            <w:vAlign w:val="center"/>
          </w:tcPr>
          <w:p w14:paraId="7F7EBAC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04DA6A0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套</w:t>
            </w:r>
          </w:p>
        </w:tc>
        <w:tc>
          <w:tcPr>
            <w:tcW w:w="804" w:type="pct"/>
            <w:tcBorders>
              <w:tl2br w:val="nil"/>
              <w:tr2bl w:val="nil"/>
            </w:tcBorders>
            <w:shd w:val="clear" w:color="auto" w:fill="auto"/>
            <w:vAlign w:val="center"/>
          </w:tcPr>
          <w:p w14:paraId="4418A816">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17EAB3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3CB0BB3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14</w:t>
            </w:r>
          </w:p>
        </w:tc>
        <w:tc>
          <w:tcPr>
            <w:tcW w:w="887" w:type="pct"/>
            <w:tcBorders>
              <w:tl2br w:val="nil"/>
              <w:tr2bl w:val="nil"/>
            </w:tcBorders>
            <w:shd w:val="clear" w:color="auto" w:fill="auto"/>
            <w:vAlign w:val="center"/>
          </w:tcPr>
          <w:p w14:paraId="2ACCC2C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电缆</w:t>
            </w:r>
          </w:p>
        </w:tc>
        <w:tc>
          <w:tcPr>
            <w:tcW w:w="2110" w:type="pct"/>
            <w:tcBorders>
              <w:tl2br w:val="nil"/>
              <w:tr2bl w:val="nil"/>
            </w:tcBorders>
            <w:shd w:val="clear" w:color="auto" w:fill="auto"/>
            <w:vAlign w:val="center"/>
          </w:tcPr>
          <w:p w14:paraId="045DD4A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YJV-1kV-5*4</w:t>
            </w:r>
          </w:p>
        </w:tc>
        <w:tc>
          <w:tcPr>
            <w:tcW w:w="336" w:type="pct"/>
            <w:tcBorders>
              <w:tl2br w:val="nil"/>
              <w:tr2bl w:val="nil"/>
            </w:tcBorders>
            <w:shd w:val="clear" w:color="auto" w:fill="auto"/>
            <w:vAlign w:val="center"/>
          </w:tcPr>
          <w:p w14:paraId="63414C4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60</w:t>
            </w:r>
          </w:p>
        </w:tc>
        <w:tc>
          <w:tcPr>
            <w:tcW w:w="415" w:type="pct"/>
            <w:tcBorders>
              <w:tl2br w:val="nil"/>
              <w:tr2bl w:val="nil"/>
            </w:tcBorders>
            <w:shd w:val="clear" w:color="auto" w:fill="auto"/>
            <w:vAlign w:val="center"/>
          </w:tcPr>
          <w:p w14:paraId="718CF86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0522281A">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08A3556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48B6AE7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w:t>
            </w:r>
          </w:p>
        </w:tc>
        <w:tc>
          <w:tcPr>
            <w:tcW w:w="887" w:type="pct"/>
            <w:tcBorders>
              <w:tl2br w:val="nil"/>
              <w:tr2bl w:val="nil"/>
            </w:tcBorders>
            <w:shd w:val="clear" w:color="auto" w:fill="auto"/>
            <w:vAlign w:val="center"/>
          </w:tcPr>
          <w:p w14:paraId="7BF06CC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电缆</w:t>
            </w:r>
          </w:p>
        </w:tc>
        <w:tc>
          <w:tcPr>
            <w:tcW w:w="2110" w:type="pct"/>
            <w:tcBorders>
              <w:tl2br w:val="nil"/>
              <w:tr2bl w:val="nil"/>
            </w:tcBorders>
            <w:shd w:val="clear" w:color="auto" w:fill="auto"/>
            <w:vAlign w:val="center"/>
          </w:tcPr>
          <w:p w14:paraId="686A264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YJV-1kV-4*6</w:t>
            </w:r>
          </w:p>
        </w:tc>
        <w:tc>
          <w:tcPr>
            <w:tcW w:w="336" w:type="pct"/>
            <w:tcBorders>
              <w:tl2br w:val="nil"/>
              <w:tr2bl w:val="nil"/>
            </w:tcBorders>
            <w:shd w:val="clear" w:color="auto" w:fill="auto"/>
            <w:vAlign w:val="center"/>
          </w:tcPr>
          <w:p w14:paraId="4374A69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90</w:t>
            </w:r>
          </w:p>
        </w:tc>
        <w:tc>
          <w:tcPr>
            <w:tcW w:w="415" w:type="pct"/>
            <w:tcBorders>
              <w:tl2br w:val="nil"/>
              <w:tr2bl w:val="nil"/>
            </w:tcBorders>
            <w:shd w:val="clear" w:color="auto" w:fill="auto"/>
            <w:vAlign w:val="center"/>
          </w:tcPr>
          <w:p w14:paraId="2E2A5B1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6EEED61F">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4D0B6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354CFB8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16</w:t>
            </w:r>
          </w:p>
        </w:tc>
        <w:tc>
          <w:tcPr>
            <w:tcW w:w="887" w:type="pct"/>
            <w:tcBorders>
              <w:tl2br w:val="nil"/>
              <w:tr2bl w:val="nil"/>
            </w:tcBorders>
            <w:shd w:val="clear" w:color="auto" w:fill="auto"/>
            <w:vAlign w:val="center"/>
          </w:tcPr>
          <w:p w14:paraId="28D37F4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电缆</w:t>
            </w:r>
          </w:p>
        </w:tc>
        <w:tc>
          <w:tcPr>
            <w:tcW w:w="2110" w:type="pct"/>
            <w:tcBorders>
              <w:tl2br w:val="nil"/>
              <w:tr2bl w:val="nil"/>
            </w:tcBorders>
            <w:shd w:val="clear" w:color="auto" w:fill="auto"/>
            <w:vAlign w:val="center"/>
          </w:tcPr>
          <w:p w14:paraId="3CA7949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YJV-1kV-3*120+1*70</w:t>
            </w:r>
          </w:p>
        </w:tc>
        <w:tc>
          <w:tcPr>
            <w:tcW w:w="336" w:type="pct"/>
            <w:tcBorders>
              <w:tl2br w:val="nil"/>
              <w:tr2bl w:val="nil"/>
            </w:tcBorders>
            <w:shd w:val="clear" w:color="auto" w:fill="auto"/>
            <w:vAlign w:val="center"/>
          </w:tcPr>
          <w:p w14:paraId="04B859A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90</w:t>
            </w:r>
          </w:p>
        </w:tc>
        <w:tc>
          <w:tcPr>
            <w:tcW w:w="415" w:type="pct"/>
            <w:tcBorders>
              <w:tl2br w:val="nil"/>
              <w:tr2bl w:val="nil"/>
            </w:tcBorders>
            <w:shd w:val="clear" w:color="auto" w:fill="auto"/>
            <w:vAlign w:val="center"/>
          </w:tcPr>
          <w:p w14:paraId="289505B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01F84473">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630758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4666D24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17</w:t>
            </w:r>
          </w:p>
        </w:tc>
        <w:tc>
          <w:tcPr>
            <w:tcW w:w="887" w:type="pct"/>
            <w:tcBorders>
              <w:tl2br w:val="nil"/>
              <w:tr2bl w:val="nil"/>
            </w:tcBorders>
            <w:shd w:val="clear" w:color="auto" w:fill="auto"/>
            <w:vAlign w:val="center"/>
          </w:tcPr>
          <w:p w14:paraId="45837B9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电缆</w:t>
            </w:r>
          </w:p>
        </w:tc>
        <w:tc>
          <w:tcPr>
            <w:tcW w:w="2110" w:type="pct"/>
            <w:tcBorders>
              <w:tl2br w:val="nil"/>
              <w:tr2bl w:val="nil"/>
            </w:tcBorders>
            <w:shd w:val="clear" w:color="auto" w:fill="auto"/>
            <w:vAlign w:val="center"/>
          </w:tcPr>
          <w:p w14:paraId="7897583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YJV-1kV-5*4</w:t>
            </w:r>
          </w:p>
        </w:tc>
        <w:tc>
          <w:tcPr>
            <w:tcW w:w="336" w:type="pct"/>
            <w:tcBorders>
              <w:tl2br w:val="nil"/>
              <w:tr2bl w:val="nil"/>
            </w:tcBorders>
            <w:shd w:val="clear" w:color="auto" w:fill="auto"/>
            <w:vAlign w:val="center"/>
          </w:tcPr>
          <w:p w14:paraId="7C248E4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60</w:t>
            </w:r>
          </w:p>
        </w:tc>
        <w:tc>
          <w:tcPr>
            <w:tcW w:w="415" w:type="pct"/>
            <w:tcBorders>
              <w:tl2br w:val="nil"/>
              <w:tr2bl w:val="nil"/>
            </w:tcBorders>
            <w:shd w:val="clear" w:color="auto" w:fill="auto"/>
            <w:vAlign w:val="center"/>
          </w:tcPr>
          <w:p w14:paraId="5465814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61EC0EAF">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109243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2AC9DFB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18</w:t>
            </w:r>
          </w:p>
        </w:tc>
        <w:tc>
          <w:tcPr>
            <w:tcW w:w="887" w:type="pct"/>
            <w:tcBorders>
              <w:tl2br w:val="nil"/>
              <w:tr2bl w:val="nil"/>
            </w:tcBorders>
            <w:shd w:val="clear" w:color="auto" w:fill="auto"/>
            <w:vAlign w:val="center"/>
          </w:tcPr>
          <w:p w14:paraId="13CD733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电缆</w:t>
            </w:r>
          </w:p>
        </w:tc>
        <w:tc>
          <w:tcPr>
            <w:tcW w:w="2110" w:type="pct"/>
            <w:tcBorders>
              <w:tl2br w:val="nil"/>
              <w:tr2bl w:val="nil"/>
            </w:tcBorders>
            <w:shd w:val="clear" w:color="auto" w:fill="auto"/>
            <w:vAlign w:val="center"/>
          </w:tcPr>
          <w:p w14:paraId="23C8953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YJV-1kV-3*25+1*16</w:t>
            </w:r>
          </w:p>
        </w:tc>
        <w:tc>
          <w:tcPr>
            <w:tcW w:w="336" w:type="pct"/>
            <w:tcBorders>
              <w:tl2br w:val="nil"/>
              <w:tr2bl w:val="nil"/>
            </w:tcBorders>
            <w:shd w:val="clear" w:color="auto" w:fill="auto"/>
            <w:vAlign w:val="center"/>
          </w:tcPr>
          <w:p w14:paraId="081504D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300</w:t>
            </w:r>
          </w:p>
        </w:tc>
        <w:tc>
          <w:tcPr>
            <w:tcW w:w="415" w:type="pct"/>
            <w:tcBorders>
              <w:tl2br w:val="nil"/>
              <w:tr2bl w:val="nil"/>
            </w:tcBorders>
            <w:shd w:val="clear" w:color="auto" w:fill="auto"/>
            <w:vAlign w:val="center"/>
          </w:tcPr>
          <w:p w14:paraId="5D274D2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4903640D">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207871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0" w:hRule="atLeast"/>
        </w:trPr>
        <w:tc>
          <w:tcPr>
            <w:tcW w:w="445" w:type="pct"/>
            <w:tcBorders>
              <w:tl2br w:val="nil"/>
              <w:tr2bl w:val="nil"/>
            </w:tcBorders>
            <w:shd w:val="clear" w:color="auto" w:fill="auto"/>
            <w:vAlign w:val="center"/>
          </w:tcPr>
          <w:p w14:paraId="28D32CD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19</w:t>
            </w:r>
          </w:p>
        </w:tc>
        <w:tc>
          <w:tcPr>
            <w:tcW w:w="887" w:type="pct"/>
            <w:tcBorders>
              <w:tl2br w:val="nil"/>
              <w:tr2bl w:val="nil"/>
            </w:tcBorders>
            <w:shd w:val="clear" w:color="auto" w:fill="auto"/>
            <w:vAlign w:val="center"/>
          </w:tcPr>
          <w:p w14:paraId="2FB3A03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电缆</w:t>
            </w:r>
          </w:p>
        </w:tc>
        <w:tc>
          <w:tcPr>
            <w:tcW w:w="2110" w:type="pct"/>
            <w:tcBorders>
              <w:tl2br w:val="nil"/>
              <w:tr2bl w:val="nil"/>
            </w:tcBorders>
            <w:shd w:val="clear" w:color="auto" w:fill="auto"/>
            <w:vAlign w:val="center"/>
          </w:tcPr>
          <w:p w14:paraId="415474A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YJV-1kV-4*2.5</w:t>
            </w:r>
          </w:p>
        </w:tc>
        <w:tc>
          <w:tcPr>
            <w:tcW w:w="336" w:type="pct"/>
            <w:tcBorders>
              <w:tl2br w:val="nil"/>
              <w:tr2bl w:val="nil"/>
            </w:tcBorders>
            <w:shd w:val="clear" w:color="auto" w:fill="auto"/>
            <w:vAlign w:val="center"/>
          </w:tcPr>
          <w:p w14:paraId="1093FAA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300</w:t>
            </w:r>
          </w:p>
        </w:tc>
        <w:tc>
          <w:tcPr>
            <w:tcW w:w="415" w:type="pct"/>
            <w:tcBorders>
              <w:tl2br w:val="nil"/>
              <w:tr2bl w:val="nil"/>
            </w:tcBorders>
            <w:shd w:val="clear" w:color="auto" w:fill="auto"/>
            <w:vAlign w:val="center"/>
          </w:tcPr>
          <w:p w14:paraId="54DF5FB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3479C42D">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BA0A1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6ED397D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20</w:t>
            </w:r>
          </w:p>
        </w:tc>
        <w:tc>
          <w:tcPr>
            <w:tcW w:w="887" w:type="pct"/>
            <w:tcBorders>
              <w:tl2br w:val="nil"/>
              <w:tr2bl w:val="nil"/>
            </w:tcBorders>
            <w:shd w:val="clear" w:color="auto" w:fill="auto"/>
            <w:vAlign w:val="center"/>
          </w:tcPr>
          <w:p w14:paraId="2A4D1A8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电缆</w:t>
            </w:r>
          </w:p>
        </w:tc>
        <w:tc>
          <w:tcPr>
            <w:tcW w:w="2110" w:type="pct"/>
            <w:tcBorders>
              <w:tl2br w:val="nil"/>
              <w:tr2bl w:val="nil"/>
            </w:tcBorders>
            <w:shd w:val="clear" w:color="auto" w:fill="auto"/>
            <w:vAlign w:val="center"/>
          </w:tcPr>
          <w:p w14:paraId="43DA34B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YJV-1kV-3*95+1*50</w:t>
            </w:r>
          </w:p>
        </w:tc>
        <w:tc>
          <w:tcPr>
            <w:tcW w:w="336" w:type="pct"/>
            <w:tcBorders>
              <w:tl2br w:val="nil"/>
              <w:tr2bl w:val="nil"/>
            </w:tcBorders>
            <w:shd w:val="clear" w:color="auto" w:fill="auto"/>
            <w:vAlign w:val="center"/>
          </w:tcPr>
          <w:p w14:paraId="565CA1C2">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300</w:t>
            </w:r>
          </w:p>
        </w:tc>
        <w:tc>
          <w:tcPr>
            <w:tcW w:w="415" w:type="pct"/>
            <w:tcBorders>
              <w:tl2br w:val="nil"/>
              <w:tr2bl w:val="nil"/>
            </w:tcBorders>
            <w:shd w:val="clear" w:color="auto" w:fill="auto"/>
            <w:vAlign w:val="center"/>
          </w:tcPr>
          <w:p w14:paraId="1BEA82D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2D24E906">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422027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35F6720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21</w:t>
            </w:r>
          </w:p>
        </w:tc>
        <w:tc>
          <w:tcPr>
            <w:tcW w:w="887" w:type="pct"/>
            <w:tcBorders>
              <w:tl2br w:val="nil"/>
              <w:tr2bl w:val="nil"/>
            </w:tcBorders>
            <w:shd w:val="clear" w:color="auto" w:fill="auto"/>
            <w:vAlign w:val="center"/>
          </w:tcPr>
          <w:p w14:paraId="6110ED14">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电缆</w:t>
            </w:r>
          </w:p>
        </w:tc>
        <w:tc>
          <w:tcPr>
            <w:tcW w:w="2110" w:type="pct"/>
            <w:tcBorders>
              <w:tl2br w:val="nil"/>
              <w:tr2bl w:val="nil"/>
            </w:tcBorders>
            <w:shd w:val="clear" w:color="auto" w:fill="auto"/>
            <w:vAlign w:val="center"/>
          </w:tcPr>
          <w:p w14:paraId="7CC148A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YJV-1kV-3*70+1*35</w:t>
            </w:r>
          </w:p>
        </w:tc>
        <w:tc>
          <w:tcPr>
            <w:tcW w:w="336" w:type="pct"/>
            <w:tcBorders>
              <w:tl2br w:val="nil"/>
              <w:tr2bl w:val="nil"/>
            </w:tcBorders>
            <w:shd w:val="clear" w:color="auto" w:fill="auto"/>
            <w:vAlign w:val="center"/>
          </w:tcPr>
          <w:p w14:paraId="760A63B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320</w:t>
            </w:r>
          </w:p>
        </w:tc>
        <w:tc>
          <w:tcPr>
            <w:tcW w:w="415" w:type="pct"/>
            <w:tcBorders>
              <w:tl2br w:val="nil"/>
              <w:tr2bl w:val="nil"/>
            </w:tcBorders>
            <w:shd w:val="clear" w:color="auto" w:fill="auto"/>
            <w:vAlign w:val="center"/>
          </w:tcPr>
          <w:p w14:paraId="6F05733F">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15A53E42">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150C7B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0D42DAF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22</w:t>
            </w:r>
          </w:p>
        </w:tc>
        <w:tc>
          <w:tcPr>
            <w:tcW w:w="887" w:type="pct"/>
            <w:tcBorders>
              <w:tl2br w:val="nil"/>
              <w:tr2bl w:val="nil"/>
            </w:tcBorders>
            <w:shd w:val="clear" w:color="auto" w:fill="auto"/>
            <w:vAlign w:val="center"/>
          </w:tcPr>
          <w:p w14:paraId="614FDC0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电缆</w:t>
            </w:r>
          </w:p>
        </w:tc>
        <w:tc>
          <w:tcPr>
            <w:tcW w:w="2110" w:type="pct"/>
            <w:tcBorders>
              <w:tl2br w:val="nil"/>
              <w:tr2bl w:val="nil"/>
            </w:tcBorders>
            <w:shd w:val="clear" w:color="auto" w:fill="auto"/>
            <w:vAlign w:val="center"/>
          </w:tcPr>
          <w:p w14:paraId="5D58A4F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YJV-1kV-3*90+2*50</w:t>
            </w:r>
          </w:p>
        </w:tc>
        <w:tc>
          <w:tcPr>
            <w:tcW w:w="336" w:type="pct"/>
            <w:tcBorders>
              <w:tl2br w:val="nil"/>
              <w:tr2bl w:val="nil"/>
            </w:tcBorders>
            <w:shd w:val="clear" w:color="auto" w:fill="auto"/>
            <w:vAlign w:val="center"/>
          </w:tcPr>
          <w:p w14:paraId="4229858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150</w:t>
            </w:r>
          </w:p>
        </w:tc>
        <w:tc>
          <w:tcPr>
            <w:tcW w:w="415" w:type="pct"/>
            <w:tcBorders>
              <w:tl2br w:val="nil"/>
              <w:tr2bl w:val="nil"/>
            </w:tcBorders>
            <w:shd w:val="clear" w:color="auto" w:fill="auto"/>
            <w:vAlign w:val="center"/>
          </w:tcPr>
          <w:p w14:paraId="14FF54E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7F4AFC13">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6C58C6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05D30A5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23</w:t>
            </w:r>
          </w:p>
        </w:tc>
        <w:tc>
          <w:tcPr>
            <w:tcW w:w="887" w:type="pct"/>
            <w:tcBorders>
              <w:tl2br w:val="nil"/>
              <w:tr2bl w:val="nil"/>
            </w:tcBorders>
            <w:shd w:val="clear" w:color="auto" w:fill="auto"/>
            <w:vAlign w:val="center"/>
          </w:tcPr>
          <w:p w14:paraId="256D8A8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电缆</w:t>
            </w:r>
          </w:p>
        </w:tc>
        <w:tc>
          <w:tcPr>
            <w:tcW w:w="2110" w:type="pct"/>
            <w:tcBorders>
              <w:tl2br w:val="nil"/>
              <w:tr2bl w:val="nil"/>
            </w:tcBorders>
            <w:shd w:val="clear" w:color="auto" w:fill="auto"/>
            <w:vAlign w:val="center"/>
          </w:tcPr>
          <w:p w14:paraId="4C5BE8A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YJV-1kV-3*120+2*70</w:t>
            </w:r>
          </w:p>
        </w:tc>
        <w:tc>
          <w:tcPr>
            <w:tcW w:w="336" w:type="pct"/>
            <w:tcBorders>
              <w:tl2br w:val="nil"/>
              <w:tr2bl w:val="nil"/>
            </w:tcBorders>
            <w:shd w:val="clear" w:color="auto" w:fill="auto"/>
            <w:vAlign w:val="center"/>
          </w:tcPr>
          <w:p w14:paraId="5C0FF3B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450</w:t>
            </w:r>
          </w:p>
        </w:tc>
        <w:tc>
          <w:tcPr>
            <w:tcW w:w="415" w:type="pct"/>
            <w:tcBorders>
              <w:tl2br w:val="nil"/>
              <w:tr2bl w:val="nil"/>
            </w:tcBorders>
            <w:shd w:val="clear" w:color="auto" w:fill="auto"/>
            <w:vAlign w:val="center"/>
          </w:tcPr>
          <w:p w14:paraId="0CBEE3A3">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741809D3">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45822D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71D05F7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24</w:t>
            </w:r>
          </w:p>
        </w:tc>
        <w:tc>
          <w:tcPr>
            <w:tcW w:w="887" w:type="pct"/>
            <w:tcBorders>
              <w:tl2br w:val="nil"/>
              <w:tr2bl w:val="nil"/>
            </w:tcBorders>
            <w:shd w:val="clear" w:color="auto" w:fill="auto"/>
            <w:vAlign w:val="center"/>
          </w:tcPr>
          <w:p w14:paraId="249849B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电缆</w:t>
            </w:r>
          </w:p>
        </w:tc>
        <w:tc>
          <w:tcPr>
            <w:tcW w:w="2110" w:type="pct"/>
            <w:tcBorders>
              <w:tl2br w:val="nil"/>
              <w:tr2bl w:val="nil"/>
            </w:tcBorders>
            <w:shd w:val="clear" w:color="auto" w:fill="auto"/>
            <w:vAlign w:val="center"/>
          </w:tcPr>
          <w:p w14:paraId="0FF1AD5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YJV-1kV-3*50+2*25</w:t>
            </w:r>
          </w:p>
        </w:tc>
        <w:tc>
          <w:tcPr>
            <w:tcW w:w="336" w:type="pct"/>
            <w:tcBorders>
              <w:tl2br w:val="nil"/>
              <w:tr2bl w:val="nil"/>
            </w:tcBorders>
            <w:shd w:val="clear" w:color="auto" w:fill="auto"/>
            <w:vAlign w:val="center"/>
          </w:tcPr>
          <w:p w14:paraId="305D17E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300</w:t>
            </w:r>
          </w:p>
        </w:tc>
        <w:tc>
          <w:tcPr>
            <w:tcW w:w="415" w:type="pct"/>
            <w:tcBorders>
              <w:tl2br w:val="nil"/>
              <w:tr2bl w:val="nil"/>
            </w:tcBorders>
            <w:shd w:val="clear" w:color="auto" w:fill="auto"/>
            <w:vAlign w:val="center"/>
          </w:tcPr>
          <w:p w14:paraId="37F08CE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351C5A03">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60A4E5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445" w:type="pct"/>
            <w:tcBorders>
              <w:tl2br w:val="nil"/>
              <w:tr2bl w:val="nil"/>
            </w:tcBorders>
            <w:shd w:val="clear" w:color="auto" w:fill="auto"/>
            <w:vAlign w:val="center"/>
          </w:tcPr>
          <w:p w14:paraId="5FFB4F5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25</w:t>
            </w:r>
          </w:p>
        </w:tc>
        <w:tc>
          <w:tcPr>
            <w:tcW w:w="887" w:type="pct"/>
            <w:tcBorders>
              <w:tl2br w:val="nil"/>
              <w:tr2bl w:val="nil"/>
            </w:tcBorders>
            <w:shd w:val="clear" w:color="auto" w:fill="auto"/>
            <w:vAlign w:val="center"/>
          </w:tcPr>
          <w:p w14:paraId="613CDA7B">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桥架</w:t>
            </w:r>
          </w:p>
        </w:tc>
        <w:tc>
          <w:tcPr>
            <w:tcW w:w="2110" w:type="pct"/>
            <w:tcBorders>
              <w:tl2br w:val="nil"/>
              <w:tr2bl w:val="nil"/>
            </w:tcBorders>
            <w:shd w:val="clear" w:color="auto" w:fill="auto"/>
            <w:vAlign w:val="center"/>
          </w:tcPr>
          <w:p w14:paraId="3CB9DE8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300*100</w:t>
            </w:r>
          </w:p>
        </w:tc>
        <w:tc>
          <w:tcPr>
            <w:tcW w:w="336" w:type="pct"/>
            <w:tcBorders>
              <w:tl2br w:val="nil"/>
              <w:tr2bl w:val="nil"/>
            </w:tcBorders>
            <w:shd w:val="clear" w:color="auto" w:fill="auto"/>
            <w:vAlign w:val="center"/>
          </w:tcPr>
          <w:p w14:paraId="5D8D5F7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w:t>
            </w:r>
          </w:p>
        </w:tc>
        <w:tc>
          <w:tcPr>
            <w:tcW w:w="415" w:type="pct"/>
            <w:tcBorders>
              <w:tl2br w:val="nil"/>
              <w:tr2bl w:val="nil"/>
            </w:tcBorders>
            <w:shd w:val="clear" w:color="auto" w:fill="auto"/>
            <w:vAlign w:val="center"/>
          </w:tcPr>
          <w:p w14:paraId="14CF7E7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6518C0B2">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3AF6CA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0" w:hRule="atLeast"/>
        </w:trPr>
        <w:tc>
          <w:tcPr>
            <w:tcW w:w="445" w:type="pct"/>
            <w:tcBorders>
              <w:tl2br w:val="nil"/>
              <w:tr2bl w:val="nil"/>
            </w:tcBorders>
            <w:shd w:val="clear" w:color="auto" w:fill="auto"/>
            <w:vAlign w:val="center"/>
          </w:tcPr>
          <w:p w14:paraId="2E8C408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26</w:t>
            </w:r>
          </w:p>
        </w:tc>
        <w:tc>
          <w:tcPr>
            <w:tcW w:w="887" w:type="pct"/>
            <w:tcBorders>
              <w:tl2br w:val="nil"/>
              <w:tr2bl w:val="nil"/>
            </w:tcBorders>
            <w:shd w:val="clear" w:color="auto" w:fill="auto"/>
            <w:vAlign w:val="center"/>
          </w:tcPr>
          <w:p w14:paraId="0EA70181">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接地材料</w:t>
            </w:r>
          </w:p>
        </w:tc>
        <w:tc>
          <w:tcPr>
            <w:tcW w:w="2110" w:type="pct"/>
            <w:tcBorders>
              <w:tl2br w:val="nil"/>
              <w:tr2bl w:val="nil"/>
            </w:tcBorders>
            <w:shd w:val="clear" w:color="auto" w:fill="auto"/>
            <w:vAlign w:val="center"/>
          </w:tcPr>
          <w:p w14:paraId="4621B5A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25*4热镀锌扁钢</w:t>
            </w:r>
          </w:p>
        </w:tc>
        <w:tc>
          <w:tcPr>
            <w:tcW w:w="336" w:type="pct"/>
            <w:tcBorders>
              <w:tl2br w:val="nil"/>
              <w:tr2bl w:val="nil"/>
            </w:tcBorders>
            <w:shd w:val="clear" w:color="auto" w:fill="auto"/>
            <w:vAlign w:val="center"/>
          </w:tcPr>
          <w:p w14:paraId="6264E13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w:t>
            </w:r>
          </w:p>
        </w:tc>
        <w:tc>
          <w:tcPr>
            <w:tcW w:w="415" w:type="pct"/>
            <w:tcBorders>
              <w:tl2br w:val="nil"/>
              <w:tr2bl w:val="nil"/>
            </w:tcBorders>
            <w:shd w:val="clear" w:color="auto" w:fill="auto"/>
            <w:vAlign w:val="center"/>
          </w:tcPr>
          <w:p w14:paraId="1609146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米</w:t>
            </w:r>
          </w:p>
        </w:tc>
        <w:tc>
          <w:tcPr>
            <w:tcW w:w="804" w:type="pct"/>
            <w:tcBorders>
              <w:tl2br w:val="nil"/>
              <w:tr2bl w:val="nil"/>
            </w:tcBorders>
            <w:shd w:val="clear" w:color="auto" w:fill="auto"/>
            <w:vAlign w:val="center"/>
          </w:tcPr>
          <w:p w14:paraId="12898541">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7BB844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0" w:hRule="atLeast"/>
        </w:trPr>
        <w:tc>
          <w:tcPr>
            <w:tcW w:w="445" w:type="pct"/>
            <w:tcBorders>
              <w:tl2br w:val="nil"/>
              <w:tr2bl w:val="nil"/>
            </w:tcBorders>
            <w:shd w:val="clear" w:color="auto" w:fill="auto"/>
            <w:vAlign w:val="center"/>
          </w:tcPr>
          <w:p w14:paraId="204A37A0">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27</w:t>
            </w:r>
          </w:p>
        </w:tc>
        <w:tc>
          <w:tcPr>
            <w:tcW w:w="887" w:type="pct"/>
            <w:tcBorders>
              <w:tl2br w:val="nil"/>
              <w:tr2bl w:val="nil"/>
            </w:tcBorders>
            <w:shd w:val="clear" w:color="auto" w:fill="auto"/>
            <w:vAlign w:val="center"/>
          </w:tcPr>
          <w:p w14:paraId="4D8908EC">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就地按钮</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箱</w:t>
            </w:r>
          </w:p>
        </w:tc>
        <w:tc>
          <w:tcPr>
            <w:tcW w:w="2110" w:type="pct"/>
            <w:tcBorders>
              <w:tl2br w:val="nil"/>
              <w:tr2bl w:val="nil"/>
            </w:tcBorders>
            <w:shd w:val="clear" w:color="auto" w:fill="auto"/>
            <w:vAlign w:val="center"/>
          </w:tcPr>
          <w:p w14:paraId="5E80B84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300*400*250不锈钢， IP55</w:t>
            </w:r>
          </w:p>
        </w:tc>
        <w:tc>
          <w:tcPr>
            <w:tcW w:w="336" w:type="pct"/>
            <w:tcBorders>
              <w:tl2br w:val="nil"/>
              <w:tr2bl w:val="nil"/>
            </w:tcBorders>
            <w:shd w:val="clear" w:color="auto" w:fill="auto"/>
            <w:vAlign w:val="center"/>
          </w:tcPr>
          <w:p w14:paraId="794D7E0E">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56</w:t>
            </w:r>
          </w:p>
        </w:tc>
        <w:tc>
          <w:tcPr>
            <w:tcW w:w="415" w:type="pct"/>
            <w:tcBorders>
              <w:tl2br w:val="nil"/>
              <w:tr2bl w:val="nil"/>
            </w:tcBorders>
            <w:shd w:val="clear" w:color="auto" w:fill="auto"/>
            <w:vAlign w:val="center"/>
          </w:tcPr>
          <w:p w14:paraId="380EA66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台</w:t>
            </w:r>
          </w:p>
        </w:tc>
        <w:tc>
          <w:tcPr>
            <w:tcW w:w="804" w:type="pct"/>
            <w:tcBorders>
              <w:tl2br w:val="nil"/>
              <w:tr2bl w:val="nil"/>
            </w:tcBorders>
            <w:shd w:val="clear" w:color="auto" w:fill="auto"/>
            <w:vAlign w:val="center"/>
          </w:tcPr>
          <w:p w14:paraId="101A879D">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14:paraId="01E17A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0" w:hRule="atLeast"/>
        </w:trPr>
        <w:tc>
          <w:tcPr>
            <w:tcW w:w="5000" w:type="pct"/>
            <w:gridSpan w:val="6"/>
            <w:tcBorders>
              <w:tl2br w:val="nil"/>
              <w:tr2bl w:val="nil"/>
            </w:tcBorders>
            <w:shd w:val="clear" w:color="auto" w:fill="auto"/>
            <w:vAlign w:val="center"/>
          </w:tcPr>
          <w:p w14:paraId="60A0326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现状厂房维修、采暖改造</w:t>
            </w:r>
          </w:p>
        </w:tc>
      </w:tr>
      <w:tr w14:paraId="726A87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445" w:type="pct"/>
            <w:tcBorders>
              <w:tl2br w:val="nil"/>
              <w:tr2bl w:val="nil"/>
            </w:tcBorders>
            <w:shd w:val="clear" w:color="auto" w:fill="auto"/>
            <w:vAlign w:val="center"/>
          </w:tcPr>
          <w:p w14:paraId="74185C5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87" w:type="pct"/>
            <w:tcBorders>
              <w:tl2br w:val="nil"/>
              <w:tr2bl w:val="nil"/>
            </w:tcBorders>
            <w:shd w:val="clear" w:color="auto" w:fill="auto"/>
            <w:vAlign w:val="center"/>
          </w:tcPr>
          <w:p w14:paraId="4E8FC878">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现状厂房</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维修</w:t>
            </w:r>
          </w:p>
        </w:tc>
        <w:tc>
          <w:tcPr>
            <w:tcW w:w="2110" w:type="pct"/>
            <w:tcBorders>
              <w:tl2br w:val="nil"/>
              <w:tr2bl w:val="nil"/>
            </w:tcBorders>
            <w:shd w:val="clear" w:color="auto" w:fill="auto"/>
            <w:vAlign w:val="center"/>
          </w:tcPr>
          <w:p w14:paraId="0A110F1B">
            <w:pPr>
              <w:keepNext w:val="0"/>
              <w:keepLines w:val="0"/>
              <w:pageBreakBefore w:val="0"/>
              <w:widowControl/>
              <w:kinsoku/>
              <w:wordWrap/>
              <w:overflowPunct/>
              <w:topLinePunct w:val="0"/>
              <w:autoSpaceDE/>
              <w:autoSpaceDN/>
              <w:bidi w:val="0"/>
              <w:adjustRightInd w:val="0"/>
              <w:snapToGrid/>
              <w:spacing w:line="240" w:lineRule="auto"/>
              <w:ind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6" w:type="pct"/>
            <w:tcBorders>
              <w:tl2br w:val="nil"/>
              <w:tr2bl w:val="nil"/>
            </w:tcBorders>
            <w:shd w:val="clear" w:color="auto" w:fill="auto"/>
            <w:vAlign w:val="center"/>
          </w:tcPr>
          <w:p w14:paraId="49004D2A">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4AB0E217">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项</w:t>
            </w:r>
          </w:p>
        </w:tc>
        <w:tc>
          <w:tcPr>
            <w:tcW w:w="804" w:type="pct"/>
            <w:tcBorders>
              <w:tl2br w:val="nil"/>
              <w:tr2bl w:val="nil"/>
            </w:tcBorders>
            <w:shd w:val="clear" w:color="auto" w:fill="auto"/>
            <w:vAlign w:val="center"/>
          </w:tcPr>
          <w:p w14:paraId="56C2A7A6">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更新</w:t>
            </w:r>
          </w:p>
        </w:tc>
      </w:tr>
      <w:tr w14:paraId="6CAB6C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5" w:hRule="atLeast"/>
        </w:trPr>
        <w:tc>
          <w:tcPr>
            <w:tcW w:w="445" w:type="pct"/>
            <w:tcBorders>
              <w:tl2br w:val="nil"/>
              <w:tr2bl w:val="nil"/>
            </w:tcBorders>
            <w:shd w:val="clear" w:color="auto" w:fill="auto"/>
            <w:vAlign w:val="center"/>
          </w:tcPr>
          <w:p w14:paraId="3E2D17B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87" w:type="pct"/>
            <w:tcBorders>
              <w:tl2br w:val="nil"/>
              <w:tr2bl w:val="nil"/>
            </w:tcBorders>
            <w:shd w:val="clear" w:color="auto" w:fill="auto"/>
            <w:vAlign w:val="center"/>
          </w:tcPr>
          <w:p w14:paraId="01740A6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现状采暖</w:t>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br w:type="textWrapping"/>
            </w: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改造</w:t>
            </w:r>
          </w:p>
        </w:tc>
        <w:tc>
          <w:tcPr>
            <w:tcW w:w="2110" w:type="pct"/>
            <w:tcBorders>
              <w:tl2br w:val="nil"/>
              <w:tr2bl w:val="nil"/>
            </w:tcBorders>
            <w:shd w:val="clear" w:color="auto" w:fill="auto"/>
            <w:vAlign w:val="center"/>
          </w:tcPr>
          <w:p w14:paraId="02CC8265">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采暖面积约3500 m²</w:t>
            </w:r>
          </w:p>
        </w:tc>
        <w:tc>
          <w:tcPr>
            <w:tcW w:w="336" w:type="pct"/>
            <w:tcBorders>
              <w:tl2br w:val="nil"/>
              <w:tr2bl w:val="nil"/>
            </w:tcBorders>
            <w:shd w:val="clear" w:color="auto" w:fill="auto"/>
            <w:vAlign w:val="center"/>
          </w:tcPr>
          <w:p w14:paraId="0CA8A34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415" w:type="pct"/>
            <w:tcBorders>
              <w:tl2br w:val="nil"/>
              <w:tr2bl w:val="nil"/>
            </w:tcBorders>
            <w:shd w:val="clear" w:color="auto" w:fill="auto"/>
            <w:vAlign w:val="center"/>
          </w:tcPr>
          <w:p w14:paraId="4E4AE5CD">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Style w:val="25"/>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项</w:t>
            </w:r>
          </w:p>
        </w:tc>
        <w:tc>
          <w:tcPr>
            <w:tcW w:w="804" w:type="pct"/>
            <w:tcBorders>
              <w:tl2br w:val="nil"/>
              <w:tr2bl w:val="nil"/>
            </w:tcBorders>
            <w:shd w:val="clear" w:color="auto" w:fill="auto"/>
            <w:vAlign w:val="center"/>
          </w:tcPr>
          <w:p w14:paraId="64719BA9">
            <w:pPr>
              <w:keepNext w:val="0"/>
              <w:keepLines w:val="0"/>
              <w:pageBreakBefore w:val="0"/>
              <w:widowControl/>
              <w:suppressLineNumbers w:val="0"/>
              <w:kinsoku/>
              <w:wordWrap/>
              <w:overflowPunct/>
              <w:topLinePunct w:val="0"/>
              <w:autoSpaceDE/>
              <w:autoSpaceDN/>
              <w:bidi w:val="0"/>
              <w:adjustRightInd w:val="0"/>
              <w:snapToGrid/>
              <w:spacing w:line="240" w:lineRule="auto"/>
              <w:ind w:firstLineChars="0"/>
              <w:jc w:val="center"/>
              <w:textAlignment w:val="top"/>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更新</w:t>
            </w:r>
          </w:p>
        </w:tc>
      </w:tr>
    </w:tbl>
    <w:p w14:paraId="4D71A245">
      <w:pPr>
        <w:keepNext w:val="0"/>
        <w:keepLines w:val="0"/>
        <w:pageBreakBefore/>
        <w:widowControl w:val="0"/>
        <w:kinsoku/>
        <w:wordWrap/>
        <w:overflowPunct/>
        <w:topLinePunct w:val="0"/>
        <w:autoSpaceDE/>
        <w:autoSpaceDN/>
        <w:bidi w:val="0"/>
        <w:adjustRightInd w:val="0"/>
        <w:snapToGrid w:val="0"/>
        <w:textAlignment w:val="auto"/>
        <w:outlineLvl w:val="1"/>
        <w:rPr>
          <w:rFonts w:hint="eastAsia" w:eastAsia="宋体"/>
          <w:b/>
          <w:bCs/>
          <w:color w:val="000000" w:themeColor="text1"/>
          <w:highlight w:val="none"/>
          <w:lang w:val="en-US" w:eastAsia="zh-CN"/>
          <w14:textFill>
            <w14:solidFill>
              <w14:schemeClr w14:val="tx1"/>
            </w14:solidFill>
          </w14:textFill>
        </w:rPr>
      </w:pPr>
      <w:r>
        <w:rPr>
          <w:rFonts w:hint="eastAsia" w:eastAsia="宋体"/>
          <w:b/>
          <w:bCs/>
          <w:color w:val="000000" w:themeColor="text1"/>
          <w:highlight w:val="none"/>
          <w:lang w:val="en-US" w:eastAsia="zh-CN"/>
          <w14:textFill>
            <w14:solidFill>
              <w14:schemeClr w14:val="tx1"/>
            </w14:solidFill>
          </w14:textFill>
        </w:rPr>
        <w:t>附件9 土地证</w:t>
      </w:r>
    </w:p>
    <w:p w14:paraId="36E661A8">
      <w:pPr>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drawing>
          <wp:inline distT="0" distB="0" distL="114300" distR="114300">
            <wp:extent cx="5246370" cy="7448550"/>
            <wp:effectExtent l="0" t="0" r="11430" b="0"/>
            <wp:docPr id="94" name="图片 94" descr="土地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土地证_01"/>
                    <pic:cNvPicPr>
                      <a:picLocks noChangeAspect="1"/>
                    </pic:cNvPicPr>
                  </pic:nvPicPr>
                  <pic:blipFill>
                    <a:blip r:embed="rId109"/>
                    <a:stretch>
                      <a:fillRect/>
                    </a:stretch>
                  </pic:blipFill>
                  <pic:spPr>
                    <a:xfrm>
                      <a:off x="0" y="0"/>
                      <a:ext cx="5246370" cy="7448550"/>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68595" cy="7588885"/>
            <wp:effectExtent l="0" t="0" r="8255" b="12065"/>
            <wp:docPr id="93" name="图片 93" descr="土地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土地证_02"/>
                    <pic:cNvPicPr>
                      <a:picLocks noChangeAspect="1"/>
                    </pic:cNvPicPr>
                  </pic:nvPicPr>
                  <pic:blipFill>
                    <a:blip r:embed="rId110"/>
                    <a:stretch>
                      <a:fillRect/>
                    </a:stretch>
                  </pic:blipFill>
                  <pic:spPr>
                    <a:xfrm>
                      <a:off x="0" y="0"/>
                      <a:ext cx="5268595" cy="7588885"/>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48910" cy="7267575"/>
            <wp:effectExtent l="0" t="0" r="8890" b="9525"/>
            <wp:docPr id="21" name="图片 21" descr="土地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土地证_03"/>
                    <pic:cNvPicPr>
                      <a:picLocks noChangeAspect="1"/>
                    </pic:cNvPicPr>
                  </pic:nvPicPr>
                  <pic:blipFill>
                    <a:blip r:embed="rId111"/>
                    <a:stretch>
                      <a:fillRect/>
                    </a:stretch>
                  </pic:blipFill>
                  <pic:spPr>
                    <a:xfrm>
                      <a:off x="0" y="0"/>
                      <a:ext cx="5248910" cy="7267575"/>
                    </a:xfrm>
                    <a:prstGeom prst="rect">
                      <a:avLst/>
                    </a:prstGeom>
                  </pic:spPr>
                </pic:pic>
              </a:graphicData>
            </a:graphic>
          </wp:inline>
        </w:drawing>
      </w:r>
      <w:r>
        <w:rPr>
          <w:rFonts w:hint="eastAsia"/>
          <w:color w:val="000000" w:themeColor="text1"/>
          <w:highlight w:val="none"/>
          <w:lang w:val="en-US" w:eastAsia="zh-CN"/>
          <w14:textFill>
            <w14:solidFill>
              <w14:schemeClr w14:val="tx1"/>
            </w14:solidFill>
          </w14:textFill>
        </w:rPr>
        <w:drawing>
          <wp:inline distT="0" distB="0" distL="114300" distR="114300">
            <wp:extent cx="5263515" cy="7423150"/>
            <wp:effectExtent l="0" t="0" r="13335" b="6350"/>
            <wp:docPr id="6" name="图片 6" descr="土地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土地证_04"/>
                    <pic:cNvPicPr>
                      <a:picLocks noChangeAspect="1"/>
                    </pic:cNvPicPr>
                  </pic:nvPicPr>
                  <pic:blipFill>
                    <a:blip r:embed="rId112"/>
                    <a:stretch>
                      <a:fillRect/>
                    </a:stretch>
                  </pic:blipFill>
                  <pic:spPr>
                    <a:xfrm>
                      <a:off x="0" y="0"/>
                      <a:ext cx="5263515" cy="7423150"/>
                    </a:xfrm>
                    <a:prstGeom prst="rect">
                      <a:avLst/>
                    </a:prstGeom>
                  </pic:spPr>
                </pic:pic>
              </a:graphicData>
            </a:graphic>
          </wp:inline>
        </w:drawing>
      </w:r>
    </w:p>
    <w:p w14:paraId="58E8F455">
      <w:pPr>
        <w:rPr>
          <w:rFonts w:hint="eastAsia"/>
          <w:color w:val="000000" w:themeColor="text1"/>
          <w:highlight w:val="none"/>
          <w:lang w:val="en-US" w:eastAsia="zh-CN"/>
          <w14:textFill>
            <w14:solidFill>
              <w14:schemeClr w14:val="tx1"/>
            </w14:solidFill>
          </w14:textFill>
        </w:rPr>
        <w:sectPr>
          <w:footerReference r:id="rId11" w:type="default"/>
          <w:pgSz w:w="11906" w:h="16838"/>
          <w:pgMar w:top="1440" w:right="1797" w:bottom="1440" w:left="1797" w:header="851" w:footer="851" w:gutter="0"/>
          <w:pgBorders>
            <w:top w:val="none" w:sz="0" w:space="0"/>
            <w:left w:val="none" w:sz="0" w:space="0"/>
            <w:bottom w:val="none" w:sz="0" w:space="0"/>
            <w:right w:val="none" w:sz="0" w:space="0"/>
          </w:pgBorders>
          <w:pgNumType w:fmt="decimal" w:start="1"/>
          <w:cols w:space="720" w:num="1"/>
          <w:docGrid w:linePitch="312" w:charSpace="0"/>
        </w:sectPr>
      </w:pPr>
    </w:p>
    <w:p w14:paraId="29A67C3D">
      <w:pPr>
        <w:pStyle w:val="2"/>
        <w:bidi w:val="0"/>
        <w:rPr>
          <w:rFonts w:hint="default"/>
          <w:color w:val="000000" w:themeColor="text1"/>
          <w:highlight w:val="none"/>
          <w:lang w:val="en-US" w:eastAsia="zh-CN"/>
          <w14:textFill>
            <w14:solidFill>
              <w14:schemeClr w14:val="tx1"/>
            </w14:solidFill>
          </w14:textFill>
        </w:rPr>
      </w:pPr>
      <w:bookmarkStart w:id="182" w:name="_Toc23975"/>
      <w:r>
        <w:rPr>
          <w:rFonts w:hint="eastAsia"/>
          <w:color w:val="000000" w:themeColor="text1"/>
          <w:highlight w:val="none"/>
          <w:lang w:val="en-US" w:eastAsia="zh-CN"/>
          <w14:textFill>
            <w14:solidFill>
              <w14:schemeClr w14:val="tx1"/>
            </w14:solidFill>
          </w14:textFill>
        </w:rPr>
        <w:t>附图</w:t>
      </w:r>
      <w:bookmarkEnd w:id="180"/>
      <w:bookmarkEnd w:id="181"/>
      <w:bookmarkEnd w:id="182"/>
    </w:p>
    <w:p w14:paraId="5107D93C">
      <w:pPr>
        <w:keepNext w:val="0"/>
        <w:keepLines w:val="0"/>
        <w:pageBreakBefore w:val="0"/>
        <w:widowControl w:val="0"/>
        <w:kinsoku/>
        <w:wordWrap/>
        <w:overflowPunct/>
        <w:topLinePunct w:val="0"/>
        <w:autoSpaceDE/>
        <w:autoSpaceDN/>
        <w:bidi w:val="0"/>
        <w:adjustRightInd w:val="0"/>
        <w:snapToGrid w:val="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附图1 本项目总平面布置图</w:t>
      </w:r>
    </w:p>
    <w:p w14:paraId="6AFAD993">
      <w:pPr>
        <w:keepNext w:val="0"/>
        <w:keepLines w:val="0"/>
        <w:pageBreakBefore w:val="0"/>
        <w:widowControl w:val="0"/>
        <w:kinsoku/>
        <w:wordWrap/>
        <w:overflowPunct/>
        <w:topLinePunct w:val="0"/>
        <w:autoSpaceDE/>
        <w:autoSpaceDN/>
        <w:bidi w:val="0"/>
        <w:adjustRightInd w:val="0"/>
        <w:snapToGrid w:val="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附图2 项目工艺流程图</w:t>
      </w:r>
    </w:p>
    <w:p w14:paraId="6B4B13CC">
      <w:pPr>
        <w:keepNext w:val="0"/>
        <w:keepLines w:val="0"/>
        <w:pageBreakBefore w:val="0"/>
        <w:widowControl w:val="0"/>
        <w:kinsoku/>
        <w:wordWrap/>
        <w:overflowPunct/>
        <w:topLinePunct w:val="0"/>
        <w:autoSpaceDE/>
        <w:autoSpaceDN/>
        <w:bidi w:val="0"/>
        <w:adjustRightInd w:val="0"/>
        <w:snapToGrid w:val="0"/>
        <w:textAlignment w:val="auto"/>
        <w:rPr>
          <w:rFonts w:hint="eastAsia"/>
          <w:b/>
          <w:bCs/>
          <w:color w:val="000000" w:themeColor="text1"/>
          <w:highlight w:val="none"/>
          <w:lang w:val="en-US" w:eastAsia="zh-CN"/>
          <w14:textFill>
            <w14:solidFill>
              <w14:schemeClr w14:val="tx1"/>
            </w14:solidFill>
          </w14:textFill>
        </w:rPr>
      </w:pPr>
    </w:p>
    <w:p w14:paraId="32438D2C">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p>
    <w:p w14:paraId="31BABDA8">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p>
    <w:p w14:paraId="262ECA92">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p>
    <w:p w14:paraId="28499F8C">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sectPr>
          <w:footerReference r:id="rId12" w:type="default"/>
          <w:pgSz w:w="11906" w:h="16838"/>
          <w:pgMar w:top="1440" w:right="1797" w:bottom="1440" w:left="1797" w:header="851" w:footer="851" w:gutter="0"/>
          <w:pgBorders>
            <w:top w:val="none" w:sz="0" w:space="0"/>
            <w:left w:val="none" w:sz="0" w:space="0"/>
            <w:bottom w:val="none" w:sz="0" w:space="0"/>
            <w:right w:val="none" w:sz="0" w:space="0"/>
          </w:pgBorders>
          <w:pgNumType w:fmt="decimal" w:start="1"/>
          <w:cols w:space="720" w:num="1"/>
          <w:docGrid w:linePitch="312" w:charSpace="0"/>
        </w:sectPr>
      </w:pPr>
    </w:p>
    <w:p w14:paraId="2369B31A">
      <w:pPr>
        <w:keepNext w:val="0"/>
        <w:keepLines w:val="0"/>
        <w:pageBreakBefore/>
        <w:widowControl w:val="0"/>
        <w:kinsoku/>
        <w:wordWrap/>
        <w:overflowPunct/>
        <w:topLinePunct w:val="0"/>
        <w:autoSpaceDE/>
        <w:autoSpaceDN/>
        <w:bidi w:val="0"/>
        <w:adjustRightInd w:val="0"/>
        <w:snapToGrid w:val="0"/>
        <w:textAlignment w:val="auto"/>
        <w:outlineLvl w:val="1"/>
        <w:rPr>
          <w:rFonts w:hint="default" w:eastAsia="宋体"/>
          <w:b/>
          <w:bCs/>
          <w:color w:val="000000" w:themeColor="text1"/>
          <w:highlight w:val="none"/>
          <w:lang w:val="en-US" w:eastAsia="zh-CN"/>
          <w14:textFill>
            <w14:solidFill>
              <w14:schemeClr w14:val="tx1"/>
            </w14:solidFill>
          </w14:textFill>
        </w:rPr>
      </w:pPr>
      <w:bookmarkStart w:id="183" w:name="_Toc5170"/>
      <w:bookmarkStart w:id="184" w:name="_Toc20509"/>
      <w:bookmarkStart w:id="185" w:name="_Toc18030"/>
      <w:r>
        <w:rPr>
          <w:rFonts w:hint="eastAsia" w:eastAsia="宋体"/>
          <w:b/>
          <w:bCs/>
          <w:color w:val="000000" w:themeColor="text1"/>
          <w:highlight w:val="none"/>
          <w:lang w:val="en-US" w:eastAsia="zh-CN"/>
          <w14:textFill>
            <w14:solidFill>
              <w14:schemeClr w14:val="tx1"/>
            </w14:solidFill>
          </w14:textFill>
        </w:rPr>
        <w:t>附图1</w:t>
      </w:r>
      <w:r>
        <w:rPr>
          <w:rFonts w:hint="eastAsia"/>
          <w:b/>
          <w:bCs/>
          <w:color w:val="000000" w:themeColor="text1"/>
          <w:highlight w:val="none"/>
          <w:lang w:val="en-US" w:eastAsia="zh-CN"/>
          <w14:textFill>
            <w14:solidFill>
              <w14:schemeClr w14:val="tx1"/>
            </w14:solidFill>
          </w14:textFill>
        </w:rPr>
        <w:t xml:space="preserve"> </w:t>
      </w:r>
      <w:r>
        <w:rPr>
          <w:rFonts w:hint="eastAsia" w:eastAsia="宋体"/>
          <w:b/>
          <w:bCs/>
          <w:color w:val="000000" w:themeColor="text1"/>
          <w:highlight w:val="none"/>
          <w:lang w:val="en-US" w:eastAsia="zh-CN"/>
          <w14:textFill>
            <w14:solidFill>
              <w14:schemeClr w14:val="tx1"/>
            </w14:solidFill>
          </w14:textFill>
        </w:rPr>
        <w:t>本项目总平面布置图</w:t>
      </w:r>
      <w:bookmarkEnd w:id="183"/>
      <w:bookmarkEnd w:id="184"/>
      <w:bookmarkEnd w:id="185"/>
    </w:p>
    <w:p w14:paraId="67710EB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drawing>
          <wp:inline distT="0" distB="0" distL="114300" distR="114300">
            <wp:extent cx="7331710" cy="5219700"/>
            <wp:effectExtent l="0" t="0" r="2540" b="0"/>
            <wp:docPr id="77" name="图片 77" descr="V2版图册—磴口一期污水处理厂升级改造项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V2版图册—磴口一期污水处理厂升级改造项目_02"/>
                    <pic:cNvPicPr>
                      <a:picLocks noChangeAspect="1"/>
                    </pic:cNvPicPr>
                  </pic:nvPicPr>
                  <pic:blipFill>
                    <a:blip r:embed="rId113"/>
                    <a:stretch>
                      <a:fillRect/>
                    </a:stretch>
                  </pic:blipFill>
                  <pic:spPr>
                    <a:xfrm>
                      <a:off x="0" y="0"/>
                      <a:ext cx="7331710" cy="5219700"/>
                    </a:xfrm>
                    <a:prstGeom prst="rect">
                      <a:avLst/>
                    </a:prstGeom>
                  </pic:spPr>
                </pic:pic>
              </a:graphicData>
            </a:graphic>
          </wp:inline>
        </w:drawing>
      </w:r>
    </w:p>
    <w:p w14:paraId="39317C01">
      <w:pPr>
        <w:keepNext w:val="0"/>
        <w:keepLines w:val="0"/>
        <w:pageBreakBefore/>
        <w:widowControl w:val="0"/>
        <w:kinsoku/>
        <w:wordWrap/>
        <w:overflowPunct/>
        <w:topLinePunct w:val="0"/>
        <w:autoSpaceDE/>
        <w:autoSpaceDN/>
        <w:bidi w:val="0"/>
        <w:adjustRightInd w:val="0"/>
        <w:snapToGrid w:val="0"/>
        <w:textAlignment w:val="auto"/>
        <w:outlineLvl w:val="1"/>
        <w:rPr>
          <w:rFonts w:hint="default" w:eastAsia="宋体"/>
          <w:b/>
          <w:bCs/>
          <w:color w:val="000000" w:themeColor="text1"/>
          <w:highlight w:val="none"/>
          <w:lang w:val="en-US" w:eastAsia="zh-CN"/>
          <w14:textFill>
            <w14:solidFill>
              <w14:schemeClr w14:val="tx1"/>
            </w14:solidFill>
          </w14:textFill>
        </w:rPr>
      </w:pPr>
      <w:bookmarkStart w:id="186" w:name="_Toc6391"/>
      <w:bookmarkStart w:id="187" w:name="_Toc1666"/>
      <w:bookmarkStart w:id="188" w:name="_Toc1083"/>
      <w:r>
        <w:rPr>
          <w:rFonts w:hint="eastAsia" w:eastAsia="宋体"/>
          <w:b/>
          <w:bCs/>
          <w:color w:val="000000" w:themeColor="text1"/>
          <w:highlight w:val="none"/>
          <w:lang w:val="en-US" w:eastAsia="zh-CN"/>
          <w14:textFill>
            <w14:solidFill>
              <w14:schemeClr w14:val="tx1"/>
            </w14:solidFill>
          </w14:textFill>
        </w:rPr>
        <w:t>附图2</w:t>
      </w:r>
      <w:r>
        <w:rPr>
          <w:rFonts w:hint="eastAsia"/>
          <w:b/>
          <w:bCs/>
          <w:color w:val="000000" w:themeColor="text1"/>
          <w:highlight w:val="none"/>
          <w:lang w:val="en-US" w:eastAsia="zh-CN"/>
          <w14:textFill>
            <w14:solidFill>
              <w14:schemeClr w14:val="tx1"/>
            </w14:solidFill>
          </w14:textFill>
        </w:rPr>
        <w:t xml:space="preserve"> </w:t>
      </w:r>
      <w:r>
        <w:rPr>
          <w:rFonts w:hint="eastAsia" w:eastAsia="宋体"/>
          <w:b/>
          <w:bCs/>
          <w:color w:val="000000" w:themeColor="text1"/>
          <w:highlight w:val="none"/>
          <w:lang w:val="en-US" w:eastAsia="zh-CN"/>
          <w14:textFill>
            <w14:solidFill>
              <w14:schemeClr w14:val="tx1"/>
            </w14:solidFill>
          </w14:textFill>
        </w:rPr>
        <w:t>项目工艺流程图</w:t>
      </w:r>
      <w:bookmarkEnd w:id="186"/>
      <w:bookmarkEnd w:id="187"/>
      <w:bookmarkEnd w:id="188"/>
    </w:p>
    <w:p w14:paraId="02343EB0">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drawing>
          <wp:inline distT="0" distB="0" distL="114300" distR="114300">
            <wp:extent cx="8338185" cy="2475230"/>
            <wp:effectExtent l="0" t="0" r="5715" b="1270"/>
            <wp:docPr id="78" name="图片 78" descr="V2版图册—磴口一期污水处理厂升级改造项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V2版图册—磴口一期污水处理厂升级改造项目_03"/>
                    <pic:cNvPicPr>
                      <a:picLocks noChangeAspect="1"/>
                    </pic:cNvPicPr>
                  </pic:nvPicPr>
                  <pic:blipFill>
                    <a:blip r:embed="rId114"/>
                    <a:stretch>
                      <a:fillRect/>
                    </a:stretch>
                  </pic:blipFill>
                  <pic:spPr>
                    <a:xfrm>
                      <a:off x="0" y="0"/>
                      <a:ext cx="8338185" cy="2475230"/>
                    </a:xfrm>
                    <a:prstGeom prst="rect">
                      <a:avLst/>
                    </a:prstGeom>
                  </pic:spPr>
                </pic:pic>
              </a:graphicData>
            </a:graphic>
          </wp:inline>
        </w:drawing>
      </w:r>
    </w:p>
    <w:p w14:paraId="7BA8AF3A">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p>
    <w:p w14:paraId="45138F59">
      <w:pPr>
        <w:keepNext w:val="0"/>
        <w:keepLines w:val="0"/>
        <w:pageBreakBefore/>
        <w:widowControl w:val="0"/>
        <w:kinsoku/>
        <w:wordWrap/>
        <w:overflowPunct/>
        <w:topLinePunct w:val="0"/>
        <w:autoSpaceDE/>
        <w:autoSpaceDN/>
        <w:bidi w:val="0"/>
        <w:adjustRightInd w:val="0"/>
        <w:snapToGrid w:val="0"/>
        <w:textAlignment w:val="auto"/>
        <w:outlineLvl w:val="1"/>
        <w:rPr>
          <w:rFonts w:hint="default" w:eastAsia="宋体"/>
          <w:b/>
          <w:bCs/>
          <w:color w:val="000000" w:themeColor="text1"/>
          <w:highlight w:val="none"/>
          <w:lang w:val="en-US" w:eastAsia="zh-CN"/>
          <w14:textFill>
            <w14:solidFill>
              <w14:schemeClr w14:val="tx1"/>
            </w14:solidFill>
          </w14:textFill>
        </w:rPr>
      </w:pPr>
      <w:bookmarkStart w:id="189" w:name="_Toc27792"/>
      <w:r>
        <w:rPr>
          <w:rFonts w:hint="eastAsia" w:eastAsia="宋体"/>
          <w:b/>
          <w:bCs/>
          <w:color w:val="000000" w:themeColor="text1"/>
          <w:highlight w:val="none"/>
          <w:lang w:val="en-US" w:eastAsia="zh-CN"/>
          <w14:textFill>
            <w14:solidFill>
              <w14:schemeClr w14:val="tx1"/>
            </w14:solidFill>
          </w14:textFill>
        </w:rPr>
        <w:t>附图</w:t>
      </w:r>
      <w:r>
        <w:rPr>
          <w:rFonts w:hint="eastAsia"/>
          <w:b/>
          <w:bCs/>
          <w:color w:val="000000" w:themeColor="text1"/>
          <w:highlight w:val="none"/>
          <w:lang w:val="en-US" w:eastAsia="zh-CN"/>
          <w14:textFill>
            <w14:solidFill>
              <w14:schemeClr w14:val="tx1"/>
            </w14:solidFill>
          </w14:textFill>
        </w:rPr>
        <w:t>3 项目地理位置图</w:t>
      </w:r>
      <w:bookmarkEnd w:id="189"/>
    </w:p>
    <w:p w14:paraId="19C2E0F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drawing>
          <wp:inline distT="0" distB="0" distL="114300" distR="114300">
            <wp:extent cx="7122160" cy="5036820"/>
            <wp:effectExtent l="0" t="0" r="2540" b="11430"/>
            <wp:docPr id="91" name="图片 91" descr="298-299磴口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298-299磴口县"/>
                    <pic:cNvPicPr>
                      <a:picLocks noChangeAspect="1"/>
                    </pic:cNvPicPr>
                  </pic:nvPicPr>
                  <pic:blipFill>
                    <a:blip r:embed="rId115"/>
                    <a:stretch>
                      <a:fillRect/>
                    </a:stretch>
                  </pic:blipFill>
                  <pic:spPr>
                    <a:xfrm>
                      <a:off x="0" y="0"/>
                      <a:ext cx="7122160" cy="5036820"/>
                    </a:xfrm>
                    <a:prstGeom prst="rect">
                      <a:avLst/>
                    </a:prstGeom>
                  </pic:spPr>
                </pic:pic>
              </a:graphicData>
            </a:graphic>
          </wp:inline>
        </w:drawing>
      </w:r>
    </w:p>
    <w:p w14:paraId="105202E4">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p>
    <w:p w14:paraId="2161BC4F">
      <w:pPr>
        <w:keepNext w:val="0"/>
        <w:keepLines w:val="0"/>
        <w:pageBreakBefore w:val="0"/>
        <w:widowControl w:val="0"/>
        <w:kinsoku/>
        <w:wordWrap/>
        <w:overflowPunct/>
        <w:topLinePunct w:val="0"/>
        <w:autoSpaceDE/>
        <w:autoSpaceDN/>
        <w:bidi w:val="0"/>
        <w:adjustRightInd w:val="0"/>
        <w:snapToGrid w:val="0"/>
        <w:textAlignment w:val="auto"/>
        <w:rPr>
          <w:rFonts w:hint="eastAsia"/>
          <w:color w:val="000000" w:themeColor="text1"/>
          <w:highlight w:val="none"/>
          <w:lang w:val="en-US" w:eastAsia="zh-CN"/>
          <w14:textFill>
            <w14:solidFill>
              <w14:schemeClr w14:val="tx1"/>
            </w14:solidFill>
          </w14:textFill>
        </w:rPr>
      </w:pPr>
    </w:p>
    <w:sectPr>
      <w:footerReference r:id="rId13" w:type="default"/>
      <w:pgSz w:w="16838" w:h="11906" w:orient="landscape"/>
      <w:pgMar w:top="1440" w:right="1797" w:bottom="1440" w:left="1797" w:header="851" w:footer="851" w:gutter="0"/>
      <w:pgBorders>
        <w:top w:val="none" w:sz="0" w:space="0"/>
        <w:left w:val="none" w:sz="0" w:space="0"/>
        <w:bottom w:val="none" w:sz="0" w:space="0"/>
        <w:right w:val="none" w:sz="0" w:space="0"/>
      </w:pgBorders>
      <w:pgNumType w:fmt="decimal" w:start="1"/>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01"/>
    <w:family w:val="roman"/>
    <w:pitch w:val="default"/>
    <w:sig w:usb0="00000000" w:usb1="00000000"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altName w:val="MathJax_Vector"/>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MathJax_Vector"/>
    <w:panose1 w:val="05050102010706020507"/>
    <w:charset w:val="02"/>
    <w:family w:val="roman"/>
    <w:pitch w:val="default"/>
    <w:sig w:usb0="00000000" w:usb1="00000000" w:usb2="00000000" w:usb3="00000000" w:csb0="80000000" w:csb1="00000000"/>
  </w:font>
  <w:font w:name="DejaVu Sans">
    <w:panose1 w:val="020B0603030804020204"/>
    <w:charset w:val="00"/>
    <w:family w:val="auto"/>
    <w:pitch w:val="default"/>
    <w:sig w:usb0="E7006EFF" w:usb1="D200FDFF" w:usb2="0A246029" w:usb3="0400200C" w:csb0="600001FF" w:csb1="DFFF0000"/>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楷体_GB2312">
    <w:altName w:val="方正楷体_GBK"/>
    <w:panose1 w:val="02010609030101010101"/>
    <w:charset w:val="86"/>
    <w:family w:val="modern"/>
    <w:pitch w:val="default"/>
    <w:sig w:usb0="00000000" w:usb1="00000000" w:usb2="00000000" w:usb3="00000000" w:csb0="00040000" w:csb1="00000000"/>
  </w:font>
  <w:font w:name="方正楷体_GBK">
    <w:panose1 w:val="02000000000000000000"/>
    <w:charset w:val="86"/>
    <w:family w:val="auto"/>
    <w:pitch w:val="default"/>
    <w:sig w:usb0="00000001" w:usb1="08000000" w:usb2="00000000" w:usb3="00000000" w:csb0="00040000" w:csb1="00000000"/>
  </w:font>
  <w:font w:name="华文楷体">
    <w:panose1 w:val="02010600040101010101"/>
    <w:charset w:val="86"/>
    <w:family w:val="auto"/>
    <w:pitch w:val="default"/>
    <w:sig w:usb0="00000287" w:usb1="080F0000" w:usb2="00000000" w:usb3="00000000" w:csb0="0004009F" w:csb1="DFD70000"/>
  </w:font>
  <w:font w:name="仿宋_GB2312">
    <w:altName w:val="方正仿宋_GBK"/>
    <w:panose1 w:val="02010609030101010101"/>
    <w:charset w:val="86"/>
    <w:family w:val="modern"/>
    <w:pitch w:val="default"/>
    <w:sig w:usb0="00000000" w:usb1="00000000" w:usb2="00000000" w:usb3="00000000" w:csb0="00040000" w:csb1="00000000"/>
  </w:font>
  <w:font w:name="方正仿宋_GBK">
    <w:panose1 w:val="02000000000000000000"/>
    <w:charset w:val="86"/>
    <w:family w:val="auto"/>
    <w:pitch w:val="default"/>
    <w:sig w:usb0="00000001" w:usb1="08000000" w:usb2="00000000" w:usb3="00000000" w:csb0="00040000" w:csb1="00000000"/>
  </w:font>
  <w:font w:name="方正黑体_GBK">
    <w:panose1 w:val="02000000000000000000"/>
    <w:charset w:val="86"/>
    <w:family w:val="auto"/>
    <w:pitch w:val="default"/>
    <w:sig w:usb0="00000001" w:usb1="08000000" w:usb2="00000000" w:usb3="00000000" w:csb0="00040000" w:csb1="00000000"/>
  </w:font>
  <w:font w:name="Cambria Math">
    <w:altName w:val="DejaVu Math TeX Gyre"/>
    <w:panose1 w:val="02040503050406030204"/>
    <w:charset w:val="00"/>
    <w:family w:val="auto"/>
    <w:pitch w:val="default"/>
    <w:sig w:usb0="00000000" w:usb1="00000000" w:usb2="02000000" w:usb3="00000000" w:csb0="2000019F" w:csb1="00000000"/>
  </w:font>
  <w:font w:name="DejaVu Math TeX Gyre">
    <w:panose1 w:val="02000503000000000000"/>
    <w:charset w:val="00"/>
    <w:family w:val="auto"/>
    <w:pitch w:val="default"/>
    <w:sig w:usb0="A10000EF" w:usb1="4201F9EE" w:usb2="02000000" w:usb3="00000000" w:csb0="60000193" w:csb1="0DD40000"/>
  </w:font>
  <w:font w:name="微软雅黑">
    <w:altName w:val="方正黑体_GBK"/>
    <w:panose1 w:val="020B0503020204020204"/>
    <w:charset w:val="86"/>
    <w:family w:val="auto"/>
    <w:pitch w:val="default"/>
    <w:sig w:usb0="00000000" w:usb1="00000000" w:usb2="00000016" w:usb3="00000000" w:csb0="0004001F" w:csb1="00000000"/>
  </w:font>
  <w:font w:name="方正小标宋_GBK">
    <w:panose1 w:val="02000000000000000000"/>
    <w:charset w:val="86"/>
    <w:family w:val="script"/>
    <w:pitch w:val="default"/>
    <w:sig w:usb0="00000001" w:usb1="08000000" w:usb2="00000000" w:usb3="00000000" w:csb0="00040000" w:csb1="00000000"/>
  </w:font>
  <w:font w:name="方正小标宋简体">
    <w:panose1 w:val="02000000000000000000"/>
    <w:charset w:val="86"/>
    <w:family w:val="auto"/>
    <w:pitch w:val="default"/>
    <w:sig w:usb0="A00002BF" w:usb1="184F6CFA" w:usb2="00000012" w:usb3="00000000" w:csb0="00040001" w:csb1="00000000"/>
  </w:font>
  <w:font w:name="文泉驿等宽正黑">
    <w:panose1 w:val="02000603000000000000"/>
    <w:charset w:val="86"/>
    <w:family w:val="auto"/>
    <w:pitch w:val="default"/>
    <w:sig w:usb0="900002BF" w:usb1="2BDF7DFB" w:usb2="00000036" w:usb3="00000000" w:csb0="603E000D" w:csb1="D2D70000"/>
  </w:font>
  <w:font w:name="MathJax_Vector">
    <w:panose1 w:val="02000603000000000000"/>
    <w:charset w:val="00"/>
    <w:family w:val="auto"/>
    <w:pitch w:val="default"/>
    <w:sig w:usb0="00000001" w:usb1="0000002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D06F38">
    <w:pPr>
      <w:tabs>
        <w:tab w:val="center" w:pos="4153"/>
        <w:tab w:val="right" w:pos="8306"/>
      </w:tabs>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09F01B">
    <w:pPr>
      <w:tabs>
        <w:tab w:val="center" w:pos="4153"/>
        <w:tab w:val="right" w:pos="8306"/>
      </w:tabs>
      <w:ind w:right="360" w:firstLine="360"/>
      <w:jc w:val="center"/>
    </w:pPr>
    <w:r>
      <w:rPr>
        <w:sz w:val="24"/>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E015AC">
                          <w:pPr>
                            <w:tabs>
                              <w:tab w:val="center" w:pos="4153"/>
                              <w:tab w:val="right" w:pos="8306"/>
                            </w:tabs>
                            <w:rPr>
                              <w:rStyle w:val="16"/>
                              <w:rFonts w:ascii="宋体" w:hAnsi="宋体"/>
                              <w:sz w:val="28"/>
                              <w:szCs w:val="28"/>
                            </w:rPr>
                          </w:pPr>
                          <w:r>
                            <w:rPr>
                              <w:rStyle w:val="16"/>
                              <w:rFonts w:hint="eastAsia" w:ascii="宋体" w:hAnsi="宋体"/>
                              <w:sz w:val="28"/>
                              <w:szCs w:val="28"/>
                            </w:rPr>
                            <w:t>—</w:t>
                          </w:r>
                          <w:r>
                            <w:rPr>
                              <w:rStyle w:val="16"/>
                              <w:rFonts w:hint="eastAsia" w:ascii="宋体" w:hAnsi="宋体"/>
                              <w:sz w:val="20"/>
                            </w:rPr>
                            <w:t xml:space="preserve">  </w:t>
                          </w:r>
                          <w:r>
                            <w:rPr>
                              <w:rStyle w:val="16"/>
                              <w:rFonts w:ascii="宋体" w:hAnsi="宋体"/>
                              <w:sz w:val="26"/>
                              <w:szCs w:val="26"/>
                            </w:rPr>
                            <w:fldChar w:fldCharType="begin"/>
                          </w:r>
                          <w:r>
                            <w:rPr>
                              <w:rStyle w:val="16"/>
                              <w:rFonts w:ascii="宋体" w:hAnsi="宋体"/>
                              <w:sz w:val="26"/>
                              <w:szCs w:val="26"/>
                            </w:rPr>
                            <w:instrText xml:space="preserve">PAGE  </w:instrText>
                          </w:r>
                          <w:r>
                            <w:rPr>
                              <w:rStyle w:val="16"/>
                              <w:rFonts w:ascii="宋体" w:hAnsi="宋体"/>
                              <w:sz w:val="26"/>
                              <w:szCs w:val="26"/>
                            </w:rPr>
                            <w:fldChar w:fldCharType="separate"/>
                          </w:r>
                          <w:r>
                            <w:rPr>
                              <w:rStyle w:val="16"/>
                              <w:rFonts w:ascii="宋体" w:hAnsi="宋体"/>
                              <w:sz w:val="26"/>
                              <w:szCs w:val="26"/>
                            </w:rPr>
                            <w:t>7</w:t>
                          </w:r>
                          <w:r>
                            <w:rPr>
                              <w:rStyle w:val="16"/>
                              <w:rFonts w:ascii="宋体" w:hAnsi="宋体"/>
                              <w:sz w:val="26"/>
                              <w:szCs w:val="26"/>
                            </w:rPr>
                            <w:fldChar w:fldCharType="end"/>
                          </w:r>
                          <w:r>
                            <w:rPr>
                              <w:rStyle w:val="16"/>
                              <w:rFonts w:hint="eastAsia" w:ascii="宋体" w:hAnsi="宋体"/>
                              <w:sz w:val="20"/>
                            </w:rPr>
                            <w:t xml:space="preserve">  </w:t>
                          </w:r>
                          <w:r>
                            <w:rPr>
                              <w:rStyle w:val="16"/>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3cvA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7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3cvAzAgAAYwQAAA4AAAAAAAAAAQAgAAAAHwEAAGRycy9lMm9Eb2MueG1sUEsF&#10;BgAAAAAGAAYAWQEAAMQFAAAAAA==&#10;">
              <v:fill on="f" focussize="0,0"/>
              <v:stroke on="f" weight="0.5pt"/>
              <v:imagedata o:title=""/>
              <o:lock v:ext="edit" aspectratio="f"/>
              <v:textbox inset="0mm,0mm,0mm,0mm" style="mso-fit-shape-to-text:t;">
                <w:txbxContent>
                  <w:p w14:paraId="28E015AC">
                    <w:pPr>
                      <w:tabs>
                        <w:tab w:val="center" w:pos="4153"/>
                        <w:tab w:val="right" w:pos="8306"/>
                      </w:tabs>
                      <w:rPr>
                        <w:rStyle w:val="16"/>
                        <w:rFonts w:ascii="宋体" w:hAnsi="宋体"/>
                        <w:sz w:val="28"/>
                        <w:szCs w:val="28"/>
                      </w:rPr>
                    </w:pPr>
                    <w:r>
                      <w:rPr>
                        <w:rStyle w:val="16"/>
                        <w:rFonts w:hint="eastAsia" w:ascii="宋体" w:hAnsi="宋体"/>
                        <w:sz w:val="28"/>
                        <w:szCs w:val="28"/>
                      </w:rPr>
                      <w:t>—</w:t>
                    </w:r>
                    <w:r>
                      <w:rPr>
                        <w:rStyle w:val="16"/>
                        <w:rFonts w:hint="eastAsia" w:ascii="宋体" w:hAnsi="宋体"/>
                        <w:sz w:val="20"/>
                      </w:rPr>
                      <w:t xml:space="preserve">  </w:t>
                    </w:r>
                    <w:r>
                      <w:rPr>
                        <w:rStyle w:val="16"/>
                        <w:rFonts w:ascii="宋体" w:hAnsi="宋体"/>
                        <w:sz w:val="26"/>
                        <w:szCs w:val="26"/>
                      </w:rPr>
                      <w:fldChar w:fldCharType="begin"/>
                    </w:r>
                    <w:r>
                      <w:rPr>
                        <w:rStyle w:val="16"/>
                        <w:rFonts w:ascii="宋体" w:hAnsi="宋体"/>
                        <w:sz w:val="26"/>
                        <w:szCs w:val="26"/>
                      </w:rPr>
                      <w:instrText xml:space="preserve">PAGE  </w:instrText>
                    </w:r>
                    <w:r>
                      <w:rPr>
                        <w:rStyle w:val="16"/>
                        <w:rFonts w:ascii="宋体" w:hAnsi="宋体"/>
                        <w:sz w:val="26"/>
                        <w:szCs w:val="26"/>
                      </w:rPr>
                      <w:fldChar w:fldCharType="separate"/>
                    </w:r>
                    <w:r>
                      <w:rPr>
                        <w:rStyle w:val="16"/>
                        <w:rFonts w:ascii="宋体" w:hAnsi="宋体"/>
                        <w:sz w:val="26"/>
                        <w:szCs w:val="26"/>
                      </w:rPr>
                      <w:t>7</w:t>
                    </w:r>
                    <w:r>
                      <w:rPr>
                        <w:rStyle w:val="16"/>
                        <w:rFonts w:ascii="宋体" w:hAnsi="宋体"/>
                        <w:sz w:val="26"/>
                        <w:szCs w:val="26"/>
                      </w:rPr>
                      <w:fldChar w:fldCharType="end"/>
                    </w:r>
                    <w:r>
                      <w:rPr>
                        <w:rStyle w:val="16"/>
                        <w:rFonts w:hint="eastAsia" w:ascii="宋体" w:hAnsi="宋体"/>
                        <w:sz w:val="20"/>
                      </w:rPr>
                      <w:t xml:space="preserve">  </w:t>
                    </w:r>
                    <w:r>
                      <w:rPr>
                        <w:rStyle w:val="16"/>
                        <w:rFonts w:hint="eastAsia" w:ascii="宋体" w:hAnsi="宋体"/>
                        <w:sz w:val="28"/>
                        <w:szCs w:val="28"/>
                      </w:rPr>
                      <w:t>—</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C17088">
    <w:pPr>
      <w:tabs>
        <w:tab w:val="center" w:pos="4153"/>
        <w:tab w:val="right" w:pos="8306"/>
      </w:tabs>
      <w:ind w:right="360" w:firstLine="360"/>
      <w:jc w:val="center"/>
    </w:pPr>
    <w:r>
      <w:rPr>
        <w:sz w:val="24"/>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23EB81">
                          <w:pPr>
                            <w:tabs>
                              <w:tab w:val="center" w:pos="4153"/>
                              <w:tab w:val="right" w:pos="8306"/>
                            </w:tabs>
                            <w:rPr>
                              <w:rStyle w:val="16"/>
                              <w:rFonts w:ascii="宋体" w:hAnsi="宋体"/>
                              <w:sz w:val="28"/>
                              <w:szCs w:val="28"/>
                            </w:rPr>
                          </w:pPr>
                          <w:r>
                            <w:rPr>
                              <w:rStyle w:val="16"/>
                              <w:rFonts w:hint="eastAsia" w:ascii="宋体" w:hAnsi="宋体"/>
                              <w:sz w:val="28"/>
                              <w:szCs w:val="28"/>
                            </w:rPr>
                            <w:t>—</w:t>
                          </w:r>
                          <w:r>
                            <w:rPr>
                              <w:rStyle w:val="16"/>
                              <w:rFonts w:hint="eastAsia" w:ascii="宋体" w:hAnsi="宋体"/>
                              <w:sz w:val="20"/>
                            </w:rPr>
                            <w:t xml:space="preserve">  </w:t>
                          </w:r>
                          <w:r>
                            <w:rPr>
                              <w:rStyle w:val="16"/>
                              <w:rFonts w:ascii="宋体" w:hAnsi="宋体"/>
                              <w:sz w:val="26"/>
                              <w:szCs w:val="26"/>
                            </w:rPr>
                            <w:fldChar w:fldCharType="begin"/>
                          </w:r>
                          <w:r>
                            <w:rPr>
                              <w:rStyle w:val="16"/>
                              <w:rFonts w:ascii="宋体" w:hAnsi="宋体"/>
                              <w:sz w:val="26"/>
                              <w:szCs w:val="26"/>
                            </w:rPr>
                            <w:instrText xml:space="preserve">PAGE  </w:instrText>
                          </w:r>
                          <w:r>
                            <w:rPr>
                              <w:rStyle w:val="16"/>
                              <w:rFonts w:ascii="宋体" w:hAnsi="宋体"/>
                              <w:sz w:val="26"/>
                              <w:szCs w:val="26"/>
                            </w:rPr>
                            <w:fldChar w:fldCharType="separate"/>
                          </w:r>
                          <w:r>
                            <w:rPr>
                              <w:rStyle w:val="16"/>
                              <w:rFonts w:ascii="宋体" w:hAnsi="宋体"/>
                              <w:sz w:val="26"/>
                              <w:szCs w:val="26"/>
                            </w:rPr>
                            <w:t>13</w:t>
                          </w:r>
                          <w:r>
                            <w:rPr>
                              <w:rStyle w:val="16"/>
                              <w:rFonts w:ascii="宋体" w:hAnsi="宋体"/>
                              <w:sz w:val="26"/>
                              <w:szCs w:val="26"/>
                            </w:rPr>
                            <w:fldChar w:fldCharType="end"/>
                          </w:r>
                          <w:r>
                            <w:rPr>
                              <w:rStyle w:val="16"/>
                              <w:rFonts w:hint="eastAsia" w:ascii="宋体" w:hAnsi="宋体"/>
                              <w:sz w:val="20"/>
                            </w:rPr>
                            <w:t xml:space="preserve">  </w:t>
                          </w:r>
                          <w:r>
                            <w:rPr>
                              <w:rStyle w:val="16"/>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RJuxs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meUGKZR8cv3b5cf&#10;vy4/vxKcQaDahQXiHhwiY/PWNmib4TzgMPFuSq/TF4wI/JD3fJVXNJHwdGk+nc/HcHH4hg3ws8fr&#10;zof4TlhNkpFTj/q1srLTLsQudAhJ2YzdSqXaGipD6pzOXr8ZtxeuHoArgxyJRPfYZMVm3/TM9rY4&#10;g5i3XW8Ex7cSyXcsxHvm0Qx4MMYl3mEplUUS21uUVNZ/+dd5ikeN4KWkRnPl1GCWKFHvDWoHwDgY&#10;fjD2g2GO+taiWycYQ8dbExd8VINZeqs/Y4bWKQdczHBkymkczNvYNThmkIv1ug06Oi8PVXcBnedY&#10;3JkHx1OaJGRw62OEmK3GSaBOlV439F5bpX5OUnP/uW+jHv8Nq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Em7GzICAABjBAAADgAAAAAAAAABACAAAAAfAQAAZHJzL2Uyb0RvYy54bWxQSwUG&#10;AAAAAAYABgBZAQAAwwUAAAAA&#10;">
              <v:fill on="f" focussize="0,0"/>
              <v:stroke on="f" weight="0.5pt"/>
              <v:imagedata o:title=""/>
              <o:lock v:ext="edit" aspectratio="f"/>
              <v:textbox inset="0mm,0mm,0mm,0mm" style="mso-fit-shape-to-text:t;">
                <w:txbxContent>
                  <w:p w14:paraId="4D23EB81">
                    <w:pPr>
                      <w:tabs>
                        <w:tab w:val="center" w:pos="4153"/>
                        <w:tab w:val="right" w:pos="8306"/>
                      </w:tabs>
                      <w:rPr>
                        <w:rStyle w:val="16"/>
                        <w:rFonts w:ascii="宋体" w:hAnsi="宋体"/>
                        <w:sz w:val="28"/>
                        <w:szCs w:val="28"/>
                      </w:rPr>
                    </w:pPr>
                    <w:r>
                      <w:rPr>
                        <w:rStyle w:val="16"/>
                        <w:rFonts w:hint="eastAsia" w:ascii="宋体" w:hAnsi="宋体"/>
                        <w:sz w:val="28"/>
                        <w:szCs w:val="28"/>
                      </w:rPr>
                      <w:t>—</w:t>
                    </w:r>
                    <w:r>
                      <w:rPr>
                        <w:rStyle w:val="16"/>
                        <w:rFonts w:hint="eastAsia" w:ascii="宋体" w:hAnsi="宋体"/>
                        <w:sz w:val="20"/>
                      </w:rPr>
                      <w:t xml:space="preserve">  </w:t>
                    </w:r>
                    <w:r>
                      <w:rPr>
                        <w:rStyle w:val="16"/>
                        <w:rFonts w:ascii="宋体" w:hAnsi="宋体"/>
                        <w:sz w:val="26"/>
                        <w:szCs w:val="26"/>
                      </w:rPr>
                      <w:fldChar w:fldCharType="begin"/>
                    </w:r>
                    <w:r>
                      <w:rPr>
                        <w:rStyle w:val="16"/>
                        <w:rFonts w:ascii="宋体" w:hAnsi="宋体"/>
                        <w:sz w:val="26"/>
                        <w:szCs w:val="26"/>
                      </w:rPr>
                      <w:instrText xml:space="preserve">PAGE  </w:instrText>
                    </w:r>
                    <w:r>
                      <w:rPr>
                        <w:rStyle w:val="16"/>
                        <w:rFonts w:ascii="宋体" w:hAnsi="宋体"/>
                        <w:sz w:val="26"/>
                        <w:szCs w:val="26"/>
                      </w:rPr>
                      <w:fldChar w:fldCharType="separate"/>
                    </w:r>
                    <w:r>
                      <w:rPr>
                        <w:rStyle w:val="16"/>
                        <w:rFonts w:ascii="宋体" w:hAnsi="宋体"/>
                        <w:sz w:val="26"/>
                        <w:szCs w:val="26"/>
                      </w:rPr>
                      <w:t>13</w:t>
                    </w:r>
                    <w:r>
                      <w:rPr>
                        <w:rStyle w:val="16"/>
                        <w:rFonts w:ascii="宋体" w:hAnsi="宋体"/>
                        <w:sz w:val="26"/>
                        <w:szCs w:val="26"/>
                      </w:rPr>
                      <w:fldChar w:fldCharType="end"/>
                    </w:r>
                    <w:r>
                      <w:rPr>
                        <w:rStyle w:val="16"/>
                        <w:rFonts w:hint="eastAsia" w:ascii="宋体" w:hAnsi="宋体"/>
                        <w:sz w:val="20"/>
                      </w:rPr>
                      <w:t xml:space="preserve">  </w:t>
                    </w:r>
                    <w:r>
                      <w:rPr>
                        <w:rStyle w:val="16"/>
                        <w:rFonts w:hint="eastAsia" w:ascii="宋体" w:hAnsi="宋体"/>
                        <w:sz w:val="28"/>
                        <w:szCs w:val="2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C15DDB">
    <w:pPr>
      <w:tabs>
        <w:tab w:val="center" w:pos="4153"/>
        <w:tab w:val="right" w:pos="8306"/>
      </w:tabs>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089FAB">
    <w:pPr>
      <w:tabs>
        <w:tab w:val="center" w:pos="4153"/>
        <w:tab w:val="right" w:pos="8306"/>
      </w:tabs>
      <w:ind w:right="360" w:firstLine="360"/>
      <w:jc w:val="center"/>
    </w:pPr>
    <w:r>
      <w:rPr>
        <w:sz w:val="24"/>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AED1B6">
                          <w:pPr>
                            <w:tabs>
                              <w:tab w:val="center" w:pos="4153"/>
                              <w:tab w:val="right" w:pos="8306"/>
                            </w:tabs>
                            <w:rPr>
                              <w:rStyle w:val="16"/>
                              <w:rFonts w:ascii="宋体" w:hAnsi="宋体"/>
                              <w:sz w:val="28"/>
                              <w:szCs w:val="28"/>
                            </w:rPr>
                          </w:pPr>
                          <w:r>
                            <w:rPr>
                              <w:rStyle w:val="16"/>
                              <w:rFonts w:hint="eastAsia" w:ascii="宋体" w:hAnsi="宋体"/>
                              <w:sz w:val="28"/>
                              <w:szCs w:val="28"/>
                            </w:rPr>
                            <w:t>—</w:t>
                          </w:r>
                          <w:r>
                            <w:rPr>
                              <w:rStyle w:val="16"/>
                              <w:rFonts w:hint="eastAsia" w:ascii="宋体" w:hAnsi="宋体"/>
                              <w:sz w:val="20"/>
                            </w:rPr>
                            <w:t xml:space="preserve">  </w:t>
                          </w:r>
                          <w:r>
                            <w:rPr>
                              <w:rStyle w:val="16"/>
                              <w:rFonts w:ascii="宋体" w:hAnsi="宋体"/>
                              <w:sz w:val="26"/>
                              <w:szCs w:val="26"/>
                            </w:rPr>
                            <w:fldChar w:fldCharType="begin"/>
                          </w:r>
                          <w:r>
                            <w:rPr>
                              <w:rStyle w:val="16"/>
                              <w:rFonts w:ascii="宋体" w:hAnsi="宋体"/>
                              <w:sz w:val="26"/>
                              <w:szCs w:val="26"/>
                            </w:rPr>
                            <w:instrText xml:space="preserve">PAGE  </w:instrText>
                          </w:r>
                          <w:r>
                            <w:rPr>
                              <w:rStyle w:val="16"/>
                              <w:rFonts w:ascii="宋体" w:hAnsi="宋体"/>
                              <w:sz w:val="26"/>
                              <w:szCs w:val="26"/>
                            </w:rPr>
                            <w:fldChar w:fldCharType="separate"/>
                          </w:r>
                          <w:r>
                            <w:rPr>
                              <w:rStyle w:val="16"/>
                              <w:rFonts w:ascii="宋体" w:hAnsi="宋体"/>
                              <w:sz w:val="26"/>
                              <w:szCs w:val="26"/>
                            </w:rPr>
                            <w:t>14</w:t>
                          </w:r>
                          <w:r>
                            <w:rPr>
                              <w:rStyle w:val="16"/>
                              <w:rFonts w:ascii="宋体" w:hAnsi="宋体"/>
                              <w:sz w:val="26"/>
                              <w:szCs w:val="26"/>
                            </w:rPr>
                            <w:fldChar w:fldCharType="end"/>
                          </w:r>
                          <w:r>
                            <w:rPr>
                              <w:rStyle w:val="16"/>
                              <w:rFonts w:hint="eastAsia" w:ascii="宋体" w:hAnsi="宋体"/>
                              <w:sz w:val="20"/>
                            </w:rPr>
                            <w:t xml:space="preserve">  </w:t>
                          </w:r>
                          <w:r>
                            <w:rPr>
                              <w:rStyle w:val="16"/>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14:paraId="05AED1B6">
                    <w:pPr>
                      <w:tabs>
                        <w:tab w:val="center" w:pos="4153"/>
                        <w:tab w:val="right" w:pos="8306"/>
                      </w:tabs>
                      <w:rPr>
                        <w:rStyle w:val="16"/>
                        <w:rFonts w:ascii="宋体" w:hAnsi="宋体"/>
                        <w:sz w:val="28"/>
                        <w:szCs w:val="28"/>
                      </w:rPr>
                    </w:pPr>
                    <w:r>
                      <w:rPr>
                        <w:rStyle w:val="16"/>
                        <w:rFonts w:hint="eastAsia" w:ascii="宋体" w:hAnsi="宋体"/>
                        <w:sz w:val="28"/>
                        <w:szCs w:val="28"/>
                      </w:rPr>
                      <w:t>—</w:t>
                    </w:r>
                    <w:r>
                      <w:rPr>
                        <w:rStyle w:val="16"/>
                        <w:rFonts w:hint="eastAsia" w:ascii="宋体" w:hAnsi="宋体"/>
                        <w:sz w:val="20"/>
                      </w:rPr>
                      <w:t xml:space="preserve">  </w:t>
                    </w:r>
                    <w:r>
                      <w:rPr>
                        <w:rStyle w:val="16"/>
                        <w:rFonts w:ascii="宋体" w:hAnsi="宋体"/>
                        <w:sz w:val="26"/>
                        <w:szCs w:val="26"/>
                      </w:rPr>
                      <w:fldChar w:fldCharType="begin"/>
                    </w:r>
                    <w:r>
                      <w:rPr>
                        <w:rStyle w:val="16"/>
                        <w:rFonts w:ascii="宋体" w:hAnsi="宋体"/>
                        <w:sz w:val="26"/>
                        <w:szCs w:val="26"/>
                      </w:rPr>
                      <w:instrText xml:space="preserve">PAGE  </w:instrText>
                    </w:r>
                    <w:r>
                      <w:rPr>
                        <w:rStyle w:val="16"/>
                        <w:rFonts w:ascii="宋体" w:hAnsi="宋体"/>
                        <w:sz w:val="26"/>
                        <w:szCs w:val="26"/>
                      </w:rPr>
                      <w:fldChar w:fldCharType="separate"/>
                    </w:r>
                    <w:r>
                      <w:rPr>
                        <w:rStyle w:val="16"/>
                        <w:rFonts w:ascii="宋体" w:hAnsi="宋体"/>
                        <w:sz w:val="26"/>
                        <w:szCs w:val="26"/>
                      </w:rPr>
                      <w:t>14</w:t>
                    </w:r>
                    <w:r>
                      <w:rPr>
                        <w:rStyle w:val="16"/>
                        <w:rFonts w:ascii="宋体" w:hAnsi="宋体"/>
                        <w:sz w:val="26"/>
                        <w:szCs w:val="26"/>
                      </w:rPr>
                      <w:fldChar w:fldCharType="end"/>
                    </w:r>
                    <w:r>
                      <w:rPr>
                        <w:rStyle w:val="16"/>
                        <w:rFonts w:hint="eastAsia" w:ascii="宋体" w:hAnsi="宋体"/>
                        <w:sz w:val="20"/>
                      </w:rPr>
                      <w:t xml:space="preserve">  </w:t>
                    </w:r>
                    <w:r>
                      <w:rPr>
                        <w:rStyle w:val="16"/>
                        <w:rFonts w:hint="eastAsia" w:ascii="宋体" w:hAnsi="宋体"/>
                        <w:sz w:val="28"/>
                        <w:szCs w:val="28"/>
                      </w:rPr>
                      <w:t>—</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B4FD3E">
    <w:pPr>
      <w:tabs>
        <w:tab w:val="center" w:pos="4153"/>
        <w:tab w:val="right" w:pos="8306"/>
      </w:tabs>
      <w:ind w:right="360" w:firstLine="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660D71">
    <w:pPr>
      <w:tabs>
        <w:tab w:val="center" w:pos="4153"/>
        <w:tab w:val="right" w:pos="8306"/>
      </w:tabs>
      <w:ind w:right="360" w:firstLine="360"/>
      <w:jc w:val="center"/>
    </w:pPr>
    <w:r>
      <w:rPr>
        <w:sz w:val="24"/>
      </w:rPr>
      <mc:AlternateContent>
        <mc:Choice Requires="wps">
          <w:drawing>
            <wp:anchor distT="0" distB="0" distL="114300" distR="114300" simplePos="0" relativeHeight="251662336" behindDoc="0" locked="0" layoutInCell="1" allowOverlap="1">
              <wp:simplePos x="0" y="0"/>
              <wp:positionH relativeFrom="margin">
                <wp:align>outside</wp:align>
              </wp:positionH>
              <wp:positionV relativeFrom="paragraph">
                <wp:posOffset>0</wp:posOffset>
              </wp:positionV>
              <wp:extent cx="1828800" cy="182880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C201F7">
                          <w:pPr>
                            <w:tabs>
                              <w:tab w:val="center" w:pos="4153"/>
                              <w:tab w:val="right" w:pos="8306"/>
                            </w:tabs>
                            <w:rPr>
                              <w:rStyle w:val="16"/>
                              <w:rFonts w:ascii="宋体" w:hAnsi="宋体"/>
                              <w:sz w:val="28"/>
                              <w:szCs w:val="28"/>
                            </w:rPr>
                          </w:pPr>
                          <w:r>
                            <w:rPr>
                              <w:rStyle w:val="16"/>
                              <w:rFonts w:hint="eastAsia" w:ascii="宋体" w:hAnsi="宋体"/>
                              <w:sz w:val="28"/>
                              <w:szCs w:val="28"/>
                            </w:rPr>
                            <w:t>—</w:t>
                          </w:r>
                          <w:r>
                            <w:rPr>
                              <w:rStyle w:val="16"/>
                              <w:rFonts w:hint="eastAsia" w:ascii="宋体" w:hAnsi="宋体"/>
                              <w:sz w:val="20"/>
                            </w:rPr>
                            <w:t xml:space="preserve">  </w:t>
                          </w:r>
                          <w:r>
                            <w:rPr>
                              <w:rStyle w:val="16"/>
                              <w:rFonts w:ascii="宋体" w:hAnsi="宋体"/>
                              <w:sz w:val="26"/>
                              <w:szCs w:val="26"/>
                            </w:rPr>
                            <w:fldChar w:fldCharType="begin"/>
                          </w:r>
                          <w:r>
                            <w:rPr>
                              <w:rStyle w:val="16"/>
                              <w:rFonts w:ascii="宋体" w:hAnsi="宋体"/>
                              <w:sz w:val="26"/>
                              <w:szCs w:val="26"/>
                            </w:rPr>
                            <w:instrText xml:space="preserve">PAGE  </w:instrText>
                          </w:r>
                          <w:r>
                            <w:rPr>
                              <w:rStyle w:val="16"/>
                              <w:rFonts w:ascii="宋体" w:hAnsi="宋体"/>
                              <w:sz w:val="26"/>
                              <w:szCs w:val="26"/>
                            </w:rPr>
                            <w:fldChar w:fldCharType="separate"/>
                          </w:r>
                          <w:r>
                            <w:rPr>
                              <w:rStyle w:val="16"/>
                              <w:rFonts w:ascii="宋体" w:hAnsi="宋体"/>
                              <w:sz w:val="26"/>
                              <w:szCs w:val="26"/>
                            </w:rPr>
                            <w:t>14</w:t>
                          </w:r>
                          <w:r>
                            <w:rPr>
                              <w:rStyle w:val="16"/>
                              <w:rFonts w:ascii="宋体" w:hAnsi="宋体"/>
                              <w:sz w:val="26"/>
                              <w:szCs w:val="26"/>
                            </w:rPr>
                            <w:fldChar w:fldCharType="end"/>
                          </w:r>
                          <w:r>
                            <w:rPr>
                              <w:rStyle w:val="16"/>
                              <w:rFonts w:hint="eastAsia" w:ascii="宋体" w:hAnsi="宋体"/>
                              <w:sz w:val="20"/>
                            </w:rPr>
                            <w:t xml:space="preserve">  </w:t>
                          </w:r>
                          <w:r>
                            <w:rPr>
                              <w:rStyle w:val="16"/>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IA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zlB3wzQqfvn+7fLj&#10;1+XnV4IzCFS7MEfcziEyNm9tg7YZzgMOE++m9Dp9wYjAD3nPV3lFEwlPl2bT2WwMF4dv2AA/e7zu&#10;fIjvhNUkGTn1qF8rKzttQ+xCh5CUzdiNVKqtoTKkzunN6zfj9sLVA3BlkCOR6B6brNjsm57Z3hZn&#10;EPO2643g+EYi+ZaF+MA8mgEPxrjEeyylskhie4uSyvov/zpP8agRvJTUaK6cGswSJeq9Qe0AGAfD&#10;D8Z+MMxR31l06wRj6Hhr4oKPajBLb/VnzNAq5YCLGY5MOY2DeRe7BscMcrFatUFH5+Wh6i6g8xyL&#10;W7NzPKVJQga3OkaI2WqcBOpU6XVD77VV6uckNfef+zbq8d+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j+kgBjICAABjBAAADgAAAAAAAAABACAAAAAfAQAAZHJzL2Uyb0RvYy54bWxQSwUG&#10;AAAAAAYABgBZAQAAwwUAAAAA&#10;">
              <v:fill on="f" focussize="0,0"/>
              <v:stroke on="f" weight="0.5pt"/>
              <v:imagedata o:title=""/>
              <o:lock v:ext="edit" aspectratio="f"/>
              <v:textbox inset="0mm,0mm,0mm,0mm" style="mso-fit-shape-to-text:t;">
                <w:txbxContent>
                  <w:p w14:paraId="5DC201F7">
                    <w:pPr>
                      <w:tabs>
                        <w:tab w:val="center" w:pos="4153"/>
                        <w:tab w:val="right" w:pos="8306"/>
                      </w:tabs>
                      <w:rPr>
                        <w:rStyle w:val="16"/>
                        <w:rFonts w:ascii="宋体" w:hAnsi="宋体"/>
                        <w:sz w:val="28"/>
                        <w:szCs w:val="28"/>
                      </w:rPr>
                    </w:pPr>
                    <w:r>
                      <w:rPr>
                        <w:rStyle w:val="16"/>
                        <w:rFonts w:hint="eastAsia" w:ascii="宋体" w:hAnsi="宋体"/>
                        <w:sz w:val="28"/>
                        <w:szCs w:val="28"/>
                      </w:rPr>
                      <w:t>—</w:t>
                    </w:r>
                    <w:r>
                      <w:rPr>
                        <w:rStyle w:val="16"/>
                        <w:rFonts w:hint="eastAsia" w:ascii="宋体" w:hAnsi="宋体"/>
                        <w:sz w:val="20"/>
                      </w:rPr>
                      <w:t xml:space="preserve">  </w:t>
                    </w:r>
                    <w:r>
                      <w:rPr>
                        <w:rStyle w:val="16"/>
                        <w:rFonts w:ascii="宋体" w:hAnsi="宋体"/>
                        <w:sz w:val="26"/>
                        <w:szCs w:val="26"/>
                      </w:rPr>
                      <w:fldChar w:fldCharType="begin"/>
                    </w:r>
                    <w:r>
                      <w:rPr>
                        <w:rStyle w:val="16"/>
                        <w:rFonts w:ascii="宋体" w:hAnsi="宋体"/>
                        <w:sz w:val="26"/>
                        <w:szCs w:val="26"/>
                      </w:rPr>
                      <w:instrText xml:space="preserve">PAGE  </w:instrText>
                    </w:r>
                    <w:r>
                      <w:rPr>
                        <w:rStyle w:val="16"/>
                        <w:rFonts w:ascii="宋体" w:hAnsi="宋体"/>
                        <w:sz w:val="26"/>
                        <w:szCs w:val="26"/>
                      </w:rPr>
                      <w:fldChar w:fldCharType="separate"/>
                    </w:r>
                    <w:r>
                      <w:rPr>
                        <w:rStyle w:val="16"/>
                        <w:rFonts w:ascii="宋体" w:hAnsi="宋体"/>
                        <w:sz w:val="26"/>
                        <w:szCs w:val="26"/>
                      </w:rPr>
                      <w:t>14</w:t>
                    </w:r>
                    <w:r>
                      <w:rPr>
                        <w:rStyle w:val="16"/>
                        <w:rFonts w:ascii="宋体" w:hAnsi="宋体"/>
                        <w:sz w:val="26"/>
                        <w:szCs w:val="26"/>
                      </w:rPr>
                      <w:fldChar w:fldCharType="end"/>
                    </w:r>
                    <w:r>
                      <w:rPr>
                        <w:rStyle w:val="16"/>
                        <w:rFonts w:hint="eastAsia" w:ascii="宋体" w:hAnsi="宋体"/>
                        <w:sz w:val="20"/>
                      </w:rPr>
                      <w:t xml:space="preserve">  </w:t>
                    </w:r>
                    <w:r>
                      <w:rPr>
                        <w:rStyle w:val="16"/>
                        <w:rFonts w:hint="eastAsia" w:ascii="宋体" w:hAnsi="宋体"/>
                        <w:sz w:val="28"/>
                        <w:szCs w:val="28"/>
                      </w:rPr>
                      <w:t>—</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EB0C65">
    <w:pPr>
      <w:tabs>
        <w:tab w:val="center" w:pos="4153"/>
        <w:tab w:val="right" w:pos="8306"/>
      </w:tabs>
      <w:ind w:right="360" w:firstLine="360"/>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D2D768">
    <w:pPr>
      <w:tabs>
        <w:tab w:val="center" w:pos="4153"/>
        <w:tab w:val="right" w:pos="8306"/>
      </w:tabs>
      <w:ind w:right="360" w:firstLine="360"/>
      <w:jc w:val="center"/>
    </w:pPr>
    <w:r>
      <w:rPr>
        <w:sz w:val="24"/>
      </w:rPr>
      <mc:AlternateContent>
        <mc:Choice Requires="wps">
          <w:drawing>
            <wp:anchor distT="0" distB="0" distL="114300" distR="114300" simplePos="0" relativeHeight="251663360" behindDoc="0" locked="0" layoutInCell="1" allowOverlap="1">
              <wp:simplePos x="0" y="0"/>
              <wp:positionH relativeFrom="margin">
                <wp:align>outside</wp:align>
              </wp:positionH>
              <wp:positionV relativeFrom="paragraph">
                <wp:posOffset>0</wp:posOffset>
              </wp:positionV>
              <wp:extent cx="1828800" cy="1828800"/>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C8D05C">
                          <w:pPr>
                            <w:tabs>
                              <w:tab w:val="center" w:pos="4153"/>
                              <w:tab w:val="right" w:pos="8306"/>
                            </w:tabs>
                            <w:rPr>
                              <w:rStyle w:val="16"/>
                              <w:rFonts w:ascii="宋体" w:hAnsi="宋体"/>
                              <w:sz w:val="28"/>
                              <w:szCs w:val="28"/>
                            </w:rPr>
                          </w:pPr>
                          <w:r>
                            <w:rPr>
                              <w:rStyle w:val="16"/>
                              <w:rFonts w:hint="eastAsia" w:ascii="宋体" w:hAnsi="宋体"/>
                              <w:sz w:val="28"/>
                              <w:szCs w:val="28"/>
                            </w:rPr>
                            <w:t>—</w:t>
                          </w:r>
                          <w:r>
                            <w:rPr>
                              <w:rStyle w:val="16"/>
                              <w:rFonts w:hint="eastAsia" w:ascii="宋体" w:hAnsi="宋体"/>
                              <w:sz w:val="20"/>
                            </w:rPr>
                            <w:t xml:space="preserve">  </w:t>
                          </w:r>
                          <w:r>
                            <w:rPr>
                              <w:rStyle w:val="16"/>
                              <w:rFonts w:ascii="宋体" w:hAnsi="宋体"/>
                              <w:sz w:val="26"/>
                              <w:szCs w:val="26"/>
                            </w:rPr>
                            <w:fldChar w:fldCharType="begin"/>
                          </w:r>
                          <w:r>
                            <w:rPr>
                              <w:rStyle w:val="16"/>
                              <w:rFonts w:ascii="宋体" w:hAnsi="宋体"/>
                              <w:sz w:val="26"/>
                              <w:szCs w:val="26"/>
                            </w:rPr>
                            <w:instrText xml:space="preserve">PAGE  </w:instrText>
                          </w:r>
                          <w:r>
                            <w:rPr>
                              <w:rStyle w:val="16"/>
                              <w:rFonts w:ascii="宋体" w:hAnsi="宋体"/>
                              <w:sz w:val="26"/>
                              <w:szCs w:val="26"/>
                            </w:rPr>
                            <w:fldChar w:fldCharType="separate"/>
                          </w:r>
                          <w:r>
                            <w:rPr>
                              <w:rStyle w:val="16"/>
                              <w:rFonts w:ascii="宋体" w:hAnsi="宋体"/>
                              <w:sz w:val="26"/>
                              <w:szCs w:val="26"/>
                            </w:rPr>
                            <w:t>14</w:t>
                          </w:r>
                          <w:r>
                            <w:rPr>
                              <w:rStyle w:val="16"/>
                              <w:rFonts w:ascii="宋体" w:hAnsi="宋体"/>
                              <w:sz w:val="26"/>
                              <w:szCs w:val="26"/>
                            </w:rPr>
                            <w:fldChar w:fldCharType="end"/>
                          </w:r>
                          <w:r>
                            <w:rPr>
                              <w:rStyle w:val="16"/>
                              <w:rFonts w:hint="eastAsia" w:ascii="宋体" w:hAnsi="宋体"/>
                              <w:sz w:val="20"/>
                            </w:rPr>
                            <w:t xml:space="preserve">  </w:t>
                          </w:r>
                          <w:r>
                            <w:rPr>
                              <w:rStyle w:val="16"/>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8FZI8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0kMUyj4qcf308/&#10;H06/vhGcQaDGhRni7h0iY/vOtmib4TzgMPFuK6/TF4wI/MA6XuQVbSQ8XZpOptMcLg7fsAF+9njd&#10;+RDfC6tJMgrqUb9OVnbYhNiHDiEpm7FrqVRXQ2VIU9Cr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8FZI8zAgAAYwQAAA4AAAAAAAAAAQAgAAAAHwEAAGRycy9lMm9Eb2MueG1sUEsF&#10;BgAAAAAGAAYAWQEAAMQFAAAAAA==&#10;">
              <v:fill on="f" focussize="0,0"/>
              <v:stroke on="f" weight="0.5pt"/>
              <v:imagedata o:title=""/>
              <o:lock v:ext="edit" aspectratio="f"/>
              <v:textbox inset="0mm,0mm,0mm,0mm" style="mso-fit-shape-to-text:t;">
                <w:txbxContent>
                  <w:p w14:paraId="04C8D05C">
                    <w:pPr>
                      <w:tabs>
                        <w:tab w:val="center" w:pos="4153"/>
                        <w:tab w:val="right" w:pos="8306"/>
                      </w:tabs>
                      <w:rPr>
                        <w:rStyle w:val="16"/>
                        <w:rFonts w:ascii="宋体" w:hAnsi="宋体"/>
                        <w:sz w:val="28"/>
                        <w:szCs w:val="28"/>
                      </w:rPr>
                    </w:pPr>
                    <w:r>
                      <w:rPr>
                        <w:rStyle w:val="16"/>
                        <w:rFonts w:hint="eastAsia" w:ascii="宋体" w:hAnsi="宋体"/>
                        <w:sz w:val="28"/>
                        <w:szCs w:val="28"/>
                      </w:rPr>
                      <w:t>—</w:t>
                    </w:r>
                    <w:r>
                      <w:rPr>
                        <w:rStyle w:val="16"/>
                        <w:rFonts w:hint="eastAsia" w:ascii="宋体" w:hAnsi="宋体"/>
                        <w:sz w:val="20"/>
                      </w:rPr>
                      <w:t xml:space="preserve">  </w:t>
                    </w:r>
                    <w:r>
                      <w:rPr>
                        <w:rStyle w:val="16"/>
                        <w:rFonts w:ascii="宋体" w:hAnsi="宋体"/>
                        <w:sz w:val="26"/>
                        <w:szCs w:val="26"/>
                      </w:rPr>
                      <w:fldChar w:fldCharType="begin"/>
                    </w:r>
                    <w:r>
                      <w:rPr>
                        <w:rStyle w:val="16"/>
                        <w:rFonts w:ascii="宋体" w:hAnsi="宋体"/>
                        <w:sz w:val="26"/>
                        <w:szCs w:val="26"/>
                      </w:rPr>
                      <w:instrText xml:space="preserve">PAGE  </w:instrText>
                    </w:r>
                    <w:r>
                      <w:rPr>
                        <w:rStyle w:val="16"/>
                        <w:rFonts w:ascii="宋体" w:hAnsi="宋体"/>
                        <w:sz w:val="26"/>
                        <w:szCs w:val="26"/>
                      </w:rPr>
                      <w:fldChar w:fldCharType="separate"/>
                    </w:r>
                    <w:r>
                      <w:rPr>
                        <w:rStyle w:val="16"/>
                        <w:rFonts w:ascii="宋体" w:hAnsi="宋体"/>
                        <w:sz w:val="26"/>
                        <w:szCs w:val="26"/>
                      </w:rPr>
                      <w:t>14</w:t>
                    </w:r>
                    <w:r>
                      <w:rPr>
                        <w:rStyle w:val="16"/>
                        <w:rFonts w:ascii="宋体" w:hAnsi="宋体"/>
                        <w:sz w:val="26"/>
                        <w:szCs w:val="26"/>
                      </w:rPr>
                      <w:fldChar w:fldCharType="end"/>
                    </w:r>
                    <w:r>
                      <w:rPr>
                        <w:rStyle w:val="16"/>
                        <w:rFonts w:hint="eastAsia" w:ascii="宋体" w:hAnsi="宋体"/>
                        <w:sz w:val="20"/>
                      </w:rPr>
                      <w:t xml:space="preserve">  </w:t>
                    </w:r>
                    <w:r>
                      <w:rPr>
                        <w:rStyle w:val="16"/>
                        <w:rFonts w:hint="eastAsia" w:ascii="宋体" w:hAnsi="宋体"/>
                        <w:sz w:val="28"/>
                        <w:szCs w:val="28"/>
                      </w:rPr>
                      <w:t>—</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66E5AF6"/>
    <w:multiLevelType w:val="singleLevel"/>
    <w:tmpl w:val="966E5AF6"/>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footnotePr>
    <w:footnote w:id="0"/>
    <w:footnote w:id="1"/>
  </w:footnotePr>
  <w:endnotePr>
    <w:endnote w:id="0"/>
    <w:endnote w:id="1"/>
  </w:endnotePr>
  <w:compat>
    <w:spaceForUL/>
    <w:balanceSingleByteDoubleByteWidth/>
    <w:doNotLeaveBackslashAlon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4947"/>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B690E"/>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07BA"/>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6F4B5D"/>
    <w:rsid w:val="00706C5D"/>
    <w:rsid w:val="00732922"/>
    <w:rsid w:val="0075162E"/>
    <w:rsid w:val="00754034"/>
    <w:rsid w:val="00756556"/>
    <w:rsid w:val="007618C4"/>
    <w:rsid w:val="00765BB8"/>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7F7EE1"/>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E1562"/>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7638C"/>
    <w:rsid w:val="00F80A0A"/>
    <w:rsid w:val="00F82B19"/>
    <w:rsid w:val="00F9212D"/>
    <w:rsid w:val="00F965DA"/>
    <w:rsid w:val="00FA406A"/>
    <w:rsid w:val="00FB503A"/>
    <w:rsid w:val="00FB516C"/>
    <w:rsid w:val="00FD0236"/>
    <w:rsid w:val="00FD18F4"/>
    <w:rsid w:val="00FD54DB"/>
    <w:rsid w:val="00FD619F"/>
    <w:rsid w:val="0116710C"/>
    <w:rsid w:val="01225872"/>
    <w:rsid w:val="01290F7E"/>
    <w:rsid w:val="015D1E09"/>
    <w:rsid w:val="01F36E36"/>
    <w:rsid w:val="01F53E01"/>
    <w:rsid w:val="02697903"/>
    <w:rsid w:val="02870B96"/>
    <w:rsid w:val="02F96569"/>
    <w:rsid w:val="032B09E8"/>
    <w:rsid w:val="03EA7B21"/>
    <w:rsid w:val="04163814"/>
    <w:rsid w:val="0532605E"/>
    <w:rsid w:val="05F83EAE"/>
    <w:rsid w:val="063E7D85"/>
    <w:rsid w:val="0681590A"/>
    <w:rsid w:val="068B508C"/>
    <w:rsid w:val="07293586"/>
    <w:rsid w:val="07295285"/>
    <w:rsid w:val="07636392"/>
    <w:rsid w:val="07770C56"/>
    <w:rsid w:val="08CC67C9"/>
    <w:rsid w:val="090174FF"/>
    <w:rsid w:val="09081B30"/>
    <w:rsid w:val="092217DD"/>
    <w:rsid w:val="093A7294"/>
    <w:rsid w:val="0960577C"/>
    <w:rsid w:val="0968155C"/>
    <w:rsid w:val="097F1A8E"/>
    <w:rsid w:val="09EB0F0A"/>
    <w:rsid w:val="09FF1408"/>
    <w:rsid w:val="0A263993"/>
    <w:rsid w:val="0A2D3AC2"/>
    <w:rsid w:val="0AA755DF"/>
    <w:rsid w:val="0B120D44"/>
    <w:rsid w:val="0B7D3552"/>
    <w:rsid w:val="0BA71867"/>
    <w:rsid w:val="0BD27BF6"/>
    <w:rsid w:val="0C3B3C7D"/>
    <w:rsid w:val="0CAB2EAE"/>
    <w:rsid w:val="0CDB522D"/>
    <w:rsid w:val="0CF20646"/>
    <w:rsid w:val="0D4957CF"/>
    <w:rsid w:val="0D621C7D"/>
    <w:rsid w:val="0DDD1007"/>
    <w:rsid w:val="0E245E15"/>
    <w:rsid w:val="0E73034D"/>
    <w:rsid w:val="0F13775A"/>
    <w:rsid w:val="0F5F45FE"/>
    <w:rsid w:val="0F80240D"/>
    <w:rsid w:val="0F9A112B"/>
    <w:rsid w:val="106D2F64"/>
    <w:rsid w:val="10B63710"/>
    <w:rsid w:val="10F10820"/>
    <w:rsid w:val="10F8215F"/>
    <w:rsid w:val="111C2F7A"/>
    <w:rsid w:val="11665CA1"/>
    <w:rsid w:val="11ED0575"/>
    <w:rsid w:val="123A3CAC"/>
    <w:rsid w:val="12662581"/>
    <w:rsid w:val="12D746E8"/>
    <w:rsid w:val="13951726"/>
    <w:rsid w:val="14396509"/>
    <w:rsid w:val="14DD2C3C"/>
    <w:rsid w:val="14F72E20"/>
    <w:rsid w:val="150A45D9"/>
    <w:rsid w:val="15673B02"/>
    <w:rsid w:val="157E373B"/>
    <w:rsid w:val="15860F53"/>
    <w:rsid w:val="16087E1D"/>
    <w:rsid w:val="1634115B"/>
    <w:rsid w:val="17123F41"/>
    <w:rsid w:val="17701D14"/>
    <w:rsid w:val="17735226"/>
    <w:rsid w:val="17E23913"/>
    <w:rsid w:val="186C761C"/>
    <w:rsid w:val="189F624C"/>
    <w:rsid w:val="19CE6ACA"/>
    <w:rsid w:val="1A1C66C0"/>
    <w:rsid w:val="1A42393B"/>
    <w:rsid w:val="1A6A372C"/>
    <w:rsid w:val="1AAD45DE"/>
    <w:rsid w:val="1B046F80"/>
    <w:rsid w:val="1B3267B5"/>
    <w:rsid w:val="1B40161D"/>
    <w:rsid w:val="1B441859"/>
    <w:rsid w:val="1B49681A"/>
    <w:rsid w:val="1B6606B1"/>
    <w:rsid w:val="1C550B58"/>
    <w:rsid w:val="1C5E7925"/>
    <w:rsid w:val="1CFD070F"/>
    <w:rsid w:val="1D091D76"/>
    <w:rsid w:val="1D220C24"/>
    <w:rsid w:val="1D2F7D54"/>
    <w:rsid w:val="1D5F6196"/>
    <w:rsid w:val="1D6132A5"/>
    <w:rsid w:val="1D8E56D5"/>
    <w:rsid w:val="1E7A43DA"/>
    <w:rsid w:val="1F0625DD"/>
    <w:rsid w:val="1F4C0C41"/>
    <w:rsid w:val="1FE7539E"/>
    <w:rsid w:val="20671BE0"/>
    <w:rsid w:val="20963CB8"/>
    <w:rsid w:val="20A81A1B"/>
    <w:rsid w:val="20B07FB6"/>
    <w:rsid w:val="20B646FB"/>
    <w:rsid w:val="213B74B1"/>
    <w:rsid w:val="215A2310"/>
    <w:rsid w:val="21DE318A"/>
    <w:rsid w:val="21EF5B80"/>
    <w:rsid w:val="222D7E81"/>
    <w:rsid w:val="22576990"/>
    <w:rsid w:val="22F47480"/>
    <w:rsid w:val="2379480C"/>
    <w:rsid w:val="23D20CE0"/>
    <w:rsid w:val="23DE1C48"/>
    <w:rsid w:val="23FE1AD5"/>
    <w:rsid w:val="240210CD"/>
    <w:rsid w:val="24101808"/>
    <w:rsid w:val="242F29EC"/>
    <w:rsid w:val="24752BC5"/>
    <w:rsid w:val="24BF09F7"/>
    <w:rsid w:val="252D53FE"/>
    <w:rsid w:val="253A0B58"/>
    <w:rsid w:val="25EC2D81"/>
    <w:rsid w:val="275C4A0D"/>
    <w:rsid w:val="277057A2"/>
    <w:rsid w:val="27B22CAB"/>
    <w:rsid w:val="29206EB8"/>
    <w:rsid w:val="29595666"/>
    <w:rsid w:val="29874881"/>
    <w:rsid w:val="29E325E0"/>
    <w:rsid w:val="2A223B30"/>
    <w:rsid w:val="2A452503"/>
    <w:rsid w:val="2A5919EA"/>
    <w:rsid w:val="2A661EB7"/>
    <w:rsid w:val="2AD74E2E"/>
    <w:rsid w:val="2BA936A8"/>
    <w:rsid w:val="2C315A5A"/>
    <w:rsid w:val="2C4B1C25"/>
    <w:rsid w:val="2CA04831"/>
    <w:rsid w:val="2CB7078A"/>
    <w:rsid w:val="2D3B6D66"/>
    <w:rsid w:val="2D9E56F5"/>
    <w:rsid w:val="2E642E7C"/>
    <w:rsid w:val="2E667F96"/>
    <w:rsid w:val="2E8226AB"/>
    <w:rsid w:val="2FD065E6"/>
    <w:rsid w:val="2FD96870"/>
    <w:rsid w:val="30220E14"/>
    <w:rsid w:val="304666EC"/>
    <w:rsid w:val="30580BC9"/>
    <w:rsid w:val="30656A38"/>
    <w:rsid w:val="311E2ED7"/>
    <w:rsid w:val="315619EE"/>
    <w:rsid w:val="315C449C"/>
    <w:rsid w:val="31B163D9"/>
    <w:rsid w:val="31B82709"/>
    <w:rsid w:val="31D05482"/>
    <w:rsid w:val="32400B34"/>
    <w:rsid w:val="328852E9"/>
    <w:rsid w:val="329E6876"/>
    <w:rsid w:val="33292CED"/>
    <w:rsid w:val="332D198D"/>
    <w:rsid w:val="333015F2"/>
    <w:rsid w:val="334B6320"/>
    <w:rsid w:val="33B35EC9"/>
    <w:rsid w:val="33D934D4"/>
    <w:rsid w:val="33FE2F6A"/>
    <w:rsid w:val="340E07E5"/>
    <w:rsid w:val="34235BF7"/>
    <w:rsid w:val="34DF325D"/>
    <w:rsid w:val="358C5FA8"/>
    <w:rsid w:val="35C15DF1"/>
    <w:rsid w:val="36074A7F"/>
    <w:rsid w:val="36923549"/>
    <w:rsid w:val="36B75FBF"/>
    <w:rsid w:val="36BD0C45"/>
    <w:rsid w:val="3709241C"/>
    <w:rsid w:val="37AB74C2"/>
    <w:rsid w:val="37B55D76"/>
    <w:rsid w:val="37DB76F2"/>
    <w:rsid w:val="37E00298"/>
    <w:rsid w:val="381811DF"/>
    <w:rsid w:val="388365F5"/>
    <w:rsid w:val="38B302F9"/>
    <w:rsid w:val="38C56C0D"/>
    <w:rsid w:val="38F12CD3"/>
    <w:rsid w:val="38F94775"/>
    <w:rsid w:val="392971ED"/>
    <w:rsid w:val="39316051"/>
    <w:rsid w:val="39325651"/>
    <w:rsid w:val="395B0C88"/>
    <w:rsid w:val="3A525838"/>
    <w:rsid w:val="3A872856"/>
    <w:rsid w:val="3B1E6F26"/>
    <w:rsid w:val="3B3763D1"/>
    <w:rsid w:val="3B8A7A44"/>
    <w:rsid w:val="3BEF6D18"/>
    <w:rsid w:val="3C2F6E1E"/>
    <w:rsid w:val="3C4F64BA"/>
    <w:rsid w:val="3C8C5D88"/>
    <w:rsid w:val="3C9012E0"/>
    <w:rsid w:val="3CDA245A"/>
    <w:rsid w:val="3CEE24B9"/>
    <w:rsid w:val="3D1E06B7"/>
    <w:rsid w:val="3D600CB3"/>
    <w:rsid w:val="3E603E1B"/>
    <w:rsid w:val="3E9F580B"/>
    <w:rsid w:val="3EDA0523"/>
    <w:rsid w:val="3F47037C"/>
    <w:rsid w:val="3FFD19B5"/>
    <w:rsid w:val="407A6407"/>
    <w:rsid w:val="416D5259"/>
    <w:rsid w:val="41831BF8"/>
    <w:rsid w:val="4200449D"/>
    <w:rsid w:val="423A3BCC"/>
    <w:rsid w:val="424E57D2"/>
    <w:rsid w:val="425828A0"/>
    <w:rsid w:val="42B26C49"/>
    <w:rsid w:val="42F65CE6"/>
    <w:rsid w:val="43200E56"/>
    <w:rsid w:val="433A6FE6"/>
    <w:rsid w:val="43480868"/>
    <w:rsid w:val="4350713C"/>
    <w:rsid w:val="436653E0"/>
    <w:rsid w:val="43801A1B"/>
    <w:rsid w:val="43C4431A"/>
    <w:rsid w:val="44383621"/>
    <w:rsid w:val="44B951CC"/>
    <w:rsid w:val="44CD14E0"/>
    <w:rsid w:val="44F20B0B"/>
    <w:rsid w:val="452E5F4C"/>
    <w:rsid w:val="45612018"/>
    <w:rsid w:val="458946E9"/>
    <w:rsid w:val="45A47C0E"/>
    <w:rsid w:val="45B30550"/>
    <w:rsid w:val="45B53E25"/>
    <w:rsid w:val="46577FD6"/>
    <w:rsid w:val="467C0A8F"/>
    <w:rsid w:val="46D955A7"/>
    <w:rsid w:val="47133957"/>
    <w:rsid w:val="472C44F5"/>
    <w:rsid w:val="47596E9F"/>
    <w:rsid w:val="47643B13"/>
    <w:rsid w:val="47A07E0C"/>
    <w:rsid w:val="480F5089"/>
    <w:rsid w:val="4870272E"/>
    <w:rsid w:val="487D2EC4"/>
    <w:rsid w:val="48C9160B"/>
    <w:rsid w:val="49224A5E"/>
    <w:rsid w:val="49674327"/>
    <w:rsid w:val="49DC7715"/>
    <w:rsid w:val="4A023139"/>
    <w:rsid w:val="4A657908"/>
    <w:rsid w:val="4A7B576F"/>
    <w:rsid w:val="4AF561A9"/>
    <w:rsid w:val="4B662283"/>
    <w:rsid w:val="4C4A0649"/>
    <w:rsid w:val="4C7E5ECA"/>
    <w:rsid w:val="4C876AA5"/>
    <w:rsid w:val="4D0E00FB"/>
    <w:rsid w:val="4D176606"/>
    <w:rsid w:val="4D7C36B3"/>
    <w:rsid w:val="4DEC4FB0"/>
    <w:rsid w:val="4E075D8A"/>
    <w:rsid w:val="4E2D31F9"/>
    <w:rsid w:val="4E987D24"/>
    <w:rsid w:val="4EC00FAD"/>
    <w:rsid w:val="4F9843DC"/>
    <w:rsid w:val="4FC62A8C"/>
    <w:rsid w:val="4FE20F0D"/>
    <w:rsid w:val="4FE51552"/>
    <w:rsid w:val="50504C4B"/>
    <w:rsid w:val="509C6E7C"/>
    <w:rsid w:val="50A642C4"/>
    <w:rsid w:val="50A718E6"/>
    <w:rsid w:val="515F7B5F"/>
    <w:rsid w:val="5162104E"/>
    <w:rsid w:val="52785CC6"/>
    <w:rsid w:val="532457B8"/>
    <w:rsid w:val="53A039CC"/>
    <w:rsid w:val="53A1505A"/>
    <w:rsid w:val="53FB0F6D"/>
    <w:rsid w:val="54063E08"/>
    <w:rsid w:val="543437E8"/>
    <w:rsid w:val="54F73313"/>
    <w:rsid w:val="54F80955"/>
    <w:rsid w:val="555170A7"/>
    <w:rsid w:val="556250E9"/>
    <w:rsid w:val="5587536D"/>
    <w:rsid w:val="559B174B"/>
    <w:rsid w:val="559E0EF7"/>
    <w:rsid w:val="55A930F1"/>
    <w:rsid w:val="55CE0CF4"/>
    <w:rsid w:val="56456BAC"/>
    <w:rsid w:val="56627B90"/>
    <w:rsid w:val="56B22A9C"/>
    <w:rsid w:val="56C153B3"/>
    <w:rsid w:val="56C407A9"/>
    <w:rsid w:val="56F45F6D"/>
    <w:rsid w:val="57213913"/>
    <w:rsid w:val="57267749"/>
    <w:rsid w:val="579C3E76"/>
    <w:rsid w:val="57B72A76"/>
    <w:rsid w:val="57C3426C"/>
    <w:rsid w:val="57CE1F93"/>
    <w:rsid w:val="581859B4"/>
    <w:rsid w:val="583879A4"/>
    <w:rsid w:val="584265D9"/>
    <w:rsid w:val="58702BD2"/>
    <w:rsid w:val="588743D1"/>
    <w:rsid w:val="5887701A"/>
    <w:rsid w:val="59C0439F"/>
    <w:rsid w:val="5ABE2233"/>
    <w:rsid w:val="5B6B6D49"/>
    <w:rsid w:val="5BDF5D95"/>
    <w:rsid w:val="5BFB1E7B"/>
    <w:rsid w:val="5BFE7528"/>
    <w:rsid w:val="5C1558E7"/>
    <w:rsid w:val="5C40283A"/>
    <w:rsid w:val="5D8232B5"/>
    <w:rsid w:val="5E070FAB"/>
    <w:rsid w:val="5E2467F1"/>
    <w:rsid w:val="5EA537F3"/>
    <w:rsid w:val="5F1A2B43"/>
    <w:rsid w:val="5F73441E"/>
    <w:rsid w:val="5FB837BB"/>
    <w:rsid w:val="5FC368E9"/>
    <w:rsid w:val="60CC405A"/>
    <w:rsid w:val="6103319B"/>
    <w:rsid w:val="61BB53F7"/>
    <w:rsid w:val="61E215D8"/>
    <w:rsid w:val="621B3775"/>
    <w:rsid w:val="62364782"/>
    <w:rsid w:val="623E0378"/>
    <w:rsid w:val="6246680C"/>
    <w:rsid w:val="63870498"/>
    <w:rsid w:val="6394356A"/>
    <w:rsid w:val="63C61B2C"/>
    <w:rsid w:val="63D40BE9"/>
    <w:rsid w:val="64102431"/>
    <w:rsid w:val="64847B3D"/>
    <w:rsid w:val="64A5243A"/>
    <w:rsid w:val="64F531DE"/>
    <w:rsid w:val="65373578"/>
    <w:rsid w:val="65C55E25"/>
    <w:rsid w:val="664705FE"/>
    <w:rsid w:val="671F124A"/>
    <w:rsid w:val="6774612A"/>
    <w:rsid w:val="677A33C6"/>
    <w:rsid w:val="68172FD8"/>
    <w:rsid w:val="681A5019"/>
    <w:rsid w:val="681F6961"/>
    <w:rsid w:val="684445A8"/>
    <w:rsid w:val="68610A2F"/>
    <w:rsid w:val="68805514"/>
    <w:rsid w:val="68B96EB5"/>
    <w:rsid w:val="69316E2F"/>
    <w:rsid w:val="693E51B5"/>
    <w:rsid w:val="694E2071"/>
    <w:rsid w:val="69766163"/>
    <w:rsid w:val="697A3B33"/>
    <w:rsid w:val="69D44760"/>
    <w:rsid w:val="69ED7058"/>
    <w:rsid w:val="6A445335"/>
    <w:rsid w:val="6A520EC7"/>
    <w:rsid w:val="6A9736B6"/>
    <w:rsid w:val="6A9F2F28"/>
    <w:rsid w:val="6AEF34F2"/>
    <w:rsid w:val="6AF87E20"/>
    <w:rsid w:val="6B1360AA"/>
    <w:rsid w:val="6B322639"/>
    <w:rsid w:val="6BDD159D"/>
    <w:rsid w:val="6BE90C2B"/>
    <w:rsid w:val="6C40014D"/>
    <w:rsid w:val="6C636C38"/>
    <w:rsid w:val="6D5461D3"/>
    <w:rsid w:val="6DB34098"/>
    <w:rsid w:val="6DB545B6"/>
    <w:rsid w:val="6DE02FB4"/>
    <w:rsid w:val="6DE33606"/>
    <w:rsid w:val="6E296387"/>
    <w:rsid w:val="6E514CED"/>
    <w:rsid w:val="6E5B1A3C"/>
    <w:rsid w:val="6EB563D5"/>
    <w:rsid w:val="6ED92677"/>
    <w:rsid w:val="6EE61CB3"/>
    <w:rsid w:val="6EF90964"/>
    <w:rsid w:val="6F225983"/>
    <w:rsid w:val="6F497B08"/>
    <w:rsid w:val="6F5E2ACA"/>
    <w:rsid w:val="6FEA75DF"/>
    <w:rsid w:val="6FFC5590"/>
    <w:rsid w:val="706D1DD0"/>
    <w:rsid w:val="70856B87"/>
    <w:rsid w:val="70D171F6"/>
    <w:rsid w:val="70D527EE"/>
    <w:rsid w:val="70F27CED"/>
    <w:rsid w:val="715B5300"/>
    <w:rsid w:val="719D541B"/>
    <w:rsid w:val="71AA3CCF"/>
    <w:rsid w:val="71D27F8A"/>
    <w:rsid w:val="72170F25"/>
    <w:rsid w:val="72553024"/>
    <w:rsid w:val="73122968"/>
    <w:rsid w:val="731F5D5E"/>
    <w:rsid w:val="73394BB6"/>
    <w:rsid w:val="73C51AD5"/>
    <w:rsid w:val="741E793C"/>
    <w:rsid w:val="745E3944"/>
    <w:rsid w:val="74987CEA"/>
    <w:rsid w:val="7635099D"/>
    <w:rsid w:val="764161A3"/>
    <w:rsid w:val="76F105F2"/>
    <w:rsid w:val="77480CC7"/>
    <w:rsid w:val="77762421"/>
    <w:rsid w:val="777D6F72"/>
    <w:rsid w:val="77B56B1F"/>
    <w:rsid w:val="780F09F4"/>
    <w:rsid w:val="786F2FF9"/>
    <w:rsid w:val="788F4A30"/>
    <w:rsid w:val="78A90480"/>
    <w:rsid w:val="78AB0AB8"/>
    <w:rsid w:val="78B2083B"/>
    <w:rsid w:val="79756058"/>
    <w:rsid w:val="798E776C"/>
    <w:rsid w:val="7A364017"/>
    <w:rsid w:val="7A4B3312"/>
    <w:rsid w:val="7A8265E1"/>
    <w:rsid w:val="7B686D42"/>
    <w:rsid w:val="7B841746"/>
    <w:rsid w:val="7B8749B6"/>
    <w:rsid w:val="7C3F770A"/>
    <w:rsid w:val="7C6C2F1F"/>
    <w:rsid w:val="7C6C5AC7"/>
    <w:rsid w:val="7CC6544B"/>
    <w:rsid w:val="7D0239FF"/>
    <w:rsid w:val="7D5E40CD"/>
    <w:rsid w:val="7DA22646"/>
    <w:rsid w:val="7DCD56F2"/>
    <w:rsid w:val="7E913548"/>
    <w:rsid w:val="7F001CE7"/>
    <w:rsid w:val="7F4C6173"/>
    <w:rsid w:val="7F637BB3"/>
    <w:rsid w:val="7FE47E50"/>
    <w:rsid w:val="7FF31D57"/>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semiHidden="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0" w:semiHidden="0" w:name="toc 2" w:locked="1"/>
    <w:lsdException w:qFormat="1"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nhideWhenUsed="0" w:uiPriority="0" w:semiHidden="0" w:name="Normal Indent"/>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unhideWhenUsed="0" w:uiPriority="0" w:semiHidden="0" w:name="Date"/>
    <w:lsdException w:unhideWhenUsed="0" w:uiPriority="0" w:semiHidden="0" w:name="Body Text First Indent" w:locked="1"/>
    <w:lsdException w:unhideWhenUsed="0" w:uiPriority="0" w:semiHidden="0" w:name="Body Text First Indent 2"/>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unhideWhenUsed="0" w:uiPriority="0" w:semiHidden="0" w:name="Plain Text" w:locked="1"/>
    <w:lsdException w:unhideWhenUsed="0" w:uiPriority="0" w:semiHidden="0" w:name="E-mail Signature" w:locked="1"/>
    <w:lsdException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unhideWhenUsed="0" w:uiPriority="0" w:semiHidden="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unhideWhenUsed="0" w:uiPriority="0" w:semiHidden="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jc w:val="both"/>
    </w:pPr>
    <w:rPr>
      <w:rFonts w:ascii="Times New Roman" w:hAnsi="Times New Roman" w:eastAsia="宋体" w:cs="Times New Roman"/>
      <w:kern w:val="2"/>
      <w:sz w:val="24"/>
      <w:szCs w:val="24"/>
      <w:lang w:val="en-US" w:eastAsia="zh-CN" w:bidi="ar-SA"/>
    </w:rPr>
  </w:style>
  <w:style w:type="paragraph" w:styleId="2">
    <w:name w:val="heading 1"/>
    <w:basedOn w:val="1"/>
    <w:next w:val="1"/>
    <w:qFormat/>
    <w:locked/>
    <w:uiPriority w:val="99"/>
    <w:pPr>
      <w:keepNext/>
      <w:pageBreakBefore/>
      <w:overflowPunct w:val="0"/>
      <w:snapToGrid w:val="0"/>
      <w:spacing w:before="50" w:beforeLines="50" w:after="50" w:afterLines="50" w:line="360" w:lineRule="auto"/>
      <w:ind w:left="431" w:hanging="431"/>
      <w:outlineLvl w:val="0"/>
    </w:pPr>
    <w:rPr>
      <w:rFonts w:ascii="Times New Roman" w:hAnsi="Times New Roman" w:eastAsia="楷体_GB2312"/>
      <w:b/>
      <w:bCs/>
      <w:color w:val="000000"/>
      <w:kern w:val="44"/>
      <w:sz w:val="44"/>
      <w:szCs w:val="30"/>
    </w:rPr>
  </w:style>
  <w:style w:type="paragraph" w:styleId="3">
    <w:name w:val="heading 2"/>
    <w:basedOn w:val="1"/>
    <w:next w:val="1"/>
    <w:unhideWhenUsed/>
    <w:qFormat/>
    <w:locked/>
    <w:uiPriority w:val="0"/>
    <w:pPr>
      <w:keepNext/>
      <w:keepLines/>
      <w:spacing w:before="50" w:beforeLines="50" w:beforeAutospacing="0" w:after="50" w:afterLines="50" w:afterAutospacing="0" w:line="360" w:lineRule="auto"/>
      <w:outlineLvl w:val="1"/>
    </w:pPr>
    <w:rPr>
      <w:rFonts w:ascii="Times New Roman" w:hAnsi="Times New Roman" w:eastAsia="楷体_GB2312"/>
      <w:b/>
      <w:sz w:val="36"/>
    </w:rPr>
  </w:style>
  <w:style w:type="paragraph" w:styleId="4">
    <w:name w:val="heading 3"/>
    <w:basedOn w:val="1"/>
    <w:next w:val="1"/>
    <w:unhideWhenUsed/>
    <w:qFormat/>
    <w:locked/>
    <w:uiPriority w:val="0"/>
    <w:pPr>
      <w:keepNext/>
      <w:keepLines/>
      <w:spacing w:before="50" w:beforeLines="50" w:beforeAutospacing="0" w:after="50" w:afterLines="50" w:afterAutospacing="0" w:line="360" w:lineRule="auto"/>
      <w:outlineLvl w:val="2"/>
    </w:pPr>
    <w:rPr>
      <w:rFonts w:ascii="Times New Roman" w:hAnsi="Times New Roman" w:eastAsia="华文楷体"/>
      <w:b/>
      <w:sz w:val="32"/>
    </w:rPr>
  </w:style>
  <w:style w:type="paragraph" w:styleId="5">
    <w:name w:val="heading 4"/>
    <w:basedOn w:val="1"/>
    <w:next w:val="1"/>
    <w:semiHidden/>
    <w:unhideWhenUsed/>
    <w:qFormat/>
    <w:locked/>
    <w:uiPriority w:val="0"/>
    <w:pPr>
      <w:keepNext/>
      <w:keepLines/>
      <w:spacing w:before="50" w:beforeLines="50" w:beforeAutospacing="0" w:after="50" w:afterLines="50" w:afterAutospacing="0" w:line="360" w:lineRule="auto"/>
      <w:outlineLvl w:val="3"/>
    </w:pPr>
    <w:rPr>
      <w:rFonts w:ascii="Times New Roman" w:hAnsi="Times New Roman" w:eastAsia="宋体"/>
      <w:b/>
      <w:sz w:val="28"/>
    </w:rPr>
  </w:style>
  <w:style w:type="character" w:default="1" w:styleId="14">
    <w:name w:val="Default Paragraph Font"/>
    <w:semiHidden/>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6">
    <w:name w:val="annotation text"/>
    <w:basedOn w:val="1"/>
    <w:qFormat/>
    <w:uiPriority w:val="0"/>
    <w:pPr>
      <w:jc w:val="left"/>
    </w:pPr>
  </w:style>
  <w:style w:type="paragraph" w:styleId="7">
    <w:name w:val="toc 3"/>
    <w:basedOn w:val="1"/>
    <w:next w:val="1"/>
    <w:qFormat/>
    <w:locked/>
    <w:uiPriority w:val="0"/>
    <w:pPr>
      <w:ind w:left="840" w:leftChars="400"/>
    </w:p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link w:val="17"/>
    <w:qFormat/>
    <w:uiPriority w:val="0"/>
    <w:pPr>
      <w:pBdr>
        <w:bottom w:val="single" w:color="auto" w:sz="6" w:space="1"/>
      </w:pBdr>
      <w:tabs>
        <w:tab w:val="center" w:pos="4153"/>
        <w:tab w:val="right" w:pos="8306"/>
      </w:tabs>
      <w:snapToGrid w:val="0"/>
      <w:jc w:val="center"/>
    </w:pPr>
    <w:rPr>
      <w:kern w:val="0"/>
      <w:sz w:val="18"/>
      <w:szCs w:val="20"/>
    </w:rPr>
  </w:style>
  <w:style w:type="paragraph" w:styleId="10">
    <w:name w:val="toc 1"/>
    <w:basedOn w:val="1"/>
    <w:next w:val="1"/>
    <w:qFormat/>
    <w:locked/>
    <w:uiPriority w:val="0"/>
  </w:style>
  <w:style w:type="paragraph" w:styleId="11">
    <w:name w:val="toc 2"/>
    <w:basedOn w:val="1"/>
    <w:next w:val="1"/>
    <w:qFormat/>
    <w:locked/>
    <w:uiPriority w:val="0"/>
    <w:pPr>
      <w:ind w:left="420" w:leftChars="200"/>
    </w:pPr>
  </w:style>
  <w:style w:type="table" w:styleId="13">
    <w:name w:val="Table Grid"/>
    <w:basedOn w:val="12"/>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Strong"/>
    <w:basedOn w:val="14"/>
    <w:qFormat/>
    <w:locked/>
    <w:uiPriority w:val="0"/>
    <w:rPr>
      <w:b/>
    </w:rPr>
  </w:style>
  <w:style w:type="character" w:styleId="16">
    <w:name w:val="page number"/>
    <w:basedOn w:val="14"/>
    <w:qFormat/>
    <w:locked/>
    <w:uiPriority w:val="0"/>
  </w:style>
  <w:style w:type="character" w:customStyle="1" w:styleId="17">
    <w:name w:val="页眉 Char"/>
    <w:link w:val="9"/>
    <w:qFormat/>
    <w:locked/>
    <w:uiPriority w:val="0"/>
    <w:rPr>
      <w:sz w:val="18"/>
    </w:rPr>
  </w:style>
  <w:style w:type="character" w:customStyle="1" w:styleId="18">
    <w:name w:val="页脚 字符"/>
    <w:basedOn w:val="14"/>
    <w:qFormat/>
    <w:uiPriority w:val="99"/>
  </w:style>
  <w:style w:type="paragraph" w:customStyle="1" w:styleId="19">
    <w:name w:val="图表题"/>
    <w:basedOn w:val="1"/>
    <w:qFormat/>
    <w:uiPriority w:val="0"/>
    <w:pPr>
      <w:adjustRightInd w:val="0"/>
      <w:snapToGrid w:val="0"/>
      <w:spacing w:after="50" w:afterLines="50" w:line="360" w:lineRule="auto"/>
      <w:jc w:val="center"/>
    </w:pPr>
    <w:rPr>
      <w:rFonts w:hint="eastAsia"/>
      <w:b/>
      <w:sz w:val="21"/>
    </w:rPr>
  </w:style>
  <w:style w:type="paragraph" w:customStyle="1" w:styleId="20">
    <w:name w:val="表标题"/>
    <w:basedOn w:val="1"/>
    <w:link w:val="21"/>
    <w:qFormat/>
    <w:uiPriority w:val="0"/>
    <w:pPr>
      <w:autoSpaceDE w:val="0"/>
      <w:autoSpaceDN w:val="0"/>
      <w:adjustRightInd w:val="0"/>
      <w:snapToGrid w:val="0"/>
      <w:spacing w:before="50" w:beforeLines="50" w:line="360" w:lineRule="auto"/>
      <w:ind w:firstLine="0" w:firstLineChars="0"/>
      <w:jc w:val="center"/>
    </w:pPr>
    <w:rPr>
      <w:rFonts w:hint="eastAsia" w:ascii="Times New Roman" w:hAnsi="Times New Roman" w:eastAsia="宋体" w:cs="Times New Roman"/>
      <w:b/>
      <w:kern w:val="0"/>
      <w:sz w:val="21"/>
    </w:rPr>
  </w:style>
  <w:style w:type="character" w:customStyle="1" w:styleId="21">
    <w:name w:val="表标题 Char"/>
    <w:link w:val="20"/>
    <w:qFormat/>
    <w:uiPriority w:val="0"/>
    <w:rPr>
      <w:rFonts w:hint="eastAsia" w:ascii="Times New Roman" w:hAnsi="Times New Roman" w:eastAsia="宋体" w:cs="Times New Roman"/>
      <w:b/>
      <w:kern w:val="0"/>
      <w:sz w:val="21"/>
    </w:rPr>
  </w:style>
  <w:style w:type="table" w:customStyle="1" w:styleId="22">
    <w:name w:val="Table Normal"/>
    <w:unhideWhenUsed/>
    <w:qFormat/>
    <w:uiPriority w:val="0"/>
    <w:rPr>
      <w:lang w:val="en-US" w:eastAsia="zh-CN" w:bidi="ar-SA"/>
    </w:rPr>
    <w:tblPr>
      <w:tblCellMar>
        <w:top w:w="0" w:type="dxa"/>
        <w:left w:w="0" w:type="dxa"/>
        <w:bottom w:w="0" w:type="dxa"/>
        <w:right w:w="0" w:type="dxa"/>
      </w:tblCellMar>
    </w:tblPr>
  </w:style>
  <w:style w:type="character" w:customStyle="1" w:styleId="23">
    <w:name w:val="font71"/>
    <w:basedOn w:val="14"/>
    <w:qFormat/>
    <w:uiPriority w:val="0"/>
    <w:rPr>
      <w:rFonts w:ascii="宋体" w:hAnsi="宋体" w:eastAsia="宋体" w:cs="宋体"/>
      <w:b/>
      <w:bCs/>
      <w:color w:val="000000"/>
      <w:sz w:val="22"/>
      <w:szCs w:val="22"/>
      <w:u w:val="none"/>
    </w:rPr>
  </w:style>
  <w:style w:type="character" w:customStyle="1" w:styleId="24">
    <w:name w:val="font31"/>
    <w:basedOn w:val="14"/>
    <w:qFormat/>
    <w:uiPriority w:val="0"/>
    <w:rPr>
      <w:rFonts w:ascii="宋体" w:hAnsi="宋体" w:eastAsia="宋体" w:cs="宋体"/>
      <w:color w:val="000000"/>
      <w:sz w:val="22"/>
      <w:szCs w:val="22"/>
      <w:u w:val="none"/>
    </w:rPr>
  </w:style>
  <w:style w:type="character" w:customStyle="1" w:styleId="25">
    <w:name w:val="font61"/>
    <w:basedOn w:val="14"/>
    <w:qFormat/>
    <w:uiPriority w:val="0"/>
    <w:rPr>
      <w:rFonts w:ascii="宋体" w:hAnsi="宋体" w:eastAsia="宋体" w:cs="宋体"/>
      <w:color w:val="000000"/>
      <w:sz w:val="20"/>
      <w:szCs w:val="20"/>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85.jpeg"/><Relationship Id="rId98" Type="http://schemas.openxmlformats.org/officeDocument/2006/relationships/image" Target="media/image84.jpeg"/><Relationship Id="rId97" Type="http://schemas.openxmlformats.org/officeDocument/2006/relationships/image" Target="media/image83.jpeg"/><Relationship Id="rId96" Type="http://schemas.openxmlformats.org/officeDocument/2006/relationships/image" Target="media/image82.jpeg"/><Relationship Id="rId95" Type="http://schemas.openxmlformats.org/officeDocument/2006/relationships/image" Target="media/image81.jpeg"/><Relationship Id="rId94" Type="http://schemas.openxmlformats.org/officeDocument/2006/relationships/image" Target="media/image80.jpeg"/><Relationship Id="rId93" Type="http://schemas.openxmlformats.org/officeDocument/2006/relationships/image" Target="media/image79.jpeg"/><Relationship Id="rId92" Type="http://schemas.openxmlformats.org/officeDocument/2006/relationships/image" Target="media/image78.jpeg"/><Relationship Id="rId91" Type="http://schemas.openxmlformats.org/officeDocument/2006/relationships/image" Target="media/image77.jpeg"/><Relationship Id="rId90" Type="http://schemas.openxmlformats.org/officeDocument/2006/relationships/image" Target="media/image76.jpeg"/><Relationship Id="rId9" Type="http://schemas.openxmlformats.org/officeDocument/2006/relationships/footer" Target="footer5.xml"/><Relationship Id="rId89" Type="http://schemas.openxmlformats.org/officeDocument/2006/relationships/image" Target="media/image75.jpeg"/><Relationship Id="rId88" Type="http://schemas.openxmlformats.org/officeDocument/2006/relationships/image" Target="media/image74.jpeg"/><Relationship Id="rId87" Type="http://schemas.openxmlformats.org/officeDocument/2006/relationships/image" Target="media/image73.jpeg"/><Relationship Id="rId86" Type="http://schemas.openxmlformats.org/officeDocument/2006/relationships/image" Target="media/image72.jpeg"/><Relationship Id="rId85" Type="http://schemas.openxmlformats.org/officeDocument/2006/relationships/image" Target="media/image71.jpeg"/><Relationship Id="rId84" Type="http://schemas.openxmlformats.org/officeDocument/2006/relationships/image" Target="media/image70.jpeg"/><Relationship Id="rId83" Type="http://schemas.openxmlformats.org/officeDocument/2006/relationships/image" Target="media/image69.jpeg"/><Relationship Id="rId82" Type="http://schemas.openxmlformats.org/officeDocument/2006/relationships/image" Target="media/image68.jpeg"/><Relationship Id="rId81" Type="http://schemas.openxmlformats.org/officeDocument/2006/relationships/image" Target="media/image67.jpeg"/><Relationship Id="rId80" Type="http://schemas.openxmlformats.org/officeDocument/2006/relationships/image" Target="media/image66.jpeg"/><Relationship Id="rId8" Type="http://schemas.openxmlformats.org/officeDocument/2006/relationships/footer" Target="footer4.xml"/><Relationship Id="rId79" Type="http://schemas.openxmlformats.org/officeDocument/2006/relationships/image" Target="media/image65.jpeg"/><Relationship Id="rId78" Type="http://schemas.openxmlformats.org/officeDocument/2006/relationships/image" Target="media/image64.jpeg"/><Relationship Id="rId77" Type="http://schemas.openxmlformats.org/officeDocument/2006/relationships/image" Target="media/image63.jpeg"/><Relationship Id="rId76" Type="http://schemas.openxmlformats.org/officeDocument/2006/relationships/image" Target="media/image62.jpeg"/><Relationship Id="rId75" Type="http://schemas.openxmlformats.org/officeDocument/2006/relationships/image" Target="media/image61.jpeg"/><Relationship Id="rId74" Type="http://schemas.openxmlformats.org/officeDocument/2006/relationships/image" Target="media/image60.jpeg"/><Relationship Id="rId73" Type="http://schemas.openxmlformats.org/officeDocument/2006/relationships/image" Target="media/image59.jpeg"/><Relationship Id="rId72" Type="http://schemas.openxmlformats.org/officeDocument/2006/relationships/image" Target="media/image58.jpeg"/><Relationship Id="rId71" Type="http://schemas.openxmlformats.org/officeDocument/2006/relationships/image" Target="media/image57.jpeg"/><Relationship Id="rId70" Type="http://schemas.openxmlformats.org/officeDocument/2006/relationships/image" Target="media/image56.jpeg"/><Relationship Id="rId7" Type="http://schemas.openxmlformats.org/officeDocument/2006/relationships/footer" Target="footer3.xml"/><Relationship Id="rId69" Type="http://schemas.openxmlformats.org/officeDocument/2006/relationships/image" Target="media/image55.jpeg"/><Relationship Id="rId68" Type="http://schemas.openxmlformats.org/officeDocument/2006/relationships/image" Target="media/image54.jpeg"/><Relationship Id="rId67" Type="http://schemas.openxmlformats.org/officeDocument/2006/relationships/image" Target="media/image53.jpeg"/><Relationship Id="rId66" Type="http://schemas.openxmlformats.org/officeDocument/2006/relationships/image" Target="media/image52.jpeg"/><Relationship Id="rId65" Type="http://schemas.openxmlformats.org/officeDocument/2006/relationships/image" Target="media/image51.jpeg"/><Relationship Id="rId64" Type="http://schemas.openxmlformats.org/officeDocument/2006/relationships/image" Target="media/image50.jpeg"/><Relationship Id="rId63" Type="http://schemas.openxmlformats.org/officeDocument/2006/relationships/image" Target="media/image49.jpeg"/><Relationship Id="rId62" Type="http://schemas.openxmlformats.org/officeDocument/2006/relationships/image" Target="media/image48.jpeg"/><Relationship Id="rId61" Type="http://schemas.openxmlformats.org/officeDocument/2006/relationships/image" Target="media/image47.jpeg"/><Relationship Id="rId60" Type="http://schemas.openxmlformats.org/officeDocument/2006/relationships/image" Target="media/image46.jpeg"/><Relationship Id="rId6" Type="http://schemas.openxmlformats.org/officeDocument/2006/relationships/footer" Target="footer2.xml"/><Relationship Id="rId59" Type="http://schemas.openxmlformats.org/officeDocument/2006/relationships/image" Target="media/image45.jpeg"/><Relationship Id="rId58" Type="http://schemas.openxmlformats.org/officeDocument/2006/relationships/image" Target="media/image44.jpeg"/><Relationship Id="rId57" Type="http://schemas.openxmlformats.org/officeDocument/2006/relationships/image" Target="media/image43.jpeg"/><Relationship Id="rId56" Type="http://schemas.openxmlformats.org/officeDocument/2006/relationships/image" Target="media/image42.jpeg"/><Relationship Id="rId55" Type="http://schemas.openxmlformats.org/officeDocument/2006/relationships/image" Target="media/image41.jpeg"/><Relationship Id="rId54" Type="http://schemas.openxmlformats.org/officeDocument/2006/relationships/image" Target="media/image40.jpeg"/><Relationship Id="rId53" Type="http://schemas.openxmlformats.org/officeDocument/2006/relationships/image" Target="media/image39.jpeg"/><Relationship Id="rId52" Type="http://schemas.openxmlformats.org/officeDocument/2006/relationships/image" Target="media/image38.jpeg"/><Relationship Id="rId51" Type="http://schemas.openxmlformats.org/officeDocument/2006/relationships/image" Target="media/image37.jpeg"/><Relationship Id="rId50" Type="http://schemas.openxmlformats.org/officeDocument/2006/relationships/image" Target="media/image36.jpeg"/><Relationship Id="rId5" Type="http://schemas.openxmlformats.org/officeDocument/2006/relationships/footer" Target="footer1.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jpeg"/><Relationship Id="rId44" Type="http://schemas.openxmlformats.org/officeDocument/2006/relationships/image" Target="media/image30.jpe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jpeg"/><Relationship Id="rId4" Type="http://schemas.openxmlformats.org/officeDocument/2006/relationships/endnotes" Target="endnotes.xml"/><Relationship Id="rId39" Type="http://schemas.openxmlformats.org/officeDocument/2006/relationships/image" Target="media/image25.jpeg"/><Relationship Id="rId38" Type="http://schemas.openxmlformats.org/officeDocument/2006/relationships/image" Target="media/image24.jpeg"/><Relationship Id="rId37" Type="http://schemas.openxmlformats.org/officeDocument/2006/relationships/image" Target="media/image23.png"/><Relationship Id="rId36" Type="http://schemas.openxmlformats.org/officeDocument/2006/relationships/image" Target="media/image22.jpeg"/><Relationship Id="rId35" Type="http://schemas.openxmlformats.org/officeDocument/2006/relationships/image" Target="media/image21.jpeg"/><Relationship Id="rId34" Type="http://schemas.openxmlformats.org/officeDocument/2006/relationships/image" Target="media/image20.jpeg"/><Relationship Id="rId33" Type="http://schemas.openxmlformats.org/officeDocument/2006/relationships/image" Target="media/image19.jpeg"/><Relationship Id="rId32" Type="http://schemas.openxmlformats.org/officeDocument/2006/relationships/image" Target="media/image18.jpeg"/><Relationship Id="rId31" Type="http://schemas.openxmlformats.org/officeDocument/2006/relationships/image" Target="media/image17.jpeg"/><Relationship Id="rId30" Type="http://schemas.openxmlformats.org/officeDocument/2006/relationships/image" Target="media/image16.jpeg"/><Relationship Id="rId3" Type="http://schemas.openxmlformats.org/officeDocument/2006/relationships/footnotes" Target="footnotes.xml"/><Relationship Id="rId29" Type="http://schemas.openxmlformats.org/officeDocument/2006/relationships/image" Target="media/image15.jpeg"/><Relationship Id="rId28" Type="http://schemas.openxmlformats.org/officeDocument/2006/relationships/image" Target="media/image14.jpeg"/><Relationship Id="rId27" Type="http://schemas.openxmlformats.org/officeDocument/2006/relationships/image" Target="media/image13.jpeg"/><Relationship Id="rId26" Type="http://schemas.openxmlformats.org/officeDocument/2006/relationships/image" Target="media/image12.jpeg"/><Relationship Id="rId25" Type="http://schemas.openxmlformats.org/officeDocument/2006/relationships/image" Target="media/image11.jpeg"/><Relationship Id="rId24" Type="http://schemas.openxmlformats.org/officeDocument/2006/relationships/image" Target="media/image10.jpeg"/><Relationship Id="rId23" Type="http://schemas.openxmlformats.org/officeDocument/2006/relationships/image" Target="media/image9.jpeg"/><Relationship Id="rId22" Type="http://schemas.openxmlformats.org/officeDocument/2006/relationships/image" Target="media/image8.jpeg"/><Relationship Id="rId21" Type="http://schemas.openxmlformats.org/officeDocument/2006/relationships/image" Target="media/image7.png"/><Relationship Id="rId20" Type="http://schemas.openxmlformats.org/officeDocument/2006/relationships/image" Target="media/image6.jpeg"/><Relationship Id="rId2" Type="http://schemas.openxmlformats.org/officeDocument/2006/relationships/settings" Target="settings.xml"/><Relationship Id="rId19" Type="http://schemas.openxmlformats.org/officeDocument/2006/relationships/image" Target="media/image5.jpeg"/><Relationship Id="rId18" Type="http://schemas.openxmlformats.org/officeDocument/2006/relationships/image" Target="media/image4.jpeg"/><Relationship Id="rId17" Type="http://schemas.openxmlformats.org/officeDocument/2006/relationships/image" Target="media/image3.jpeg"/><Relationship Id="rId16" Type="http://schemas.openxmlformats.org/officeDocument/2006/relationships/image" Target="media/image2.jpeg"/><Relationship Id="rId15" Type="http://schemas.openxmlformats.org/officeDocument/2006/relationships/image" Target="media/image1.jpeg"/><Relationship Id="rId14" Type="http://schemas.openxmlformats.org/officeDocument/2006/relationships/theme" Target="theme/theme1.xml"/><Relationship Id="rId13" Type="http://schemas.openxmlformats.org/officeDocument/2006/relationships/footer" Target="footer9.xml"/><Relationship Id="rId12" Type="http://schemas.openxmlformats.org/officeDocument/2006/relationships/footer" Target="footer8.xml"/><Relationship Id="rId119" Type="http://schemas.openxmlformats.org/officeDocument/2006/relationships/fontTable" Target="fontTable.xml"/><Relationship Id="rId118" Type="http://schemas.openxmlformats.org/officeDocument/2006/relationships/customXml" Target="../customXml/item2.xml"/><Relationship Id="rId117" Type="http://schemas.openxmlformats.org/officeDocument/2006/relationships/numbering" Target="numbering.xml"/><Relationship Id="rId116" Type="http://schemas.openxmlformats.org/officeDocument/2006/relationships/customXml" Target="../customXml/item1.xml"/><Relationship Id="rId115" Type="http://schemas.openxmlformats.org/officeDocument/2006/relationships/image" Target="media/image101.jpeg"/><Relationship Id="rId114" Type="http://schemas.openxmlformats.org/officeDocument/2006/relationships/image" Target="media/image100.jpeg"/><Relationship Id="rId113" Type="http://schemas.openxmlformats.org/officeDocument/2006/relationships/image" Target="media/image99.jpeg"/><Relationship Id="rId112" Type="http://schemas.openxmlformats.org/officeDocument/2006/relationships/image" Target="media/image98.jpeg"/><Relationship Id="rId111" Type="http://schemas.openxmlformats.org/officeDocument/2006/relationships/image" Target="media/image97.jpeg"/><Relationship Id="rId110" Type="http://schemas.openxmlformats.org/officeDocument/2006/relationships/image" Target="media/image96.jpeg"/><Relationship Id="rId11" Type="http://schemas.openxmlformats.org/officeDocument/2006/relationships/footer" Target="footer7.xml"/><Relationship Id="rId109" Type="http://schemas.openxmlformats.org/officeDocument/2006/relationships/image" Target="media/image95.jpeg"/><Relationship Id="rId108" Type="http://schemas.openxmlformats.org/officeDocument/2006/relationships/image" Target="media/image94.jpeg"/><Relationship Id="rId107" Type="http://schemas.openxmlformats.org/officeDocument/2006/relationships/image" Target="media/image93.jpeg"/><Relationship Id="rId106" Type="http://schemas.openxmlformats.org/officeDocument/2006/relationships/image" Target="media/image92.jpeg"/><Relationship Id="rId105" Type="http://schemas.openxmlformats.org/officeDocument/2006/relationships/image" Target="media/image91.jpeg"/><Relationship Id="rId104" Type="http://schemas.openxmlformats.org/officeDocument/2006/relationships/image" Target="media/image90.jpeg"/><Relationship Id="rId103" Type="http://schemas.openxmlformats.org/officeDocument/2006/relationships/image" Target="media/image89.jpeg"/><Relationship Id="rId102" Type="http://schemas.openxmlformats.org/officeDocument/2006/relationships/image" Target="media/image88.jpeg"/><Relationship Id="rId101" Type="http://schemas.openxmlformats.org/officeDocument/2006/relationships/image" Target="media/image87.jpeg"/><Relationship Id="rId100" Type="http://schemas.openxmlformats.org/officeDocument/2006/relationships/image" Target="media/image86.jpeg"/><Relationship Id="rId10" Type="http://schemas.openxmlformats.org/officeDocument/2006/relationships/footer" Target="footer6.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home/asd/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xmlns="http://schemas.wps.cn/vas-ai-hub/contract-review">
    <reviewItem xmlns="http://schemas.wps.cn/vas-ai-hub/contract-review">
      <errorID xmlns="http://schemas.wps.cn/vas-ai-hub/contract-review">80c77e4d-0783-400f-b4ae-065fda881ac4</errorID>
      <errorWord xmlns="http://schemas.wps.cn/vas-ai-hub/contract-review">2026年03月</errorWord>
      <group xmlns="http://schemas.wps.cn/vas-ai-hub/contract-review">L1_Knowledge</group>
      <groupName xmlns="http://schemas.wps.cn/vas-ai-hub/contract-review">知识性问题</groupName>
      <ability xmlns="http://schemas.wps.cn/vas-ai-hub/contract-review">L2_Time</ability>
      <abilityName xmlns="http://schemas.wps.cn/vas-ai-hub/contract-review">日期时间</abilityName>
      <candidateList xmlns="http://schemas.wps.cn/vas-ai-hub/contract-review">
        <item xmlns="http://schemas.wps.cn/vas-ai-hub/contract-review">2026年3月</item>
      </candidateList>
      <explain xmlns="http://schemas.wps.cn/vas-ai-hub/contract-review">根据日常书写习惯，月份一般会省略前导零。</explain>
      <paraID xmlns="http://schemas.wps.cn/vas-ai-hub/contract-review">6A86C857</paraID>
      <start xmlns="http://schemas.wps.cn/vas-ai-hub/contract-review">10</start>
      <end xmlns="http://schemas.wps.cn/vas-ai-hub/contract-review">18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cdc19558-1640-4d2f-9529-b717f9612bdc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37E97496</paraID>
      <start xmlns="http://schemas.wps.cn/vas-ai-hub/contract-review">26</start>
      <end xmlns="http://schemas.wps.cn/vas-ai-hub/contract-review">27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ccea181d-176a-4272-91ed-a5e364b3c1c5</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1E413BE3</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f31dd584-3afb-4617-9f01-6f6c1d2b0480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489CF6A7</paraID>
      <start xmlns="http://schemas.wps.cn/vas-ai-hub/contract-review">45</start>
      <end xmlns="http://schemas.wps.cn/vas-ai-hub/contract-review">46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c7b208cb-4454-4477-8ae2-384583d85e4c</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36C121E4</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a51c2000-16db-4c1b-a350-bfb90e00276b</errorID>
      <errorWord xmlns="http://schemas.wps.cn/vas-ai-hub/contract-review">上线</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上限</item>
      </candidateList>
      <explain xmlns="http://schemas.wps.cn/vas-ai-hub/contract-review"/>
      <paraID xmlns="http://schemas.wps.cn/vas-ai-hub/contract-review">1B9EE7F4</paraID>
      <start xmlns="http://schemas.wps.cn/vas-ai-hub/contract-review">86</start>
      <end xmlns="http://schemas.wps.cn/vas-ai-hub/contract-review">88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131e9be7-6085-4290-ae58-ea66adfbd0ae</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6B6EF540</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103278ac-5103-4983-8fa1-0ff420722b5f</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2D607893</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a271cb61-2b08-433a-8538-e297e4735bbe</errorID>
      <errorWord xmlns="http://schemas.wps.cn/vas-ai-hub/contract-review">制定计划</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制订计划</item>
      </candidateList>
      <explain xmlns="http://schemas.wps.cn/vas-ai-hub/contract-review"/>
      <paraID xmlns="http://schemas.wps.cn/vas-ai-hub/contract-review">2D607893</paraID>
      <start xmlns="http://schemas.wps.cn/vas-ai-hub/contract-review">53</start>
      <end xmlns="http://schemas.wps.cn/vas-ai-hub/contract-review">57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fa26e5a9-3459-41d0-9699-294bd64ebd73</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7077D5AF</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d4a16fae-525c-48f6-bac5-618cc7c76c0c</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2146EDBE</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cde774ef-9ccb-4b30-a211-4c7e9f47d394</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635BD8FF</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f1e671f9-9302-4890-ad1e-a7000305cc42</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194D33B6</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6b21262a-8eb3-4d75-a38e-eaa194ab838c</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1E1FE029</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dd79e251-6a6e-40b6-bde6-ecec7a8550c8</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161986AC</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c678204a-0b7d-451c-bd68-bcaeb2de3e1f</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5D8CFF7</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9d098de8-91c5-4019-b545-b29f50645b86</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6040AAF4</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66f38927-098f-46a3-bbc9-87df0282b8ba</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679E211B</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e93696c0-6413-426d-894a-d6b94063b87a</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5366F627</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e20871da-12d6-423d-abce-3e790e0e00bc</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2E831C5B</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1ecb40dd-3821-4405-812b-e6379819a0bd</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5837F695</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ff6ca0ae-e988-41d1-8ad1-eb41fa538043</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68890CF8</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ea2f9887-1753-4b11-86a7-a5b0923a9b24</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16763917</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7cf3ac2b-7154-490d-83d3-18df794d5d4f</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6DC8755C</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c6beea12-6f1d-4005-a0b7-2cb431c065e7</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BBE2690</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14ab2cac-ee6f-444b-9b6f-743ceb62d053</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16FE24A7</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fd49dd59-7639-49ad-ab69-ecd8411226f1</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5E9D6D35</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3806eb90-6cbb-4369-b1a0-a2bd92bed81d</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3F4D9C09</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d0b45684-00cc-405d-a068-595f5c83f841</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4584CB5F</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ab461373-8a14-4ff1-a2a2-62dbfa29eaf7</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7A577823</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ec007b35-fb8f-44b5-b94c-7ae44420144c</errorID>
      <errorWord xmlns="http://schemas.wps.cn/vas-ai-hub/contract-review">〔2014〕074号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〔2014〕74号</item>
      </candidateList>
      <explain xmlns="http://schemas.wps.cn/vas-ai-hub/contract-review">发文字号格式错误。</explain>
      <paraID xmlns="http://schemas.wps.cn/vas-ai-hub/contract-review"> E921840</paraID>
      <start xmlns="http://schemas.wps.cn/vas-ai-hub/contract-review">59</start>
      <end xmlns="http://schemas.wps.cn/vas-ai-hub/contract-review">69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f5990152-fdcb-4fc1-93e1-8c8c4cb64306</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6949B0D4</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06da2385-6ba0-4553-8165-6cbe209b1b45</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3A02032D</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bee1cba4-b3fa-416c-bea4-b838f6990f61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18209A99</paraID>
      <start xmlns="http://schemas.wps.cn/vas-ai-hub/contract-review">4</start>
      <end xmlns="http://schemas.wps.cn/vas-ai-hub/contract-review">5</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db60ad47-bc4c-4352-b829-2058d1d98415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6B7E15AA</paraID>
      <start xmlns="http://schemas.wps.cn/vas-ai-hub/contract-review">8</start>
      <end xmlns="http://schemas.wps.cn/vas-ai-hub/contract-review">9</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db5cb1bd-a09d-4d72-8aef-ffffd41772b0</errorID>
      <errorWord xmlns="http://schemas.wps.cn/vas-ai-hub/contract-review">98.8~99.2%</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98.8%～99.2%</item>
      </candidateList>
      <explain xmlns="http://schemas.wps.cn/vas-ai-hub/contract-review">1. “98.8~99.2%”中的单位“%”仅出现在后一个数字上，容易引起歧义；根据《现代汉语标点符号数字用法规范手册》，数字表示范围两边需要使用统一的格式。2. 根据标点国标 4.13 中的规则，数字、时间或地域连接符应使用（视觉上更长的）“—”或“～”。</explain>
      <paraID xmlns="http://schemas.wps.cn/vas-ai-hub/contract-review">6B7E15AA</paraID>
      <start xmlns="http://schemas.wps.cn/vas-ai-hub/contract-review">9</start>
      <end xmlns="http://schemas.wps.cn/vas-ai-hub/contract-review">20</end>
      <status xmlns="http://schemas.wps.cn/vas-ai-hub/contract-review">modified</status>
      <modifiedWord xmlns="http://schemas.wps.cn/vas-ai-hub/contract-review">98.8%～99.2%</modifiedWord>
      <trackRevisions xmlns="http://schemas.wps.cn/vas-ai-hub/contract-review">false</trackRevisions>
    </reviewItem>
    <reviewItem xmlns="http://schemas.wps.cn/vas-ai-hub/contract-review">
      <errorID xmlns="http://schemas.wps.cn/vas-ai-hub/contract-review">f4ee8753-86b1-42eb-bbc2-2cb6096a5a26</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77C94D75</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4e6d42ef-ae67-4a22-b058-3795930b80fa</errorID>
      <errorWord xmlns="http://schemas.wps.cn/vas-ai-hub/contract-review">巴彦掉尔市</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巴彦淖尔市</item>
      </candidateList>
      <explain xmlns="http://schemas.wps.cn/vas-ai-hub/contract-review"/>
      <paraID xmlns="http://schemas.wps.cn/vas-ai-hub/contract-review">34149CE5</paraID>
      <start xmlns="http://schemas.wps.cn/vas-ai-hub/contract-review">21</start>
      <end xmlns="http://schemas.wps.cn/vas-ai-hub/contract-review">26</end>
      <status xmlns="http://schemas.wps.cn/vas-ai-hub/contract-review">modified</status>
      <modifiedWord xmlns="http://schemas.wps.cn/vas-ai-hub/contract-review">巴彦淖尔市</modifiedWord>
      <trackRevisions xmlns="http://schemas.wps.cn/vas-ai-hub/contract-review">false</trackRevisions>
    </reviewItem>
    <reviewItem xmlns="http://schemas.wps.cn/vas-ai-hub/contract-review">
      <errorID xmlns="http://schemas.wps.cn/vas-ai-hub/contract-review">03766b54-66cc-4526-a2ba-788947225555</errorID>
      <errorWord xmlns="http://schemas.wps.cn/vas-ai-hub/contract-review">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缺氧</item>
      </candidateList>
      <explain xmlns="http://schemas.wps.cn/vas-ai-hub/contract-review"/>
      <paraID xmlns="http://schemas.wps.cn/vas-ai-hub/contract-review">663AE901</paraID>
      <start xmlns="http://schemas.wps.cn/vas-ai-hub/contract-review">27</start>
      <end xmlns="http://schemas.wps.cn/vas-ai-hub/contract-review">29</end>
      <status xmlns="http://schemas.wps.cn/vas-ai-hub/contract-review">modified</status>
      <modifiedWord xmlns="http://schemas.wps.cn/vas-ai-hub/contract-review">缺氧</modifiedWord>
      <trackRevisions xmlns="http://schemas.wps.cn/vas-ai-hub/contract-review">false</trackRevisions>
    </reviewItem>
    <reviewItem xmlns="http://schemas.wps.cn/vas-ai-hub/contract-review">
      <errorID xmlns="http://schemas.wps.cn/vas-ai-hub/contract-review">6d307feb-fa6a-4c72-9ec4-d994114095b6</errorID>
      <errorWord xmlns="http://schemas.wps.cn/vas-ai-hub/contract-review">混凝结构</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混凝土结构</item>
      </candidateList>
      <explain xmlns="http://schemas.wps.cn/vas-ai-hub/contract-review"/>
      <paraID xmlns="http://schemas.wps.cn/vas-ai-hub/contract-review">2CDABE26</paraID>
      <start xmlns="http://schemas.wps.cn/vas-ai-hub/contract-review">14</start>
      <end xmlns="http://schemas.wps.cn/vas-ai-hub/contract-review">19</end>
      <status xmlns="http://schemas.wps.cn/vas-ai-hub/contract-review">modified</status>
      <modifiedWord xmlns="http://schemas.wps.cn/vas-ai-hub/contract-review">混凝土结构</modifiedWord>
      <trackRevisions xmlns="http://schemas.wps.cn/vas-ai-hub/contract-review">false</trackRevisions>
    </reviewItem>
    <reviewItem xmlns="http://schemas.wps.cn/vas-ai-hub/contract-review">
      <errorID xmlns="http://schemas.wps.cn/vas-ai-hub/contract-review">f79b7666-06f2-4fa5-a569-7afee901cc8d</errorID>
      <errorWord xmlns="http://schemas.wps.cn/vas-ai-hub/contract-review">附件</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附近</item>
      </candidateList>
      <explain xmlns="http://schemas.wps.cn/vas-ai-hub/contract-review">存在发音相近字词的误用。</explain>
      <paraID xmlns="http://schemas.wps.cn/vas-ai-hub/contract-review">7966FE3D</paraID>
      <start xmlns="http://schemas.wps.cn/vas-ai-hub/contract-review">1</start>
      <end xmlns="http://schemas.wps.cn/vas-ai-hub/contract-review">3</end>
      <status xmlns="http://schemas.wps.cn/vas-ai-hub/contract-review">modified</status>
      <modifiedWord xmlns="http://schemas.wps.cn/vas-ai-hub/contract-review">附近</modifiedWord>
      <trackRevisions xmlns="http://schemas.wps.cn/vas-ai-hub/contract-review">false</trackRevisions>
    </reviewItem>
    <reviewItem xmlns="http://schemas.wps.cn/vas-ai-hub/contract-review">
      <errorID xmlns="http://schemas.wps.cn/vas-ai-hub/contract-review">51176a54-b605-4016-80ab-b9d330c8dee1</errorID>
      <errorWord xmlns="http://schemas.wps.cn/vas-ai-hub/contract-review">坡府</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坡度</item>
      </candidateList>
      <explain xmlns="http://schemas.wps.cn/vas-ai-hub/contract-review">存在发音相近字词的误用。</explain>
      <paraID xmlns="http://schemas.wps.cn/vas-ai-hub/contract-review">29365BA9</paraID>
      <start xmlns="http://schemas.wps.cn/vas-ai-hub/contract-review">33</start>
      <end xmlns="http://schemas.wps.cn/vas-ai-hub/contract-review">35</end>
      <status xmlns="http://schemas.wps.cn/vas-ai-hub/contract-review">modified</status>
      <modifiedWord xmlns="http://schemas.wps.cn/vas-ai-hub/contract-review">坡度</modifiedWord>
      <trackRevisions xmlns="http://schemas.wps.cn/vas-ai-hub/contract-review">false</trackRevisions>
    </reviewItem>
    <reviewItem xmlns="http://schemas.wps.cn/vas-ai-hub/contract-review">
      <errorID xmlns="http://schemas.wps.cn/vas-ai-hub/contract-review">d10be96e-3d4b-4139-a483-0f19778c3186</errorID>
      <errorWord xmlns="http://schemas.wps.cn/vas-ai-hub/contract-review">污水外理</errorWord>
      <group xmlns="http://schemas.wps.cn/vas-ai-hub/contract-review">L1_Knowledge</group>
      <groupName xmlns="http://schemas.wps.cn/vas-ai-hub/contract-review">知识性问题</groupName>
      <ability xmlns="http://schemas.wps.cn/vas-ai-hub/contract-review">L2_Term</ability>
      <abilityName xmlns="http://schemas.wps.cn/vas-ai-hub/contract-review">专业术语</abilityName>
      <candidateList xmlns="http://schemas.wps.cn/vas-ai-hub/contract-review">
        <item xmlns="http://schemas.wps.cn/vas-ai-hub/contract-review">污水处理</item>
      </candidateList>
      <explain xmlns="http://schemas.wps.cn/vas-ai-hub/contract-review"/>
      <paraID xmlns="http://schemas.wps.cn/vas-ai-hub/contract-review">29365BA9</paraID>
      <start xmlns="http://schemas.wps.cn/vas-ai-hub/contract-review">73</start>
      <end xmlns="http://schemas.wps.cn/vas-ai-hub/contract-review">77</end>
      <status xmlns="http://schemas.wps.cn/vas-ai-hub/contract-review">modified</status>
      <modifiedWord xmlns="http://schemas.wps.cn/vas-ai-hub/contract-review">污水处理</modifiedWord>
      <trackRevisions xmlns="http://schemas.wps.cn/vas-ai-hub/contract-review">false</trackRevisions>
    </reviewItem>
    <reviewItem xmlns="http://schemas.wps.cn/vas-ai-hub/contract-review">
      <errorID xmlns="http://schemas.wps.cn/vas-ai-hub/contract-review">b5488cc3-c93d-4400-9e20-dfeccda3046e</errorID>
      <errorWord xmlns="http://schemas.wps.cn/vas-ai-hub/contract-review">外理</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处理</item>
      </candidateList>
      <explain xmlns="http://schemas.wps.cn/vas-ai-hub/contract-review"/>
      <paraID xmlns="http://schemas.wps.cn/vas-ai-hub/contract-review">29365BA9</paraID>
      <start xmlns="http://schemas.wps.cn/vas-ai-hub/contract-review">89</start>
      <end xmlns="http://schemas.wps.cn/vas-ai-hub/contract-review">91</end>
      <status xmlns="http://schemas.wps.cn/vas-ai-hub/contract-review">modified</status>
      <modifiedWord xmlns="http://schemas.wps.cn/vas-ai-hub/contract-review">处理</modifiedWord>
      <trackRevisions xmlns="http://schemas.wps.cn/vas-ai-hub/contract-review">false</trackRevisions>
    </reviewItem>
    <reviewItem xmlns="http://schemas.wps.cn/vas-ai-hub/contract-review">
      <errorID xmlns="http://schemas.wps.cn/vas-ai-hub/contract-review">7151a372-9692-4895-b6b4-2f56b42d0544</errorID>
      <errorWord xmlns="http://schemas.wps.cn/vas-ai-hub/contract-review">污水外理</errorWord>
      <group xmlns="http://schemas.wps.cn/vas-ai-hub/contract-review">L1_Knowledge</group>
      <groupName xmlns="http://schemas.wps.cn/vas-ai-hub/contract-review">知识性问题</groupName>
      <ability xmlns="http://schemas.wps.cn/vas-ai-hub/contract-review">L2_Term</ability>
      <abilityName xmlns="http://schemas.wps.cn/vas-ai-hub/contract-review">专业术语</abilityName>
      <candidateList xmlns="http://schemas.wps.cn/vas-ai-hub/contract-review">
        <item xmlns="http://schemas.wps.cn/vas-ai-hub/contract-review">污水处理</item>
      </candidateList>
      <explain xmlns="http://schemas.wps.cn/vas-ai-hub/contract-review"/>
      <paraID xmlns="http://schemas.wps.cn/vas-ai-hub/contract-review">4BB6BDB1</paraID>
      <start xmlns="http://schemas.wps.cn/vas-ai-hub/contract-review">35</start>
      <end xmlns="http://schemas.wps.cn/vas-ai-hub/contract-review">39</end>
      <status xmlns="http://schemas.wps.cn/vas-ai-hub/contract-review">modified</status>
      <modifiedWord xmlns="http://schemas.wps.cn/vas-ai-hub/contract-review">污水处理</modifiedWord>
      <trackRevisions xmlns="http://schemas.wps.cn/vas-ai-hub/contract-review">false</trackRevisions>
    </reviewItem>
    <reviewItem xmlns="http://schemas.wps.cn/vas-ai-hub/contract-review">
      <errorID xmlns="http://schemas.wps.cn/vas-ai-hub/contract-review">14104da9-fa23-4a77-8123-38ef94673d6f</errorID>
      <errorWord xmlns="http://schemas.wps.cn/vas-ai-hub/contract-review">外理</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处理</item>
      </candidateList>
      <explain xmlns="http://schemas.wps.cn/vas-ai-hub/contract-review"/>
      <paraID xmlns="http://schemas.wps.cn/vas-ai-hub/contract-review">4BB6BDB1</paraID>
      <start xmlns="http://schemas.wps.cn/vas-ai-hub/contract-review">51</start>
      <end xmlns="http://schemas.wps.cn/vas-ai-hub/contract-review">53</end>
      <status xmlns="http://schemas.wps.cn/vas-ai-hub/contract-review">modified</status>
      <modifiedWord xmlns="http://schemas.wps.cn/vas-ai-hub/contract-review">处理</modifiedWord>
      <trackRevisions xmlns="http://schemas.wps.cn/vas-ai-hub/contract-review">false</trackRevisions>
    </reviewItem>
    <reviewItem xmlns="http://schemas.wps.cn/vas-ai-hub/contract-review">
      <errorID xmlns="http://schemas.wps.cn/vas-ai-hub/contract-review">72ee1989-1615-4708-8e64-0ff3a9798f4b</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2D7F8A31</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33d1a5c9-8eb7-4fc7-9b13-36a432c96d14</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7FB7885E</paraID>
      <start xmlns="http://schemas.wps.cn/vas-ai-hub/contract-review">22</start>
      <end xmlns="http://schemas.wps.cn/vas-ai-hub/contract-review">24</end>
      <status xmlns="http://schemas.wps.cn/vas-ai-hub/contract-review">modified</status>
      <modifiedWord xmlns="http://schemas.wps.cn/vas-ai-hub/contract-review">kW</modifiedWord>
      <trackRevisions xmlns="http://schemas.wps.cn/vas-ai-hub/contract-review">false</trackRevisions>
    </reviewItem>
    <reviewItem xmlns="http://schemas.wps.cn/vas-ai-hub/contract-review">
      <errorID xmlns="http://schemas.wps.cn/vas-ai-hub/contract-review">d12994fd-a30e-478a-a24e-6414d2afc14b</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5329ED23</paraID>
      <start xmlns="http://schemas.wps.cn/vas-ai-hub/contract-review">13</start>
      <end xmlns="http://schemas.wps.cn/vas-ai-hub/contract-review">14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acb2cd51-bd43-4135-9812-6eecbedaa169</errorID>
      <errorWord xmlns="http://schemas.wps.cn/vas-ai-hub/contract-review">与</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于</item>
      </candidateList>
      <explain xmlns="http://schemas.wps.cn/vas-ai-hub/contract-review">存在发音相同字词的误用。</explain>
      <paraID xmlns="http://schemas.wps.cn/vas-ai-hub/contract-review">5EF70685</paraID>
      <start xmlns="http://schemas.wps.cn/vas-ai-hub/contract-review">169</start>
      <end xmlns="http://schemas.wps.cn/vas-ai-hub/contract-review">170</end>
      <status xmlns="http://schemas.wps.cn/vas-ai-hub/contract-review">modified</status>
      <modifiedWord xmlns="http://schemas.wps.cn/vas-ai-hub/contract-review">于</modifiedWord>
      <trackRevisions xmlns="http://schemas.wps.cn/vas-ai-hub/contract-review">false</trackRevisions>
    </reviewItem>
    <reviewItem xmlns="http://schemas.wps.cn/vas-ai-hub/contract-review">
      <errorID xmlns="http://schemas.wps.cn/vas-ai-hub/contract-review">83ef4e1b-268b-4969-87bb-38f09de42b16</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38D9405F</paraID>
      <start xmlns="http://schemas.wps.cn/vas-ai-hub/contract-review">1</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50612324-9d88-4d90-99ce-51d5f6567252</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738FBDF4</paraID>
      <start xmlns="http://schemas.wps.cn/vas-ai-hub/contract-review">1</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e2b9ef2c-764c-4b37-9829-cd4d923b00c6</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54B89CE9</paraID>
      <start xmlns="http://schemas.wps.cn/vas-ai-hub/contract-review">1</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6fcb8358-2a24-44a6-8e2a-bf23c4ff1551</errorID>
      <errorWord xmlns="http://schemas.wps.cn/vas-ai-hub/contract-review">清度</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浓度</item>
      </candidateList>
      <explain xmlns="http://schemas.wps.cn/vas-ai-hub/contract-review"/>
      <paraID xmlns="http://schemas.wps.cn/vas-ai-hub/contract-review"> 743AC60</paraID>
      <start xmlns="http://schemas.wps.cn/vas-ai-hub/contract-review">37</start>
      <end xmlns="http://schemas.wps.cn/vas-ai-hub/contract-review">39</end>
      <status xmlns="http://schemas.wps.cn/vas-ai-hub/contract-review">modified</status>
      <modifiedWord xmlns="http://schemas.wps.cn/vas-ai-hub/contract-review">浓度</modifiedWord>
      <trackRevisions xmlns="http://schemas.wps.cn/vas-ai-hub/contract-review">false</trackRevisions>
    </reviewItem>
    <reviewItem xmlns="http://schemas.wps.cn/vas-ai-hub/contract-review">
      <errorID xmlns="http://schemas.wps.cn/vas-ai-hub/contract-review">9e4585bf-81ca-470d-b518-774a72e52214</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 743AC60</paraID>
      <start xmlns="http://schemas.wps.cn/vas-ai-hub/contract-review">61</start>
      <end xmlns="http://schemas.wps.cn/vas-ai-hub/contract-review">62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de4c6d43-be8a-4c9c-a7de-8001aede78f3</errorID>
      <errorWord xmlns="http://schemas.wps.cn/vas-ai-hub/contract-review">其它</errorWord>
      <group xmlns="http://schemas.wps.cn/vas-ai-hub/contract-review">L1_Word</group>
      <groupName xmlns="http://schemas.wps.cn/vas-ai-hub/contract-review">字词问题</groupName>
      <ability xmlns="http://schemas.wps.cn/vas-ai-hub/contract-review">L2_Alias</ability>
      <abilityName xmlns="http://schemas.wps.cn/vas-ai-hub/contract-review">也作/曾用词</abilityName>
      <candidateList xmlns="http://schemas.wps.cn/vas-ai-hub/contract-review">
        <item xmlns="http://schemas.wps.cn/vas-ai-hub/contract-review">其他</item>
      </candidateList>
      <explain xmlns="http://schemas.wps.cn/vas-ai-hub/contract-review">词汇[其它]为不规范表述或旧称，其规范书面表述为[其他]。</explain>
      <paraID xmlns="http://schemas.wps.cn/vas-ai-hub/contract-review"> 743AC60</paraID>
      <start xmlns="http://schemas.wps.cn/vas-ai-hub/contract-review">107</start>
      <end xmlns="http://schemas.wps.cn/vas-ai-hub/contract-review">109</end>
      <status xmlns="http://schemas.wps.cn/vas-ai-hub/contract-review">modified</status>
      <modifiedWord xmlns="http://schemas.wps.cn/vas-ai-hub/contract-review">其他</modifiedWord>
      <trackRevisions xmlns="http://schemas.wps.cn/vas-ai-hub/contract-review">false</trackRevisions>
    </reviewItem>
    <reviewItem xmlns="http://schemas.wps.cn/vas-ai-hub/contract-review">
      <errorID xmlns="http://schemas.wps.cn/vas-ai-hub/contract-review">00d39f86-e59d-4955-8913-779d0388575f</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 743AC60</paraID>
      <start xmlns="http://schemas.wps.cn/vas-ai-hub/contract-review">164</start>
      <end xmlns="http://schemas.wps.cn/vas-ai-hub/contract-review">165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51995424-12b3-4787-a7ce-8043466091e6</errorID>
      <errorWord xmlns="http://schemas.wps.cn/vas-ai-hub/contract-review">况</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况确</item>
      </candidateList>
      <explain xmlns="http://schemas.wps.cn/vas-ai-hub/contract-review"/>
      <paraID xmlns="http://schemas.wps.cn/vas-ai-hub/contract-review"> 743AC60</paraID>
      <start xmlns="http://schemas.wps.cn/vas-ai-hub/contract-review">204</start>
      <end xmlns="http://schemas.wps.cn/vas-ai-hub/contract-review">206</end>
      <status xmlns="http://schemas.wps.cn/vas-ai-hub/contract-review">modified</status>
      <modifiedWord xmlns="http://schemas.wps.cn/vas-ai-hub/contract-review">况确</modifiedWord>
      <trackRevisions xmlns="http://schemas.wps.cn/vas-ai-hub/contract-review">false</trackRevisions>
    </reviewItem>
    <reviewItem xmlns="http://schemas.wps.cn/vas-ai-hub/contract-review">
      <errorID xmlns="http://schemas.wps.cn/vas-ai-hub/contract-review">cf1c5ae0-3cfa-426c-9825-d302abc63624</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24E52698</paraID>
      <start xmlns="http://schemas.wps.cn/vas-ai-hub/contract-review">1</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b71604f2-1e8b-43ec-affc-2ed368ded748</errorID>
      <errorWord xmlns="http://schemas.wps.cn/vas-ai-hub/contract-review">不足不足</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不足</item>
      </candidateList>
      <explain xmlns="http://schemas.wps.cn/vas-ai-hub/contract-review"/>
      <paraID xmlns="http://schemas.wps.cn/vas-ai-hub/contract-review">7BA02AA6</paraID>
      <start xmlns="http://schemas.wps.cn/vas-ai-hub/contract-review">151</start>
      <end xmlns="http://schemas.wps.cn/vas-ai-hub/contract-review">155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d0f350ca-6b8e-4a64-a43e-cc2766a56416</errorID>
      <errorWord xmlns="http://schemas.wps.cn/vas-ai-hub/contract-review">升高</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高</item>
      </candidateList>
      <explain xmlns="http://schemas.wps.cn/vas-ai-hub/contract-review">❶〈形〉从下向上距离大；离地面远（跟“低”相对，▲▲同）：～楼大厦｜这里地势很～。❷〈名〉高度：那棵树有五米～｜书桌～八十厘米。❸〈名〉三角形、平行四边形等从底部到顶部（顶点或平行线）的垂直距离。❹〈形〉在一般标准或平均程度之上的：～速度｜体温～｜见解比别人～。❺〈形〉等级在上的：～等｜～年级｜哥哥比我～一班。</explain>
      <paraID xmlns="http://schemas.wps.cn/vas-ai-hub/contract-review">7BA02AA6</paraID>
      <start xmlns="http://schemas.wps.cn/vas-ai-hub/contract-review">179</start>
      <end xmlns="http://schemas.wps.cn/vas-ai-hub/contract-review">181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82effb1d-1b64-4e9d-9a3d-1278d2bd029c</errorID>
      <errorWord xmlns="http://schemas.wps.cn/vas-ai-hub/contract-review">曝气气液</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曝气液</item>
      </candidateList>
      <explain xmlns="http://schemas.wps.cn/vas-ai-hub/contract-review"/>
      <paraID xmlns="http://schemas.wps.cn/vas-ai-hub/contract-review">7BA02AA6</paraID>
      <start xmlns="http://schemas.wps.cn/vas-ai-hub/contract-review">316</start>
      <end xmlns="http://schemas.wps.cn/vas-ai-hub/contract-review">320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750964fd-db3a-4b76-a9b4-6f42978996f5</errorID>
      <errorWord xmlns="http://schemas.wps.cn/vas-ai-hub/contract-review">湊</errorWord>
      <group xmlns="http://schemas.wps.cn/vas-ai-hub/contract-review">L1_Word</group>
      <groupName xmlns="http://schemas.wps.cn/vas-ai-hub/contract-review">字词问题</groupName>
      <ability xmlns="http://schemas.wps.cn/vas-ai-hub/contract-review">L2_Fanti</ability>
      <abilityName xmlns="http://schemas.wps.cn/vas-ai-hub/contract-review">繁转简</abilityName>
      <candidateList xmlns="http://schemas.wps.cn/vas-ai-hub/contract-review">
        <item xmlns="http://schemas.wps.cn/vas-ai-hub/contract-review">凑</item>
      </candidateList>
      <explain xmlns="http://schemas.wps.cn/vas-ai-hub/contract-review"/>
      <paraID xmlns="http://schemas.wps.cn/vas-ai-hub/contract-review">208D2EF0</paraID>
      <start xmlns="http://schemas.wps.cn/vas-ai-hub/contract-review">0</start>
      <end xmlns="http://schemas.wps.cn/vas-ai-hub/contract-review">1</end>
      <status xmlns="http://schemas.wps.cn/vas-ai-hub/contract-review">modified</status>
      <modifiedWord xmlns="http://schemas.wps.cn/vas-ai-hub/contract-review">凑</modifiedWord>
      <trackRevisions xmlns="http://schemas.wps.cn/vas-ai-hub/contract-review">false</trackRevisions>
    </reviewItem>
    <reviewItem xmlns="http://schemas.wps.cn/vas-ai-hub/contract-review">
      <errorID xmlns="http://schemas.wps.cn/vas-ai-hub/contract-review">25420e19-6b56-4e7a-8cff-06eda37abde4</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400F621A</paraID>
      <start xmlns="http://schemas.wps.cn/vas-ai-hub/contract-review">1</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15ddd5ae-43b9-49df-b4cd-4ce23cceadb7</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25BAE033</paraID>
      <start xmlns="http://schemas.wps.cn/vas-ai-hub/contract-review">1</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b3b61eda-1b94-4028-b1f7-adbaa0986909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3DF8E30D</paraID>
      <start xmlns="http://schemas.wps.cn/vas-ai-hub/contract-review">22</start>
      <end xmlns="http://schemas.wps.cn/vas-ai-hub/contract-review">23</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0972cd3c-2fb7-4609-b405-1ed466cc8ebd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27F34F03</paraID>
      <start xmlns="http://schemas.wps.cn/vas-ai-hub/contract-review">6</start>
      <end xmlns="http://schemas.wps.cn/vas-ai-hub/contract-review">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8d00137c-694e-4a82-83cb-ece46821d46b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27F34F03</paraID>
      <start xmlns="http://schemas.wps.cn/vas-ai-hub/contract-review">13</start>
      <end xmlns="http://schemas.wps.cn/vas-ai-hub/contract-review">14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f3d61957-af4d-440e-abb5-1e340ce36ff5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356C0843</paraID>
      <start xmlns="http://schemas.wps.cn/vas-ai-hub/contract-review">9</start>
      <end xmlns="http://schemas.wps.cn/vas-ai-hub/contract-review">10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5d25dfb7-f81e-4acd-aa7e-c4cd7f4bbbd3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356C0843</paraID>
      <start xmlns="http://schemas.wps.cn/vas-ai-hub/contract-review">15</start>
      <end xmlns="http://schemas.wps.cn/vas-ai-hub/contract-review">16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2b0f5e92-feb8-46dc-a91c-c4a1df812380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372157E7</paraID>
      <start xmlns="http://schemas.wps.cn/vas-ai-hub/contract-review">8</start>
      <end xmlns="http://schemas.wps.cn/vas-ai-hub/contract-review">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563ea124-55f4-4c47-bb45-922272e7073e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372157E7</paraID>
      <start xmlns="http://schemas.wps.cn/vas-ai-hub/contract-review">14</start>
      <end xmlns="http://schemas.wps.cn/vas-ai-hub/contract-review">15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e82c012c-add6-4846-b37e-5520d3659f44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1BB61A0E</paraID>
      <start xmlns="http://schemas.wps.cn/vas-ai-hub/contract-review">8</start>
      <end xmlns="http://schemas.wps.cn/vas-ai-hub/contract-review">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d4d74f86-6b74-4c8a-bf9f-b10a646b4bcb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1BB61A0E</paraID>
      <start xmlns="http://schemas.wps.cn/vas-ai-hub/contract-review">14</start>
      <end xmlns="http://schemas.wps.cn/vas-ai-hub/contract-review">15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bf5630ef-3182-448a-806b-573daf7e3ffc</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1BB61A0E</paraID>
      <start xmlns="http://schemas.wps.cn/vas-ai-hub/contract-review">20</start>
      <end xmlns="http://schemas.wps.cn/vas-ai-hub/contract-review">22</end>
      <status xmlns="http://schemas.wps.cn/vas-ai-hub/contract-review">modified</status>
      <modifiedWord xmlns="http://schemas.wps.cn/vas-ai-hub/contract-review">kW</modifiedWord>
      <trackRevisions xmlns="http://schemas.wps.cn/vas-ai-hub/contract-review">false</trackRevisions>
    </reviewItem>
    <reviewItem xmlns="http://schemas.wps.cn/vas-ai-hub/contract-review">
      <errorID xmlns="http://schemas.wps.cn/vas-ai-hub/contract-review">a3862193-f3ec-4805-87be-6ca848cb48a1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41470432</paraID>
      <start xmlns="http://schemas.wps.cn/vas-ai-hub/contract-review">8</start>
      <end xmlns="http://schemas.wps.cn/vas-ai-hub/contract-review">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49006b47-2c15-4f81-a178-21b2d2d25b15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41470432</paraID>
      <start xmlns="http://schemas.wps.cn/vas-ai-hub/contract-review">14</start>
      <end xmlns="http://schemas.wps.cn/vas-ai-hub/contract-review">15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58e77ad6-d2df-4479-ac2f-070562a4f9ea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7E2C27BA</paraID>
      <start xmlns="http://schemas.wps.cn/vas-ai-hub/contract-review">8</start>
      <end xmlns="http://schemas.wps.cn/vas-ai-hub/contract-review">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2557f58d-c1b6-4faa-8ea4-6fd5cfe97ad1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7E2C27BA</paraID>
      <start xmlns="http://schemas.wps.cn/vas-ai-hub/contract-review">14</start>
      <end xmlns="http://schemas.wps.cn/vas-ai-hub/contract-review">15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a3ff8678-0124-406c-b3dc-6bc71689f35d</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7E2C27BA</paraID>
      <start xmlns="http://schemas.wps.cn/vas-ai-hub/contract-review">20</start>
      <end xmlns="http://schemas.wps.cn/vas-ai-hub/contract-review">22</end>
      <status xmlns="http://schemas.wps.cn/vas-ai-hub/contract-review">modified</status>
      <modifiedWord xmlns="http://schemas.wps.cn/vas-ai-hub/contract-review">kW</modifiedWord>
      <trackRevisions xmlns="http://schemas.wps.cn/vas-ai-hub/contract-review">false</trackRevisions>
    </reviewItem>
    <reviewItem xmlns="http://schemas.wps.cn/vas-ai-hub/contract-review">
      <errorID xmlns="http://schemas.wps.cn/vas-ai-hub/contract-review">c6b00aa3-6f7b-49d8-96d2-b3940ef23577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2DAAFEAD</paraID>
      <start xmlns="http://schemas.wps.cn/vas-ai-hub/contract-review">8</start>
      <end xmlns="http://schemas.wps.cn/vas-ai-hub/contract-review">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a906931d-96da-4bfe-ba76-7db42499f438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2DAAFEAD</paraID>
      <start xmlns="http://schemas.wps.cn/vas-ai-hub/contract-review">14</start>
      <end xmlns="http://schemas.wps.cn/vas-ai-hub/contract-review">15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72298137-c4ad-4240-90d3-cf6052e1d130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6C4E75E7</paraID>
      <start xmlns="http://schemas.wps.cn/vas-ai-hub/contract-review">8</start>
      <end xmlns="http://schemas.wps.cn/vas-ai-hub/contract-review">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107b97f8-53d9-46ea-a2fa-e3c4c6ffe7ac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6C4E75E7</paraID>
      <start xmlns="http://schemas.wps.cn/vas-ai-hub/contract-review">14</start>
      <end xmlns="http://schemas.wps.cn/vas-ai-hub/contract-review">15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603429f9-c9db-4065-9cc1-0a61a63855a3</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6C4E75E7</paraID>
      <start xmlns="http://schemas.wps.cn/vas-ai-hub/contract-review">20</start>
      <end xmlns="http://schemas.wps.cn/vas-ai-hub/contract-review">22</end>
      <status xmlns="http://schemas.wps.cn/vas-ai-hub/contract-review">modified</status>
      <modifiedWord xmlns="http://schemas.wps.cn/vas-ai-hub/contract-review">kW</modifiedWord>
      <trackRevisions xmlns="http://schemas.wps.cn/vas-ai-hub/contract-review">false</trackRevisions>
    </reviewItem>
    <reviewItem xmlns="http://schemas.wps.cn/vas-ai-hub/contract-review">
      <errorID xmlns="http://schemas.wps.cn/vas-ai-hub/contract-review">ab01d2eb-7d62-4a23-b394-a2ff3fc82e9f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3A44E76D</paraID>
      <start xmlns="http://schemas.wps.cn/vas-ai-hub/contract-review">11</start>
      <end xmlns="http://schemas.wps.cn/vas-ai-hub/contract-review">12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29b3b3ab-f26c-4840-9336-2cf5eb653d88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3A44E76D</paraID>
      <start xmlns="http://schemas.wps.cn/vas-ai-hub/contract-review">17</start>
      <end xmlns="http://schemas.wps.cn/vas-ai-hub/contract-review">18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de8e4240-1659-4475-a3f3-4814f6e97d47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61C048CF</paraID>
      <start xmlns="http://schemas.wps.cn/vas-ai-hub/contract-review">10</start>
      <end xmlns="http://schemas.wps.cn/vas-ai-hub/contract-review">11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03bb35dd-be2f-42a6-8689-f2831091fdbb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61C048CF</paraID>
      <start xmlns="http://schemas.wps.cn/vas-ai-hub/contract-review">16</start>
      <end xmlns="http://schemas.wps.cn/vas-ai-hub/contract-review">17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c4d2c43f-8c8d-4913-9bf8-c6b351ad0baa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55FF0941</paraID>
      <start xmlns="http://schemas.wps.cn/vas-ai-hub/contract-review">8</start>
      <end xmlns="http://schemas.wps.cn/vas-ai-hub/contract-review">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b5a13b54-bc6f-4fb2-ba5a-e5dd20c80ea1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55FF0941</paraID>
      <start xmlns="http://schemas.wps.cn/vas-ai-hub/contract-review">14</start>
      <end xmlns="http://schemas.wps.cn/vas-ai-hub/contract-review">15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00d4459e-3d18-4877-bda2-79a6372cbb37</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55FF0941</paraID>
      <start xmlns="http://schemas.wps.cn/vas-ai-hub/contract-review">20</start>
      <end xmlns="http://schemas.wps.cn/vas-ai-hub/contract-review">22</end>
      <status xmlns="http://schemas.wps.cn/vas-ai-hub/contract-review">modified</status>
      <modifiedWord xmlns="http://schemas.wps.cn/vas-ai-hub/contract-review">kW</modifiedWord>
      <trackRevisions xmlns="http://schemas.wps.cn/vas-ai-hub/contract-review">false</trackRevisions>
    </reviewItem>
    <reviewItem xmlns="http://schemas.wps.cn/vas-ai-hub/contract-review">
      <errorID xmlns="http://schemas.wps.cn/vas-ai-hub/contract-review">debb6879-16eb-4b52-887c-2eb1115bd378</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1F42FD00</paraID>
      <start xmlns="http://schemas.wps.cn/vas-ai-hub/contract-review">20</start>
      <end xmlns="http://schemas.wps.cn/vas-ai-hub/contract-review">22</end>
      <status xmlns="http://schemas.wps.cn/vas-ai-hub/contract-review">modified</status>
      <modifiedWord xmlns="http://schemas.wps.cn/vas-ai-hub/contract-review">kW</modifiedWord>
      <trackRevisions xmlns="http://schemas.wps.cn/vas-ai-hub/contract-review">false</trackRevisions>
    </reviewItem>
    <reviewItem xmlns="http://schemas.wps.cn/vas-ai-hub/contract-review">
      <errorID xmlns="http://schemas.wps.cn/vas-ai-hub/contract-review">8082ee81-9297-47be-9840-63f9e6ddec21</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，以</item>
      </candidateList>
      <explain xmlns="http://schemas.wps.cn/vas-ai-hub/contract-review"/>
      <paraID xmlns="http://schemas.wps.cn/vas-ai-hub/contract-review">4A7FF2C1</paraID>
      <start xmlns="http://schemas.wps.cn/vas-ai-hub/contract-review">35</start>
      <end xmlns="http://schemas.wps.cn/vas-ai-hub/contract-review">37</end>
      <status xmlns="http://schemas.wps.cn/vas-ai-hub/contract-review">modified</status>
      <modifiedWord xmlns="http://schemas.wps.cn/vas-ai-hub/contract-review">，以</modifiedWord>
      <trackRevisions xmlns="http://schemas.wps.cn/vas-ai-hub/contract-review">false</trackRevisions>
    </reviewItem>
    <reviewItem xmlns="http://schemas.wps.cn/vas-ai-hub/contract-review">
      <errorID xmlns="http://schemas.wps.cn/vas-ai-hub/contract-review">870051b1-8fa3-44bd-8d95-4c3252da9fe5</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365F1B13</paraID>
      <start xmlns="http://schemas.wps.cn/vas-ai-hub/contract-review">20</start>
      <end xmlns="http://schemas.wps.cn/vas-ai-hub/contract-review">22</end>
      <status xmlns="http://schemas.wps.cn/vas-ai-hub/contract-review">modified</status>
      <modifiedWord xmlns="http://schemas.wps.cn/vas-ai-hub/contract-review">kW</modifiedWord>
      <trackRevisions xmlns="http://schemas.wps.cn/vas-ai-hub/contract-review">false</trackRevisions>
    </reviewItem>
    <reviewItem xmlns="http://schemas.wps.cn/vas-ai-hub/contract-review">
      <errorID xmlns="http://schemas.wps.cn/vas-ai-hub/contract-review">329b0811-1c41-4e79-8fef-f81ab745dbb5</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，以</item>
      </candidateList>
      <explain xmlns="http://schemas.wps.cn/vas-ai-hub/contract-review"/>
      <paraID xmlns="http://schemas.wps.cn/vas-ai-hub/contract-review">4A4B649A</paraID>
      <start xmlns="http://schemas.wps.cn/vas-ai-hub/contract-review">35</start>
      <end xmlns="http://schemas.wps.cn/vas-ai-hub/contract-review">37</end>
      <status xmlns="http://schemas.wps.cn/vas-ai-hub/contract-review">modified</status>
      <modifiedWord xmlns="http://schemas.wps.cn/vas-ai-hub/contract-review">，以</modifiedWord>
      <trackRevisions xmlns="http://schemas.wps.cn/vas-ai-hub/contract-review">false</trackRevisions>
    </reviewItem>
    <reviewItem xmlns="http://schemas.wps.cn/vas-ai-hub/contract-review">
      <errorID xmlns="http://schemas.wps.cn/vas-ai-hub/contract-review">e88cc670-ff89-4050-a48b-87a44a5dd3d6</errorID>
      <errorWord xmlns="http://schemas.wps.cn/vas-ai-hub/contract-review">kw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kW</item>
      </candidateList>
      <explain xmlns="http://schemas.wps.cn/vas-ai-hub/contract-review"/>
      <paraID xmlns="http://schemas.wps.cn/vas-ai-hub/contract-review">5B01C090</paraID>
      <start xmlns="http://schemas.wps.cn/vas-ai-hub/contract-review">20</start>
      <end xmlns="http://schemas.wps.cn/vas-ai-hub/contract-review">22</end>
      <status xmlns="http://schemas.wps.cn/vas-ai-hub/contract-review">modified</status>
      <modifiedWord xmlns="http://schemas.wps.cn/vas-ai-hub/contract-review">kW</modifiedWord>
      <trackRevisions xmlns="http://schemas.wps.cn/vas-ai-hub/contract-review">false</trackRevisions>
    </reviewItem>
    <reviewItem xmlns="http://schemas.wps.cn/vas-ai-hub/contract-review">
      <errorID xmlns="http://schemas.wps.cn/vas-ai-hub/contract-review">ccf3267d-1c04-4ca0-8c34-eb43f3761da7</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此处标点可能未正确匹配，请检查句子中是否存在标点冗余、缺失或使用错误的情况。</explain>
      <paraID xmlns="http://schemas.wps.cn/vas-ai-hub/contract-review">3A9449C1</paraID>
      <start xmlns="http://schemas.wps.cn/vas-ai-hub/contract-review">125</start>
      <end xmlns="http://schemas.wps.cn/vas-ai-hub/contract-review">126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68cedba1-2b2a-46b2-98ef-f282679788be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E9EDF51</paraID>
      <start xmlns="http://schemas.wps.cn/vas-ai-hub/contract-review">5</start>
      <end xmlns="http://schemas.wps.cn/vas-ai-hub/contract-review">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71de1f1e-cf0a-4767-9281-6de64aa0530f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7502C350</paraID>
      <start xmlns="http://schemas.wps.cn/vas-ai-hub/contract-review">4</start>
      <end xmlns="http://schemas.wps.cn/vas-ai-hub/contract-review">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92e4f290-af42-4340-b75f-f8ae52a9c666</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137D09EC</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edcf9443-b8df-4298-bd2a-e403bcb2c6c1</errorID>
      <errorWord xmlns="http://schemas.wps.cn/vas-ai-hub/contract-review">品</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品具</item>
      </candidateList>
      <explain xmlns="http://schemas.wps.cn/vas-ai-hub/contract-review"/>
      <paraID xmlns="http://schemas.wps.cn/vas-ai-hub/contract-review">78933CF8</paraID>
      <start xmlns="http://schemas.wps.cn/vas-ai-hub/contract-review">110</start>
      <end xmlns="http://schemas.wps.cn/vas-ai-hub/contract-review">112</end>
      <status xmlns="http://schemas.wps.cn/vas-ai-hub/contract-review">modified</status>
      <modifiedWord xmlns="http://schemas.wps.cn/vas-ai-hub/contract-review">品具</modifiedWord>
      <trackRevisions xmlns="http://schemas.wps.cn/vas-ai-hub/contract-review">false</trackRevisions>
    </reviewItem>
    <reviewItem xmlns="http://schemas.wps.cn/vas-ai-hub/contract-review">
      <errorID xmlns="http://schemas.wps.cn/vas-ai-hub/contract-review">c3628253-e428-4908-9646-82cce46e0a7b</errorID>
      <errorWord xmlns="http://schemas.wps.cn/vas-ai-hub/contract-review">吸咐</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吸附</item>
      </candidateList>
      <explain xmlns="http://schemas.wps.cn/vas-ai-hub/contract-review"/>
      <paraID xmlns="http://schemas.wps.cn/vas-ai-hub/contract-review">78933CF8</paraID>
      <start xmlns="http://schemas.wps.cn/vas-ai-hub/contract-review">118</start>
      <end xmlns="http://schemas.wps.cn/vas-ai-hub/contract-review">120</end>
      <status xmlns="http://schemas.wps.cn/vas-ai-hub/contract-review">modified</status>
      <modifiedWord xmlns="http://schemas.wps.cn/vas-ai-hub/contract-review">吸附</modifiedWord>
      <trackRevisions xmlns="http://schemas.wps.cn/vas-ai-hub/contract-review">false</trackRevisions>
    </reviewItem>
    <reviewItem xmlns="http://schemas.wps.cn/vas-ai-hub/contract-review">
      <errorID xmlns="http://schemas.wps.cn/vas-ai-hub/contract-review">16572451-423f-4e7a-9a0c-a52ab518aebd</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479A325B</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1cd1646f-13eb-4d71-85e4-2ad8b8fefef6</errorID>
      <errorWord xmlns="http://schemas.wps.cn/vas-ai-hub/contract-review">7、</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7.</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1778B76E</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0fc8a5e3-4ab7-4ea6-bfa8-933e6acff406</errorID>
      <errorWord xmlns="http://schemas.wps.cn/vas-ai-hub/contract-review">8、</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8.</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B330385</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230ff11a-d169-48fa-9412-d0fb93884adc</errorID>
      <errorWord xmlns="http://schemas.wps.cn/vas-ai-hub/contract-review">9、</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9.</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286E7A0C</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671c62fe-aa55-491b-b03e-2128b7175182</errorID>
      <errorWord xmlns="http://schemas.wps.cn/vas-ai-hub/contract-review">污水厂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污水处理厂</item>
      </candidateList>
      <explain xmlns="http://schemas.wps.cn/vas-ai-hub/contract-review"/>
      <paraID xmlns="http://schemas.wps.cn/vas-ai-hub/contract-review">61B6ED50</paraID>
      <start xmlns="http://schemas.wps.cn/vas-ai-hub/contract-review">119</start>
      <end xmlns="http://schemas.wps.cn/vas-ai-hub/contract-review">124</end>
      <status xmlns="http://schemas.wps.cn/vas-ai-hub/contract-review">modified</status>
      <modifiedWord xmlns="http://schemas.wps.cn/vas-ai-hub/contract-review">污水处理厂</modifiedWord>
      <trackRevisions xmlns="http://schemas.wps.cn/vas-ai-hub/contract-review">false</trackRevisions>
    </reviewItem>
    <reviewItem xmlns="http://schemas.wps.cn/vas-ai-hub/contract-review">
      <errorID xmlns="http://schemas.wps.cn/vas-ai-hub/contract-review">f7d2728a-dbee-4ee4-a676-448b32edbfa3</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3E9042A5</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2d9f2b73-d8f2-49d1-b3ec-70e59d41f4a4</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77C35261</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24561881-1cda-4ff2-bf73-ed91a323f4ee</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4A205437</paraID>
      <start xmlns="http://schemas.wps.cn/vas-ai-hub/contract-review">39</start>
      <end xmlns="http://schemas.wps.cn/vas-ai-hub/contract-review">41</end>
      <status xmlns="http://schemas.wps.cn/vas-ai-hub/contract-review">modified</status>
      <modifiedWord xmlns="http://schemas.wps.cn/vas-ai-hub/contract-review">程中</modifiedWord>
      <trackRevisions xmlns="http://schemas.wps.cn/vas-ai-hub/contract-review">false</trackRevisions>
    </reviewItem>
    <reviewItem xmlns="http://schemas.wps.cn/vas-ai-hub/contract-review">
      <errorID xmlns="http://schemas.wps.cn/vas-ai-hub/contract-review">b4dd24d0-f15d-4bb9-b924-7763be05acb4</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3D4C78CD</paraID>
      <start xmlns="http://schemas.wps.cn/vas-ai-hub/contract-review">150</start>
      <end xmlns="http://schemas.wps.cn/vas-ai-hub/contract-review">152</end>
      <status xmlns="http://schemas.wps.cn/vas-ai-hub/contract-review">modified</status>
      <modifiedWord xmlns="http://schemas.wps.cn/vas-ai-hub/contract-review">程中</modifiedWord>
      <trackRevisions xmlns="http://schemas.wps.cn/vas-ai-hub/contract-review">false</trackRevisions>
    </reviewItem>
    <reviewItem xmlns="http://schemas.wps.cn/vas-ai-hub/contract-review">
      <errorID xmlns="http://schemas.wps.cn/vas-ai-hub/contract-review">45235fad-2c5c-4606-97b3-5cedc1fa9e5b</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5A049142</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2ddf2daf-5150-42fb-8594-60c95030e26f</errorID>
      <errorWord xmlns="http://schemas.wps.cn/vas-ai-hub/contract-review">〔2014〕074号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〔2014〕74号</item>
      </candidateList>
      <explain xmlns="http://schemas.wps.cn/vas-ai-hub/contract-review">发文字号格式错误。</explain>
      <paraID xmlns="http://schemas.wps.cn/vas-ai-hub/contract-review">138C6150</paraID>
      <start xmlns="http://schemas.wps.cn/vas-ai-hub/contract-review">81</start>
      <end xmlns="http://schemas.wps.cn/vas-ai-hub/contract-review">91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52af2410-86bc-4785-94a3-82a88f7e228d</errorID>
      <errorWord xmlns="http://schemas.wps.cn/vas-ai-hub/contract-review">达</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达到</item>
      </candidateList>
      <explain xmlns="http://schemas.wps.cn/vas-ai-hub/contract-review">〈动〉到（多指抽象事物或程度）：达得到｜达不到｜目的没有～｜～国际水平。</explain>
      <paraID xmlns="http://schemas.wps.cn/vas-ai-hub/contract-review"> C501BEA</paraID>
      <start xmlns="http://schemas.wps.cn/vas-ai-hub/contract-review">164</start>
      <end xmlns="http://schemas.wps.cn/vas-ai-hub/contract-review">166</end>
      <status xmlns="http://schemas.wps.cn/vas-ai-hub/contract-review">modified</status>
      <modifiedWord xmlns="http://schemas.wps.cn/vas-ai-hub/contract-review">达到</modifiedWord>
      <trackRevisions xmlns="http://schemas.wps.cn/vas-ai-hub/contract-review">false</trackRevisions>
    </reviewItem>
    <reviewItem xmlns="http://schemas.wps.cn/vas-ai-hub/contract-review">
      <errorID xmlns="http://schemas.wps.cn/vas-ai-hub/contract-review">f7b37ad4-9571-4d45-8576-32c82d6625ac</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64B21162</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d4febceb-de38-49e7-af76-d7805bc8f6c1</errorID>
      <errorWord xmlns="http://schemas.wps.cn/vas-ai-hub/contract-review">污水厂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污水处理厂</item>
      </candidateList>
      <explain xmlns="http://schemas.wps.cn/vas-ai-hub/contract-review"/>
      <paraID xmlns="http://schemas.wps.cn/vas-ai-hub/contract-review"> 8A39BE2</paraID>
      <start xmlns="http://schemas.wps.cn/vas-ai-hub/contract-review">8</start>
      <end xmlns="http://schemas.wps.cn/vas-ai-hub/contract-review">13</end>
      <status xmlns="http://schemas.wps.cn/vas-ai-hub/contract-review">modified</status>
      <modifiedWord xmlns="http://schemas.wps.cn/vas-ai-hub/contract-review">污水处理厂</modifiedWord>
      <trackRevisions xmlns="http://schemas.wps.cn/vas-ai-hub/contract-review">false</trackRevisions>
    </reviewItem>
    <reviewItem xmlns="http://schemas.wps.cn/vas-ai-hub/contract-review">
      <errorID xmlns="http://schemas.wps.cn/vas-ai-hub/contract-review">85ffbf6d-1501-4862-8cab-7ae964c0cabc</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
      <paraID xmlns="http://schemas.wps.cn/vas-ai-hub/contract-review"> 9AD9CB8</paraID>
      <start xmlns="http://schemas.wps.cn/vas-ai-hub/contract-review">0</start>
      <end xmlns="http://schemas.wps.cn/vas-ai-hub/contract-review">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a6d8f402-c71e-4977-8726-57c0a93886a4</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
      <paraID xmlns="http://schemas.wps.cn/vas-ai-hub/contract-review">19E1615E</paraID>
      <start xmlns="http://schemas.wps.cn/vas-ai-hub/contract-review">0</start>
      <end xmlns="http://schemas.wps.cn/vas-ai-hub/contract-review">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1a356454-5a84-4f49-b5de-f5a752c04f45</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72F54FE7</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4eac0d9d-8747-49d7-9cf8-77be3092f0a7</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6610234D</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56541f79-6781-45aa-9dad-289914f6d127</errorID>
      <errorWord xmlns="http://schemas.wps.cn/vas-ai-hub/contract-review">污水厂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污水处理厂</item>
      </candidateList>
      <explain xmlns="http://schemas.wps.cn/vas-ai-hub/contract-review"/>
      <paraID xmlns="http://schemas.wps.cn/vas-ai-hub/contract-review"> 516E315</paraID>
      <start xmlns="http://schemas.wps.cn/vas-ai-hub/contract-review">8</start>
      <end xmlns="http://schemas.wps.cn/vas-ai-hub/contract-review">13</end>
      <status xmlns="http://schemas.wps.cn/vas-ai-hub/contract-review">modified</status>
      <modifiedWord xmlns="http://schemas.wps.cn/vas-ai-hub/contract-review">污水处理厂</modifiedWord>
      <trackRevisions xmlns="http://schemas.wps.cn/vas-ai-hub/contract-review">false</trackRevisions>
    </reviewItem>
    <reviewItem xmlns="http://schemas.wps.cn/vas-ai-hub/contract-review">
      <errorID xmlns="http://schemas.wps.cn/vas-ai-hub/contract-review">1244823a-ffdc-473f-9b11-efcdc4a08698</errorID>
      <errorWord xmlns="http://schemas.wps.cn/vas-ai-hub/contract-review">污水厂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污水处理厂</item>
      </candidateList>
      <explain xmlns="http://schemas.wps.cn/vas-ai-hub/contract-review"/>
      <paraID xmlns="http://schemas.wps.cn/vas-ai-hub/contract-review"> 6988D46</paraID>
      <start xmlns="http://schemas.wps.cn/vas-ai-hub/contract-review">8</start>
      <end xmlns="http://schemas.wps.cn/vas-ai-hub/contract-review">13</end>
      <status xmlns="http://schemas.wps.cn/vas-ai-hub/contract-review">modified</status>
      <modifiedWord xmlns="http://schemas.wps.cn/vas-ai-hub/contract-review">污水处理厂</modifiedWord>
      <trackRevisions xmlns="http://schemas.wps.cn/vas-ai-hub/contract-review">false</trackRevisions>
    </reviewItem>
    <reviewItem xmlns="http://schemas.wps.cn/vas-ai-hub/contract-review">
      <errorID xmlns="http://schemas.wps.cn/vas-ai-hub/contract-review">eab3a659-2531-4be7-9608-785f6d31b1ba</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7E8F0088</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243ecd26-0886-4457-a6db-a2968966ca1e</errorID>
      <errorWord xmlns="http://schemas.wps.cn/vas-ai-hub/contract-review">污水厂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污水处理厂</item>
      </candidateList>
      <explain xmlns="http://schemas.wps.cn/vas-ai-hub/contract-review"/>
      <paraID xmlns="http://schemas.wps.cn/vas-ai-hub/contract-review"> E6B07A4</paraID>
      <start xmlns="http://schemas.wps.cn/vas-ai-hub/contract-review">44</start>
      <end xmlns="http://schemas.wps.cn/vas-ai-hub/contract-review">49</end>
      <status xmlns="http://schemas.wps.cn/vas-ai-hub/contract-review">modified</status>
      <modifiedWord xmlns="http://schemas.wps.cn/vas-ai-hub/contract-review">污水处理厂</modifiedWord>
      <trackRevisions xmlns="http://schemas.wps.cn/vas-ai-hub/contract-review">false</trackRevisions>
    </reviewItem>
    <reviewItem xmlns="http://schemas.wps.cn/vas-ai-hub/contract-review">
      <errorID xmlns="http://schemas.wps.cn/vas-ai-hub/contract-review">95e7e89d-7852-4180-b5bc-4d52dd013d19</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38D4A31B</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9b638ebe-9a24-4b20-ada7-c0788ab2da06</errorID>
      <errorWord xmlns="http://schemas.wps.cn/vas-ai-hub/contract-review">IV类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Ⅳ类</item>
      </candidateList>
      <explain xmlns="http://schemas.wps.cn/vas-ai-hub/contract-review"/>
      <paraID xmlns="http://schemas.wps.cn/vas-ai-hub/contract-review">123CDE85</paraID>
      <start xmlns="http://schemas.wps.cn/vas-ai-hub/contract-review">133</start>
      <end xmlns="http://schemas.wps.cn/vas-ai-hub/contract-review">135</end>
      <status xmlns="http://schemas.wps.cn/vas-ai-hub/contract-review">modified</status>
      <modifiedWord xmlns="http://schemas.wps.cn/vas-ai-hub/contract-review">Ⅳ类</modifiedWord>
      <trackRevisions xmlns="http://schemas.wps.cn/vas-ai-hub/contract-review">false</trackRevisions>
    </reviewItem>
    <reviewItem xmlns="http://schemas.wps.cn/vas-ai-hub/contract-review">
      <errorID xmlns="http://schemas.wps.cn/vas-ai-hub/contract-review">1516a2cc-ab71-4b88-9de3-f536c8fefd60</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2A106841</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4f6fc2aa-ed0d-46be-9214-7ba17f0c21fa</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此处标点可能未正确匹配，请检查句子中是否存在标点冗余、缺失或使用错误的情况。</explain>
      <paraID xmlns="http://schemas.wps.cn/vas-ai-hub/contract-review">1D783202</paraID>
      <start xmlns="http://schemas.wps.cn/vas-ai-hub/contract-review">10</start>
      <end xmlns="http://schemas.wps.cn/vas-ai-hub/contract-review">11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b4c6f916-a1f9-486e-95f7-91fde669866c</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此处标点可能未正确匹配，请检查句子中是否存在标点冗余、缺失或使用错误的情况。</explain>
      <paraID xmlns="http://schemas.wps.cn/vas-ai-hub/contract-review">1A7EDBB3</paraID>
      <start xmlns="http://schemas.wps.cn/vas-ai-hub/contract-review">11</start>
      <end xmlns="http://schemas.wps.cn/vas-ai-hub/contract-review">12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febad557-6d56-44ad-a0a1-cf3602461088</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此处标点可能未正确匹配，请检查句子中是否存在标点冗余、缺失或使用错误的情况。</explain>
      <paraID xmlns="http://schemas.wps.cn/vas-ai-hub/contract-review">63FD6389</paraID>
      <start xmlns="http://schemas.wps.cn/vas-ai-hub/contract-review">11</start>
      <end xmlns="http://schemas.wps.cn/vas-ai-hub/contract-review">12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79a7f7d5-e934-48ff-8e0a-d57b2fce1a3e</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此处标点可能未正确匹配，请检查句子中是否存在标点冗余、缺失或使用错误的情况。</explain>
      <paraID xmlns="http://schemas.wps.cn/vas-ai-hub/contract-review">73E3C47D</paraID>
      <start xmlns="http://schemas.wps.cn/vas-ai-hub/contract-review">11</start>
      <end xmlns="http://schemas.wps.cn/vas-ai-hub/contract-review">12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da902515-9c72-49a1-9001-0b8508642809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5D298226</paraID>
      <start xmlns="http://schemas.wps.cn/vas-ai-hub/contract-review">6</start>
      <end xmlns="http://schemas.wps.cn/vas-ai-hub/contract-review">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3914bb35-0b19-48ba-a1de-efb5639cda70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4A996809</paraID>
      <start xmlns="http://schemas.wps.cn/vas-ai-hub/contract-review">6</start>
      <end xmlns="http://schemas.wps.cn/vas-ai-hub/contract-review">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71145cd7-4a8e-4290-8b5a-21b7e6f4dc3a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1EC050EC</paraID>
      <start xmlns="http://schemas.wps.cn/vas-ai-hub/contract-review">6</start>
      <end xmlns="http://schemas.wps.cn/vas-ai-hub/contract-review">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a5ffb601-efea-4cc0-a58a-cd6a3065c495</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
      <paraID xmlns="http://schemas.wps.cn/vas-ai-hub/contract-review">13C78749</paraID>
      <start xmlns="http://schemas.wps.cn/vas-ai-hub/contract-review">0</start>
      <end xmlns="http://schemas.wps.cn/vas-ai-hub/contract-review">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20e12cc2-76ac-4d52-948b-9df12f96e52d</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
      <paraID xmlns="http://schemas.wps.cn/vas-ai-hub/contract-review">66921A16</paraID>
      <start xmlns="http://schemas.wps.cn/vas-ai-hub/contract-review">0</start>
      <end xmlns="http://schemas.wps.cn/vas-ai-hub/contract-review">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0f4a8632-32a6-46a7-934d-4664319323f9</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
      <paraID xmlns="http://schemas.wps.cn/vas-ai-hub/contract-review">2EC7D706</paraID>
      <start xmlns="http://schemas.wps.cn/vas-ai-hub/contract-review">0</start>
      <end xmlns="http://schemas.wps.cn/vas-ai-hub/contract-review">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88150599-e26d-44ed-b759-87cb056b8450</errorID>
      <errorWord xmlns="http://schemas.wps.cn/vas-ai-hub/contract-review">III类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Ⅲ类</item>
      </candidateList>
      <explain xmlns="http://schemas.wps.cn/vas-ai-hub/contract-review"/>
      <paraID xmlns="http://schemas.wps.cn/vas-ai-hub/contract-review"> BA2CB24</paraID>
      <start xmlns="http://schemas.wps.cn/vas-ai-hub/contract-review">108</start>
      <end xmlns="http://schemas.wps.cn/vas-ai-hub/contract-review">110</end>
      <status xmlns="http://schemas.wps.cn/vas-ai-hub/contract-review">modified</status>
      <modifiedWord xmlns="http://schemas.wps.cn/vas-ai-hub/contract-review">Ⅲ类</modifiedWord>
      <trackRevisions xmlns="http://schemas.wps.cn/vas-ai-hub/contract-review">false</trackRevisions>
    </reviewItem>
    <reviewItem xmlns="http://schemas.wps.cn/vas-ai-hub/contract-review">
      <errorID xmlns="http://schemas.wps.cn/vas-ai-hub/contract-review">1e581acd-8347-41df-92e5-97e32d9cd74e</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77EE25AF</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261699e3-aff3-445b-bc2e-47b77356d25a</errorID>
      <errorWord xmlns="http://schemas.wps.cn/vas-ai-hub/contract-review">执</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执行</item>
      </candidateList>
      <explain xmlns="http://schemas.wps.cn/vas-ai-hub/contract-review"/>
      <paraID xmlns="http://schemas.wps.cn/vas-ai-hub/contract-review">641AA546</paraID>
      <start xmlns="http://schemas.wps.cn/vas-ai-hub/contract-review">29</start>
      <end xmlns="http://schemas.wps.cn/vas-ai-hub/contract-review">31</end>
      <status xmlns="http://schemas.wps.cn/vas-ai-hub/contract-review">modified</status>
      <modifiedWord xmlns="http://schemas.wps.cn/vas-ai-hub/contract-review">执行</modifiedWord>
      <trackRevisions xmlns="http://schemas.wps.cn/vas-ai-hub/contract-review">false</trackRevisions>
    </reviewItem>
    <reviewItem xmlns="http://schemas.wps.cn/vas-ai-hub/contract-review">
      <errorID xmlns="http://schemas.wps.cn/vas-ai-hub/contract-review">62704252-7467-44d9-936f-e01a7b3706b1</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此处标点可能未正确匹配，请检查句子中是否存在标点冗余、缺失或使用错误的情况。</explain>
      <paraID xmlns="http://schemas.wps.cn/vas-ai-hub/contract-review">641AA546</paraID>
      <start xmlns="http://schemas.wps.cn/vas-ai-hub/contract-review">39</start>
      <end xmlns="http://schemas.wps.cn/vas-ai-hub/contract-review">40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0980d961-83d2-4f6a-9ce2-97bce9e72ab6</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74FAC5B3</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de9ade0b-c831-49c2-a15c-810b3308b7cc</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
      <paraID xmlns="http://schemas.wps.cn/vas-ai-hub/contract-review">631C31E8</paraID>
      <start xmlns="http://schemas.wps.cn/vas-ai-hub/contract-review">0</start>
      <end xmlns="http://schemas.wps.cn/vas-ai-hub/contract-review">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aadc848b-5245-47d5-bb17-3b0b3a0d1094</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
      <paraID xmlns="http://schemas.wps.cn/vas-ai-hub/contract-review">45819FF2</paraID>
      <start xmlns="http://schemas.wps.cn/vas-ai-hub/contract-review">0</start>
      <end xmlns="http://schemas.wps.cn/vas-ai-hub/contract-review">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5ba05d2e-3f9a-4b75-9fb6-f7ff119d1119</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
      <paraID xmlns="http://schemas.wps.cn/vas-ai-hub/contract-review">77798659</paraID>
      <start xmlns="http://schemas.wps.cn/vas-ai-hub/contract-review">0</start>
      <end xmlns="http://schemas.wps.cn/vas-ai-hub/contract-review">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80f14655-85e7-4d96-9d64-4f5e217270e0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546CB7F3</paraID>
      <start xmlns="http://schemas.wps.cn/vas-ai-hub/contract-review">44</start>
      <end xmlns="http://schemas.wps.cn/vas-ai-hub/contract-review">45</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4b50a54d-a332-4cbf-902a-06e553ac9119</errorID>
      <errorWord xmlns="http://schemas.wps.cn/vas-ai-hub/contract-review">&lt;</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546CB7F3</paraID>
      <start xmlns="http://schemas.wps.cn/vas-ai-hub/contract-review">66</start>
      <end xmlns="http://schemas.wps.cn/vas-ai-hub/contract-review">67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df38aa2f-c3d5-404a-936a-ca2901f6f543</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
      <paraID xmlns="http://schemas.wps.cn/vas-ai-hub/contract-review">35727D2A</paraID>
      <start xmlns="http://schemas.wps.cn/vas-ai-hub/contract-review">0</start>
      <end xmlns="http://schemas.wps.cn/vas-ai-hub/contract-review">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2658ee41-67a8-4d1b-85bf-6f4cbda01d65</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
      <paraID xmlns="http://schemas.wps.cn/vas-ai-hub/contract-review">3E9DA18E</paraID>
      <start xmlns="http://schemas.wps.cn/vas-ai-hub/contract-review">0</start>
      <end xmlns="http://schemas.wps.cn/vas-ai-hub/contract-review">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77576127-0545-4f20-8342-50202a331436</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
      <paraID xmlns="http://schemas.wps.cn/vas-ai-hub/contract-review">2FA39CE7</paraID>
      <start xmlns="http://schemas.wps.cn/vas-ai-hub/contract-review">0</start>
      <end xmlns="http://schemas.wps.cn/vas-ai-hub/contract-review">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10a15cff-5043-486f-8c01-8191a3852e00</errorID>
      <errorWord xmlns="http://schemas.wps.cn/vas-ai-hub/contract-review">&lt;</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10D4D2B9</paraID>
      <start xmlns="http://schemas.wps.cn/vas-ai-hub/contract-review">158</start>
      <end xmlns="http://schemas.wps.cn/vas-ai-hub/contract-review">159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4352fec5-7e7a-42fe-8672-b4c13d729f59</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55CE0E89</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1505812f-f733-45bd-8917-4b0820b9c2e2</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59B6A642</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f5b2713c-93df-4bdf-ba1c-3bb41d157bd0</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5CD170E6</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4c3abe1d-f509-4d88-9a61-e19a5c178a1f</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1D486174</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089f0e70-38ab-47ab-87aa-0a2e3ec8192e</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27A4E812</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c8a03b33-1b1d-4115-aa2f-be40180794b9</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3C00A38E</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29ddb073-ad0f-4cb4-bad6-e2ae9c9ee7c0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7A577763</paraID>
      <start xmlns="http://schemas.wps.cn/vas-ai-hub/contract-review">2</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ba8d92bd-13e9-4262-bab7-847400792e58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7A577763</paraID>
      <start xmlns="http://schemas.wps.cn/vas-ai-hub/contract-review">7</start>
      <end xmlns="http://schemas.wps.cn/vas-ai-hub/contract-review">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bc92b1c1-afff-4374-bda3-60c5adc752af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19C0C24A</paraID>
      <start xmlns="http://schemas.wps.cn/vas-ai-hub/contract-review">2</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121c3294-141b-4ed8-9fd4-6c9b9a6d821f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19C0C24A</paraID>
      <start xmlns="http://schemas.wps.cn/vas-ai-hub/contract-review">7</start>
      <end xmlns="http://schemas.wps.cn/vas-ai-hub/contract-review">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8a7e8916-a525-4d1e-8dab-20d6454cd914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79016C83</paraID>
      <start xmlns="http://schemas.wps.cn/vas-ai-hub/contract-review">5</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4ef7d351-ec91-42fb-9f91-7af230edad7e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79016C83</paraID>
      <start xmlns="http://schemas.wps.cn/vas-ai-hub/contract-review">10</start>
      <end xmlns="http://schemas.wps.cn/vas-ai-hub/contract-review">11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12226077-0a5c-43a6-b2a6-acc501f41016</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40DB0CF0</paraID>
      <start xmlns="http://schemas.wps.cn/vas-ai-hub/contract-review">2</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7a8180bd-0281-410a-b6df-5964b9896d46</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40DB0CF0</paraID>
      <start xmlns="http://schemas.wps.cn/vas-ai-hub/contract-review">7</start>
      <end xmlns="http://schemas.wps.cn/vas-ai-hub/contract-review">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b4662494-8e8a-42d6-a0ad-83fec1ea981b</errorID>
      <errorWord xmlns="http://schemas.wps.cn/vas-ai-hub/contract-review">污水厂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污水处理厂</item>
      </candidateList>
      <explain xmlns="http://schemas.wps.cn/vas-ai-hub/contract-review"/>
      <paraID xmlns="http://schemas.wps.cn/vas-ai-hub/contract-review">195F6CA5</paraID>
      <start xmlns="http://schemas.wps.cn/vas-ai-hub/contract-review">0</start>
      <end xmlns="http://schemas.wps.cn/vas-ai-hub/contract-review">5</end>
      <status xmlns="http://schemas.wps.cn/vas-ai-hub/contract-review">modified</status>
      <modifiedWord xmlns="http://schemas.wps.cn/vas-ai-hub/contract-review">污水处理厂</modifiedWord>
      <trackRevisions xmlns="http://schemas.wps.cn/vas-ai-hub/contract-review">false</trackRevisions>
    </reviewItem>
    <reviewItem xmlns="http://schemas.wps.cn/vas-ai-hub/contract-review">
      <errorID xmlns="http://schemas.wps.cn/vas-ai-hub/contract-review">a3623e34-d978-4139-9b1f-2afe0fc72175</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5D52541C</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f7868ca4-c6ef-4971-b021-0b93fd3f39c4</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234BC998</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522d738e-a0a9-4eab-abbe-bed4e49b3e95</errorID>
      <errorWord xmlns="http://schemas.wps.cn/vas-ai-hub/contract-review">&gt;</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
      <paraID xmlns="http://schemas.wps.cn/vas-ai-hub/contract-review">2682C367</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912ac844-d46a-4d20-99ae-4a899d52d711</errorID>
      <errorWord xmlns="http://schemas.wps.cn/vas-ai-hub/contract-review">&gt;</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
      <paraID xmlns="http://schemas.wps.cn/vas-ai-hub/contract-review">70491B3E</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3f8e78d6-c73d-42d6-8879-65cc4ea73b00</errorID>
      <errorWord xmlns="http://schemas.wps.cn/vas-ai-hub/contract-review">&gt;</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
      <paraID xmlns="http://schemas.wps.cn/vas-ai-hub/contract-review">303640E5</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e0aaf8d2-67f3-4906-9ee7-b8d70c79519c</errorID>
      <errorWord xmlns="http://schemas.wps.cn/vas-ai-hub/contract-review">&gt;</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
      <paraID xmlns="http://schemas.wps.cn/vas-ai-hub/contract-review">5804C5A3</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dfd9dc05-da18-4288-b44e-f0da2cafc26c</errorID>
      <errorWord xmlns="http://schemas.wps.cn/vas-ai-hub/contract-review">&gt;</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
      <paraID xmlns="http://schemas.wps.cn/vas-ai-hub/contract-review">2643E7C2</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cdb2c487-70d9-4dd7-85a4-c6a9d85b08da</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6B775818</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57223257-f74e-4c2b-ac3e-0ff64efd834e</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，以</item>
      </candidateList>
      <explain xmlns="http://schemas.wps.cn/vas-ai-hub/contract-review"/>
      <paraID xmlns="http://schemas.wps.cn/vas-ai-hub/contract-review">61A1E196</paraID>
      <start xmlns="http://schemas.wps.cn/vas-ai-hub/contract-review">43</start>
      <end xmlns="http://schemas.wps.cn/vas-ai-hub/contract-review">45</end>
      <status xmlns="http://schemas.wps.cn/vas-ai-hub/contract-review">modified</status>
      <modifiedWord xmlns="http://schemas.wps.cn/vas-ai-hub/contract-review">，以</modifiedWord>
      <trackRevisions xmlns="http://schemas.wps.cn/vas-ai-hub/contract-review">false</trackRevisions>
    </reviewItem>
    <reviewItem xmlns="http://schemas.wps.cn/vas-ai-hub/contract-review">
      <errorID xmlns="http://schemas.wps.cn/vas-ai-hub/contract-review">ec4665fa-e2ac-41c6-bb6e-933722ebe35c</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246010DC</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e16a0227-22e5-4997-84fe-ce0ab0aafc1a</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8B7FB1A</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88bfea29-fc59-4688-afaa-2f11ac720873</errorID>
      <errorWord xmlns="http://schemas.wps.cn/vas-ai-hub/contract-review">输</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输车</item>
      </candidateList>
      <explain xmlns="http://schemas.wps.cn/vas-ai-hub/contract-review"/>
      <paraID xmlns="http://schemas.wps.cn/vas-ai-hub/contract-review">165C7B21</paraID>
      <start xmlns="http://schemas.wps.cn/vas-ai-hub/contract-review">37</start>
      <end xmlns="http://schemas.wps.cn/vas-ai-hub/contract-review">39</end>
      <status xmlns="http://schemas.wps.cn/vas-ai-hub/contract-review">modified</status>
      <modifiedWord xmlns="http://schemas.wps.cn/vas-ai-hub/contract-review">输车</modifiedWord>
      <trackRevisions xmlns="http://schemas.wps.cn/vas-ai-hub/contract-review">false</trackRevisions>
    </reviewItem>
    <reviewItem xmlns="http://schemas.wps.cn/vas-ai-hub/contract-review">
      <errorID xmlns="http://schemas.wps.cn/vas-ai-hub/contract-review">5d425507-c402-432c-b568-2d61f4fac21a</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6B9B3255</paraID>
      <start xmlns="http://schemas.wps.cn/vas-ai-hub/contract-review">27</start>
      <end xmlns="http://schemas.wps.cn/vas-ai-hub/contract-review">28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76adc648-1736-4e17-9c2f-ad47c138a412</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6B9B3255</paraID>
      <start xmlns="http://schemas.wps.cn/vas-ai-hub/contract-review">29</start>
      <end xmlns="http://schemas.wps.cn/vas-ai-hub/contract-review">30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aa607ee7-07a5-445f-be3c-4c6eae60d563</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16F5EFAE</paraID>
      <start xmlns="http://schemas.wps.cn/vas-ai-hub/contract-review">13</start>
      <end xmlns="http://schemas.wps.cn/vas-ai-hub/contract-review">14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bba27ee7-a4dc-4b21-8ed5-b77c1a560207</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16F5EFAE</paraID>
      <start xmlns="http://schemas.wps.cn/vas-ai-hub/contract-review">15</start>
      <end xmlns="http://schemas.wps.cn/vas-ai-hub/contract-review">16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eefdf02e-c1df-4100-9a54-00d0f226d1ab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4B69512A</paraID>
      <start xmlns="http://schemas.wps.cn/vas-ai-hub/contract-review">20</start>
      <end xmlns="http://schemas.wps.cn/vas-ai-hub/contract-review">21</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7c58a430-bc22-47e9-b164-0aa8a5df69b5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4B69512A</paraID>
      <start xmlns="http://schemas.wps.cn/vas-ai-hub/contract-review">26</start>
      <end xmlns="http://schemas.wps.cn/vas-ai-hub/contract-review">27</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657d2ae8-24d0-4166-a517-5356c767dab8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4B69512A</paraID>
      <start xmlns="http://schemas.wps.cn/vas-ai-hub/contract-review">32</start>
      <end xmlns="http://schemas.wps.cn/vas-ai-hub/contract-review">33</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8e4a0b3d-c831-42d5-8b53-169624956c0f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4B69512A</paraID>
      <start xmlns="http://schemas.wps.cn/vas-ai-hub/contract-review">38</start>
      <end xmlns="http://schemas.wps.cn/vas-ai-hub/contract-review">39</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56e0e82d-e7e2-4c9e-b851-c014da5574a9</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，以</item>
      </candidateList>
      <explain xmlns="http://schemas.wps.cn/vas-ai-hub/contract-review"/>
      <paraID xmlns="http://schemas.wps.cn/vas-ai-hub/contract-review">6D8185F6</paraID>
      <start xmlns="http://schemas.wps.cn/vas-ai-hub/contract-review">40</start>
      <end xmlns="http://schemas.wps.cn/vas-ai-hub/contract-review">42</end>
      <status xmlns="http://schemas.wps.cn/vas-ai-hub/contract-review">modified</status>
      <modifiedWord xmlns="http://schemas.wps.cn/vas-ai-hub/contract-review">，以</modifiedWord>
      <trackRevisions xmlns="http://schemas.wps.cn/vas-ai-hub/contract-review">false</trackRevisions>
    </reviewItem>
    <reviewItem xmlns="http://schemas.wps.cn/vas-ai-hub/contract-review">
      <errorID xmlns="http://schemas.wps.cn/vas-ai-hub/contract-review">a68c0080-4f40-479c-b748-6a93b42e3ba7</errorID>
      <errorWord xmlns="http://schemas.wps.cn/vas-ai-hub/contract-review">减震</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减振</item>
      </candidateList>
      <explain xmlns="http://schemas.wps.cn/vas-ai-hub/contract-review">存在发音相同字词的误用。</explain>
      <paraID xmlns="http://schemas.wps.cn/vas-ai-hub/contract-review">6D8185F6</paraID>
      <start xmlns="http://schemas.wps.cn/vas-ai-hub/contract-review">115</start>
      <end xmlns="http://schemas.wps.cn/vas-ai-hub/contract-review">117</end>
      <status xmlns="http://schemas.wps.cn/vas-ai-hub/contract-review">modified</status>
      <modifiedWord xmlns="http://schemas.wps.cn/vas-ai-hub/contract-review">减振</modifiedWord>
      <trackRevisions xmlns="http://schemas.wps.cn/vas-ai-hub/contract-review">false</trackRevisions>
    </reviewItem>
    <reviewItem xmlns="http://schemas.wps.cn/vas-ai-hub/contract-review">
      <errorID xmlns="http://schemas.wps.cn/vas-ai-hub/contract-review">5c9012fe-0209-4949-934d-cab258923b62</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7E9AC99</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1583d7b7-da1b-4811-877c-d9d943c2146d</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30E56EEC</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cef7359f-ad57-4cf2-ab64-c88cbc594d4b</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243588AD</paraID>
      <start xmlns="http://schemas.wps.cn/vas-ai-hub/contract-review">6</start>
      <end xmlns="http://schemas.wps.cn/vas-ai-hub/contract-review">8</end>
      <status xmlns="http://schemas.wps.cn/vas-ai-hub/contract-review">modified</status>
      <modifiedWord xmlns="http://schemas.wps.cn/vas-ai-hub/contract-review">程中</modifiedWord>
      <trackRevisions xmlns="http://schemas.wps.cn/vas-ai-hub/contract-review">false</trackRevisions>
    </reviewItem>
    <reviewItem xmlns="http://schemas.wps.cn/vas-ai-hub/contract-review">
      <errorID xmlns="http://schemas.wps.cn/vas-ai-hub/contract-review">4b6408c3-b8c4-4280-acb6-b0e0d980ff00</errorID>
      <errorWord xmlns="http://schemas.wps.cn/vas-ai-hub/contract-review">工</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工和</item>
      </candidateList>
      <explain xmlns="http://schemas.wps.cn/vas-ai-hub/contract-review"/>
      <paraID xmlns="http://schemas.wps.cn/vas-ai-hub/contract-review">15BBCB04</paraID>
      <start xmlns="http://schemas.wps.cn/vas-ai-hub/contract-review">22</start>
      <end xmlns="http://schemas.wps.cn/vas-ai-hub/contract-review">24</end>
      <status xmlns="http://schemas.wps.cn/vas-ai-hub/contract-review">modified</status>
      <modifiedWord xmlns="http://schemas.wps.cn/vas-ai-hub/contract-review">工和</modifiedWord>
      <trackRevisions xmlns="http://schemas.wps.cn/vas-ai-hub/contract-review">false</trackRevisions>
    </reviewItem>
    <reviewItem xmlns="http://schemas.wps.cn/vas-ai-hub/contract-review">
      <errorID xmlns="http://schemas.wps.cn/vas-ai-hub/contract-review">e95a7b63-971e-407f-a08a-0100021fdc95</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35A175C2</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3798e64d-c0cd-4aad-8773-44f9e807ee7a</errorID>
      <errorWord xmlns="http://schemas.wps.cn/vas-ai-hub/contract-review">成份</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成分</item>
      </candidateList>
      <explain xmlns="http://schemas.wps.cn/vas-ai-hub/contract-review">（成份）chénɡ•fèn〈名〉❶指构成事物的各种不同的物质或因素：化学～｜营养～｜减轻了心里不安的～。❷指个人早先的主要经历或职业：工人～｜他的个人～是学生。</explain>
      <paraID xmlns="http://schemas.wps.cn/vas-ai-hub/contract-review">262E1D95</paraID>
      <start xmlns="http://schemas.wps.cn/vas-ai-hub/contract-review">2</start>
      <end xmlns="http://schemas.wps.cn/vas-ai-hub/contract-review">4</end>
      <status xmlns="http://schemas.wps.cn/vas-ai-hub/contract-review">modified</status>
      <modifiedWord xmlns="http://schemas.wps.cn/vas-ai-hub/contract-review">成分</modifiedWord>
      <trackRevisions xmlns="http://schemas.wps.cn/vas-ai-hub/contract-review">false</trackRevisions>
    </reviewItem>
    <reviewItem xmlns="http://schemas.wps.cn/vas-ai-hub/contract-review">
      <errorID xmlns="http://schemas.wps.cn/vas-ai-hub/contract-review">4a77025b-e41e-45c4-bef1-d2ac0c7d7d3c</errorID>
      <errorWord xmlns="http://schemas.wps.cn/vas-ai-hub/contract-review">对于</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对</item>
      </candidateList>
      <explain xmlns="http://schemas.wps.cn/vas-ai-hub/contract-review">（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 xmlns="http://schemas.wps.cn/vas-ai-hub/contract-review">262E1D95</paraID>
      <start xmlns="http://schemas.wps.cn/vas-ai-hub/contract-review">199</start>
      <end xmlns="http://schemas.wps.cn/vas-ai-hub/contract-review">200</end>
      <status xmlns="http://schemas.wps.cn/vas-ai-hub/contract-review">modified</status>
      <modifiedWord xmlns="http://schemas.wps.cn/vas-ai-hub/contract-review">对</modifiedWord>
      <trackRevisions xmlns="http://schemas.wps.cn/vas-ai-hub/contract-review">false</trackRevisions>
    </reviewItem>
    <reviewItem xmlns="http://schemas.wps.cn/vas-ai-hub/contract-review">
      <errorID xmlns="http://schemas.wps.cn/vas-ai-hub/contract-review">05904527-cba7-4e59-ba54-e47db2d49230</errorID>
      <errorWord xmlns="http://schemas.wps.cn/vas-ai-hub/contract-review">污水厂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污水处理厂</item>
      </candidateList>
      <explain xmlns="http://schemas.wps.cn/vas-ai-hub/contract-review"/>
      <paraID xmlns="http://schemas.wps.cn/vas-ai-hub/contract-review">4DB182E5</paraID>
      <start xmlns="http://schemas.wps.cn/vas-ai-hub/contract-review">9</start>
      <end xmlns="http://schemas.wps.cn/vas-ai-hub/contract-review">14</end>
      <status xmlns="http://schemas.wps.cn/vas-ai-hub/contract-review">modified</status>
      <modifiedWord xmlns="http://schemas.wps.cn/vas-ai-hub/contract-review">污水处理厂</modifiedWord>
      <trackRevisions xmlns="http://schemas.wps.cn/vas-ai-hub/contract-review">false</trackRevisions>
    </reviewItem>
    <reviewItem xmlns="http://schemas.wps.cn/vas-ai-hub/contract-review">
      <errorID xmlns="http://schemas.wps.cn/vas-ai-hub/contract-review">63f267b1-bf92-40bd-84a5-ab7f07630593</errorID>
      <errorWord xmlns="http://schemas.wps.cn/vas-ai-hub/contract-review">a、</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a.</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1FF02683</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d9735371-b616-4537-81ee-e7c801a86b1f</errorID>
      <errorWord xmlns="http://schemas.wps.cn/vas-ai-hub/contract-review">b、</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b.</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1E27E286</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744a32bf-c261-4071-86ed-472d5785cb89</errorID>
      <errorWord xmlns="http://schemas.wps.cn/vas-ai-hub/contract-review">c、</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c.</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65700472</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7a9ae523-c04c-4d47-9aaa-12e47939e1a7</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DE837DB</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630e39f6-9352-4f51-b3ce-c66299230787</errorID>
      <errorWord xmlns="http://schemas.wps.cn/vas-ai-hub/contract-review">包括了</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包括</item>
      </candidateList>
      <explain xmlns="http://schemas.wps.cn/vas-ai-hub/contract-review"/>
      <paraID xmlns="http://schemas.wps.cn/vas-ai-hub/contract-review">6207D5BC</paraID>
      <start xmlns="http://schemas.wps.cn/vas-ai-hub/contract-review">19</start>
      <end xmlns="http://schemas.wps.cn/vas-ai-hub/contract-review">21</end>
      <status xmlns="http://schemas.wps.cn/vas-ai-hub/contract-review">modified</status>
      <modifiedWord xmlns="http://schemas.wps.cn/vas-ai-hub/contract-review">包括</modifiedWord>
      <trackRevisions xmlns="http://schemas.wps.cn/vas-ai-hub/contract-review">false</trackRevisions>
    </reviewItem>
    <reviewItem xmlns="http://schemas.wps.cn/vas-ai-hub/contract-review">
      <errorID xmlns="http://schemas.wps.cn/vas-ai-hub/contract-review">e3e6210d-3ef1-424d-b99e-854cbcc0b686</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6207D5BC</paraID>
      <start xmlns="http://schemas.wps.cn/vas-ai-hub/contract-review">53</start>
      <end xmlns="http://schemas.wps.cn/vas-ai-hub/contract-review">55</end>
      <status xmlns="http://schemas.wps.cn/vas-ai-hub/contract-review">modified</status>
      <modifiedWord xmlns="http://schemas.wps.cn/vas-ai-hub/contract-review">程中</modifiedWord>
      <trackRevisions xmlns="http://schemas.wps.cn/vas-ai-hub/contract-review">false</trackRevisions>
    </reviewItem>
    <reviewItem xmlns="http://schemas.wps.cn/vas-ai-hub/contract-review">
      <errorID xmlns="http://schemas.wps.cn/vas-ai-hub/contract-review">b9706897-b1b8-40f6-8997-eb58a8a10369</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3C387E4D</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986a7636-e965-4e12-9cbb-ab081448b64b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5AFB2A75</paraID>
      <start xmlns="http://schemas.wps.cn/vas-ai-hub/contract-review">4</start>
      <end xmlns="http://schemas.wps.cn/vas-ai-hub/contract-review">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3cf7fb48-dfc8-453b-b5a8-784fb831ada9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5AFB2A75</paraID>
      <start xmlns="http://schemas.wps.cn/vas-ai-hub/contract-review">7</start>
      <end xmlns="http://schemas.wps.cn/vas-ai-hub/contract-review">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c4b74c04-d3e0-4a17-b14b-0b905e1457fa</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6E448FFE</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1ed53b42-1a5e-4d1c-9b5c-84bf801f5b4c</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7B83ACD6</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bc3f093f-6d8f-49da-8f93-7d38322aac84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303AFDBE</paraID>
      <start xmlns="http://schemas.wps.cn/vas-ai-hub/contract-review">21</start>
      <end xmlns="http://schemas.wps.cn/vas-ai-hub/contract-review">22</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70632f8f-c729-4ab3-b215-e89f34c6bfdd</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，从</item>
      </candidateList>
      <explain xmlns="http://schemas.wps.cn/vas-ai-hub/contract-review"/>
      <paraID xmlns="http://schemas.wps.cn/vas-ai-hub/contract-review">71DA7935</paraID>
      <start xmlns="http://schemas.wps.cn/vas-ai-hub/contract-review">180</start>
      <end xmlns="http://schemas.wps.cn/vas-ai-hub/contract-review">182</end>
      <status xmlns="http://schemas.wps.cn/vas-ai-hub/contract-review">modified</status>
      <modifiedWord xmlns="http://schemas.wps.cn/vas-ai-hub/contract-review">，从</modifiedWord>
      <trackRevisions xmlns="http://schemas.wps.cn/vas-ai-hub/contract-review">false</trackRevisions>
    </reviewItem>
    <reviewItem xmlns="http://schemas.wps.cn/vas-ai-hub/contract-review">
      <errorID xmlns="http://schemas.wps.cn/vas-ai-hub/contract-review">f6e6bb3c-2821-4b38-aa41-07657407776d</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5255C022</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065fb116-fd7c-433e-809a-284cca266b48</errorID>
      <errorWord xmlns="http://schemas.wps.cn/vas-ai-hub/contract-review">过度</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过渡</item>
      </candidateList>
      <explain xmlns="http://schemas.wps.cn/vas-ai-hub/contract-review">〈动〉事物由一个阶段或一种状态逐渐发展变化而转入另一个阶段或另一种状态：～时期｜～地带。</explain>
      <paraID xmlns="http://schemas.wps.cn/vas-ai-hub/contract-review">4BC1356A</paraID>
      <start xmlns="http://schemas.wps.cn/vas-ai-hub/contract-review">35</start>
      <end xmlns="http://schemas.wps.cn/vas-ai-hub/contract-review">37</end>
      <status xmlns="http://schemas.wps.cn/vas-ai-hub/contract-review">modified</status>
      <modifiedWord xmlns="http://schemas.wps.cn/vas-ai-hub/contract-review">过渡</modifiedWord>
      <trackRevisions xmlns="http://schemas.wps.cn/vas-ai-hub/contract-review">false</trackRevisions>
    </reviewItem>
    <reviewItem xmlns="http://schemas.wps.cn/vas-ai-hub/contract-review">
      <errorID xmlns="http://schemas.wps.cn/vas-ai-hub/contract-review">db5c925b-1bb0-4696-adad-3e54a097c8e3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174079B4</paraID>
      <start xmlns="http://schemas.wps.cn/vas-ai-hub/contract-review">83</start>
      <end xmlns="http://schemas.wps.cn/vas-ai-hub/contract-review">84</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b0afff34-9c54-41a6-b5f6-cac31eb9530b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174079B4</paraID>
      <start xmlns="http://schemas.wps.cn/vas-ai-hub/contract-review">201</start>
      <end xmlns="http://schemas.wps.cn/vas-ai-hub/contract-review">202</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6f8b56dd-bb14-4ffb-b01d-df80455c0c75</errorID>
      <errorWord xmlns="http://schemas.wps.cn/vas-ai-hub/contract-review">是由于污染物迁移穿过包气带进入含水层造成</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是由于污染物迁移穿过包气带进入含水层</item>
      </candidateList>
      <explain xmlns="http://schemas.wps.cn/vas-ai-hub/contract-review"/>
      <paraID xmlns="http://schemas.wps.cn/vas-ai-hub/contract-review">2588730D</paraID>
      <start xmlns="http://schemas.wps.cn/vas-ai-hub/contract-review">15</start>
      <end xmlns="http://schemas.wps.cn/vas-ai-hub/contract-review">33</end>
      <status xmlns="http://schemas.wps.cn/vas-ai-hub/contract-review">modified</status>
      <modifiedWord xmlns="http://schemas.wps.cn/vas-ai-hub/contract-review">是由于污染物迁移穿过包气带进入含水层</modifiedWord>
      <trackRevisions xmlns="http://schemas.wps.cn/vas-ai-hub/contract-review">false</trackRevisions>
    </reviewItem>
    <reviewItem xmlns="http://schemas.wps.cn/vas-ai-hub/contract-review">
      <errorID xmlns="http://schemas.wps.cn/vas-ai-hub/contract-review">cce0ae39-5d87-49ad-ae84-7fce98e15ae9</errorID>
      <errorWord xmlns="http://schemas.wps.cn/vas-ai-hub/contract-review">受到</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受</item>
      </candidateList>
      <explain xmlns="http://schemas.wps.cn/vas-ai-hub/contract-review">〈动〉❶接受：～贿｜～教育｜～到帮助。❷遭受：～灾｜～批评｜～委屈。❸忍受；禁受：～不了｜～得住。❹适合：～吃（吃着有味）｜～看（看着舒服）｜～听（听着入耳）。</explain>
      <paraID xmlns="http://schemas.wps.cn/vas-ai-hub/contract-review">2588730D</paraID>
      <start xmlns="http://schemas.wps.cn/vas-ai-hub/contract-review">86</start>
      <end xmlns="http://schemas.wps.cn/vas-ai-hub/contract-review">87</end>
      <status xmlns="http://schemas.wps.cn/vas-ai-hub/contract-review">modified</status>
      <modifiedWord xmlns="http://schemas.wps.cn/vas-ai-hub/contract-review">受</modifiedWord>
      <trackRevisions xmlns="http://schemas.wps.cn/vas-ai-hub/contract-review">false</trackRevisions>
    </reviewItem>
    <reviewItem xmlns="http://schemas.wps.cn/vas-ai-hub/contract-review">
      <errorID xmlns="http://schemas.wps.cn/vas-ai-hub/contract-review">8f74a3aa-2b6c-42f0-b6a4-17a62bd9270e</errorID>
      <errorWord xmlns="http://schemas.wps.cn/vas-ai-hub/contract-review">粘土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黏土</item>
      </candidateList>
      <explain xmlns="http://schemas.wps.cn/vas-ai-hub/contract-review">存在发音相同字词的误用。</explain>
      <paraID xmlns="http://schemas.wps.cn/vas-ai-hub/contract-review">4D57AC45</paraID>
      <start xmlns="http://schemas.wps.cn/vas-ai-hub/contract-review">79</start>
      <end xmlns="http://schemas.wps.cn/vas-ai-hub/contract-review">81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362680e2-a8ac-4dab-80d1-1dc0c6b7cb06</errorID>
      <errorWord xmlns="http://schemas.wps.cn/vas-ai-hub/contract-review">能</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能在</item>
      </candidateList>
      <explain xmlns="http://schemas.wps.cn/vas-ai-hub/contract-review"/>
      <paraID xmlns="http://schemas.wps.cn/vas-ai-hub/contract-review">41FEE7A1</paraID>
      <start xmlns="http://schemas.wps.cn/vas-ai-hub/contract-review">24</start>
      <end xmlns="http://schemas.wps.cn/vas-ai-hub/contract-review">26</end>
      <status xmlns="http://schemas.wps.cn/vas-ai-hub/contract-review">modified</status>
      <modifiedWord xmlns="http://schemas.wps.cn/vas-ai-hub/contract-review">能在</modifiedWord>
      <trackRevisions xmlns="http://schemas.wps.cn/vas-ai-hub/contract-review">false</trackRevisions>
    </reviewItem>
    <reviewItem xmlns="http://schemas.wps.cn/vas-ai-hub/contract-review">
      <errorID xmlns="http://schemas.wps.cn/vas-ai-hub/contract-review">dd3613a7-62ba-41e1-8099-a9a00045c06c</errorID>
      <errorWord xmlns="http://schemas.wps.cn/vas-ai-hub/contract-review">的</errorWord>
      <group xmlns="http://schemas.wps.cn/vas-ai-hub/contract-review">L1_Word</group>
      <groupName xmlns="http://schemas.wps.cn/vas-ai-hub/contract-review">字词问题</groupName>
      <ability xmlns="http://schemas.wps.cn/vas-ai-hub/contract-review">L2_DDD</ability>
      <abilityName xmlns="http://schemas.wps.cn/vas-ai-hub/contract-review">的地得用法</abilityName>
      <candidateList xmlns="http://schemas.wps.cn/vas-ai-hub/contract-review">
        <item xmlns="http://schemas.wps.cn/vas-ai-hub/contract-review">地</item>
      </candidateList>
      <explain xmlns="http://schemas.wps.cn/vas-ai-hub/contract-review">“地”常用于连接修饰语与动词性中心语，表示动作的方式、状态或程度。</explain>
      <paraID xmlns="http://schemas.wps.cn/vas-ai-hub/contract-review">517159C7</paraID>
      <start xmlns="http://schemas.wps.cn/vas-ai-hub/contract-review">57</start>
      <end xmlns="http://schemas.wps.cn/vas-ai-hub/contract-review">58</end>
      <status xmlns="http://schemas.wps.cn/vas-ai-hub/contract-review">modified</status>
      <modifiedWord xmlns="http://schemas.wps.cn/vas-ai-hub/contract-review">地</modifiedWord>
      <trackRevisions xmlns="http://schemas.wps.cn/vas-ai-hub/contract-review">false</trackRevisions>
    </reviewItem>
    <reviewItem xmlns="http://schemas.wps.cn/vas-ai-hub/contract-review">
      <errorID xmlns="http://schemas.wps.cn/vas-ai-hub/contract-review">b96da8e9-04c4-431f-b311-6dda29c24924</errorID>
      <errorWord xmlns="http://schemas.wps.cn/vas-ai-hub/contract-review">7、</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7.</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4E8F72A</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6830da12-53f4-4fc7-910a-555cd29948f0</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7CF8C8C4</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2688e9c5-8cac-4963-87a9-be29c24881f1</errorID>
      <errorWord xmlns="http://schemas.wps.cn/vas-ai-hub/contract-review">涉及到</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涉及</item>
      </candidateList>
      <explain xmlns="http://schemas.wps.cn/vas-ai-hub/contract-review">〈动〉牵涉到；关联到：案子～好几个人｜这个问题～面很广。</explain>
      <paraID xmlns="http://schemas.wps.cn/vas-ai-hub/contract-review">1A140E63</paraID>
      <start xmlns="http://schemas.wps.cn/vas-ai-hub/contract-review">131</start>
      <end xmlns="http://schemas.wps.cn/vas-ai-hub/contract-review">133</end>
      <status xmlns="http://schemas.wps.cn/vas-ai-hub/contract-review">modified</status>
      <modifiedWord xmlns="http://schemas.wps.cn/vas-ai-hub/contract-review">涉及</modifiedWord>
      <trackRevisions xmlns="http://schemas.wps.cn/vas-ai-hub/contract-review">false</trackRevisions>
    </reviewItem>
    <reviewItem xmlns="http://schemas.wps.cn/vas-ai-hub/contract-review">
      <errorID xmlns="http://schemas.wps.cn/vas-ai-hub/contract-review">dbef21d4-8174-48d6-bdc5-6e653e36820a</errorID>
      <errorWord xmlns="http://schemas.wps.cn/vas-ai-hub/contract-review">品</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品对</item>
      </candidateList>
      <explain xmlns="http://schemas.wps.cn/vas-ai-hub/contract-review"/>
      <paraID xmlns="http://schemas.wps.cn/vas-ai-hub/contract-review">1A140E63</paraID>
      <start xmlns="http://schemas.wps.cn/vas-ai-hub/contract-review">136</start>
      <end xmlns="http://schemas.wps.cn/vas-ai-hub/contract-review">138</end>
      <status xmlns="http://schemas.wps.cn/vas-ai-hub/contract-review">modified</status>
      <modifiedWord xmlns="http://schemas.wps.cn/vas-ai-hub/contract-review">品对</modifiedWord>
      <trackRevisions xmlns="http://schemas.wps.cn/vas-ai-hub/contract-review">false</trackRevisions>
    </reviewItem>
    <reviewItem xmlns="http://schemas.wps.cn/vas-ai-hub/contract-review">
      <errorID xmlns="http://schemas.wps.cn/vas-ai-hub/contract-review">947a8f57-1ef7-45fb-8f6d-1878d335f85a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1A140E63</paraID>
      <start xmlns="http://schemas.wps.cn/vas-ai-hub/contract-review">164</start>
      <end xmlns="http://schemas.wps.cn/vas-ai-hub/contract-review">165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5d41ade4-85bd-4dae-8386-9c97222ee2e7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1A140E63</paraID>
      <start xmlns="http://schemas.wps.cn/vas-ai-hub/contract-review">209</start>
      <end xmlns="http://schemas.wps.cn/vas-ai-hub/contract-review">210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b8248e9f-cde3-4806-9467-4caa68c02cf6</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266C474D</paraID>
      <start xmlns="http://schemas.wps.cn/vas-ai-hub/contract-review">8</start>
      <end xmlns="http://schemas.wps.cn/vas-ai-hub/contract-review">11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a8edf86e-605b-4890-9905-a3681b35aeb4</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1E44C523</paraID>
      <start xmlns="http://schemas.wps.cn/vas-ai-hub/contract-review">5</start>
      <end xmlns="http://schemas.wps.cn/vas-ai-hub/contract-review">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2090666d-ec04-479c-8e51-98ab31158ab7</errorID>
      <errorWord xmlns="http://schemas.wps.cn/vas-ai-hub/contract-review">发</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发生</item>
      </candidateList>
      <explain xmlns="http://schemas.wps.cn/vas-ai-hub/contract-review">〈动〉❶原来没有的事出现了；产生：～变化｜～事故｜～关系。❷卵子受精后逐渐生长。</explain>
      <paraID xmlns="http://schemas.wps.cn/vas-ai-hub/contract-review">1079F7DF</paraID>
      <start xmlns="http://schemas.wps.cn/vas-ai-hub/contract-review">108</start>
      <end xmlns="http://schemas.wps.cn/vas-ai-hub/contract-review">110</end>
      <status xmlns="http://schemas.wps.cn/vas-ai-hub/contract-review">modified</status>
      <modifiedWord xmlns="http://schemas.wps.cn/vas-ai-hub/contract-review">发生</modifiedWord>
      <trackRevisions xmlns="http://schemas.wps.cn/vas-ai-hub/contract-review">false</trackRevisions>
    </reviewItem>
    <reviewItem xmlns="http://schemas.wps.cn/vas-ai-hub/contract-review">
      <errorID xmlns="http://schemas.wps.cn/vas-ai-hub/contract-review">1684f675-3085-4bf9-9e9d-19d160c5ea94</errorID>
      <errorWord xmlns="http://schemas.wps.cn/vas-ai-hub/contract-review">机率</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概率</item>
      </candidateList>
      <explain xmlns="http://schemas.wps.cn/vas-ai-hub/contract-review">存在字形相近字词的误用。</explain>
      <paraID xmlns="http://schemas.wps.cn/vas-ai-hub/contract-review">3C085F06</paraID>
      <start xmlns="http://schemas.wps.cn/vas-ai-hub/contract-review">195</start>
      <end xmlns="http://schemas.wps.cn/vas-ai-hub/contract-review">197</end>
      <status xmlns="http://schemas.wps.cn/vas-ai-hub/contract-review">modified</status>
      <modifiedWord xmlns="http://schemas.wps.cn/vas-ai-hub/contract-review">概率</modifiedWord>
      <trackRevisions xmlns="http://schemas.wps.cn/vas-ai-hub/contract-review">false</trackRevisions>
    </reviewItem>
    <reviewItem xmlns="http://schemas.wps.cn/vas-ai-hub/contract-review">
      <errorID xmlns="http://schemas.wps.cn/vas-ai-hub/contract-review">aefa50d2-b796-4b02-9bd2-8a7abc0814d1</errorID>
      <errorWord xmlns="http://schemas.wps.cn/vas-ai-hub/contract-review">污水厂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污水处理厂</item>
      </candidateList>
      <explain xmlns="http://schemas.wps.cn/vas-ai-hub/contract-review"/>
      <paraID xmlns="http://schemas.wps.cn/vas-ai-hub/contract-review">3FEFC3EF</paraID>
      <start xmlns="http://schemas.wps.cn/vas-ai-hub/contract-review">114</start>
      <end xmlns="http://schemas.wps.cn/vas-ai-hub/contract-review">119</end>
      <status xmlns="http://schemas.wps.cn/vas-ai-hub/contract-review">modified</status>
      <modifiedWord xmlns="http://schemas.wps.cn/vas-ai-hub/contract-review">污水处理厂</modifiedWord>
      <trackRevisions xmlns="http://schemas.wps.cn/vas-ai-hub/contract-review">false</trackRevisions>
    </reviewItem>
    <reviewItem xmlns="http://schemas.wps.cn/vas-ai-hub/contract-review">
      <errorID xmlns="http://schemas.wps.cn/vas-ai-hub/contract-review">2b24f724-0725-4d4a-944c-b156041e5ac7</errorID>
      <errorWord xmlns="http://schemas.wps.cn/vas-ai-hub/contract-review">风险事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风险</item>
      </candidateList>
      <explain xmlns="http://schemas.wps.cn/vas-ai-hub/contract-review">〈名〉可能发生的危险：担～｜冒着～去搞试验。</explain>
      <paraID xmlns="http://schemas.wps.cn/vas-ai-hub/contract-review">1E0DBE54</paraID>
      <start xmlns="http://schemas.wps.cn/vas-ai-hub/contract-review">17</start>
      <end xmlns="http://schemas.wps.cn/vas-ai-hub/contract-review">19</end>
      <status xmlns="http://schemas.wps.cn/vas-ai-hub/contract-review">modified</status>
      <modifiedWord xmlns="http://schemas.wps.cn/vas-ai-hub/contract-review">风险</modifiedWord>
      <trackRevisions xmlns="http://schemas.wps.cn/vas-ai-hub/contract-review">false</trackRevisions>
    </reviewItem>
    <reviewItem xmlns="http://schemas.wps.cn/vas-ai-hub/contract-review">
      <errorID xmlns="http://schemas.wps.cn/vas-ai-hub/contract-review">eea7d5a7-099c-4972-b35b-5302c3530beb</errorID>
      <errorWord xmlns="http://schemas.wps.cn/vas-ai-hub/contract-review">作好</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做好</item>
      </candidateList>
      <explain xmlns="http://schemas.wps.cn/vas-ai-hub/contract-review">存在发音相同字词的误用。</explain>
      <paraID xmlns="http://schemas.wps.cn/vas-ai-hub/contract-review">14C8B36E</paraID>
      <start xmlns="http://schemas.wps.cn/vas-ai-hub/contract-review">49</start>
      <end xmlns="http://schemas.wps.cn/vas-ai-hub/contract-review">51</end>
      <status xmlns="http://schemas.wps.cn/vas-ai-hub/contract-review">modified</status>
      <modifiedWord xmlns="http://schemas.wps.cn/vas-ai-hub/contract-review">做好</modifiedWord>
      <trackRevisions xmlns="http://schemas.wps.cn/vas-ai-hub/contract-review">false</trackRevisions>
    </reviewItem>
    <reviewItem xmlns="http://schemas.wps.cn/vas-ai-hub/contract-review">
      <errorID xmlns="http://schemas.wps.cn/vas-ai-hub/contract-review">be7be2b9-b397-4fe5-82b3-3e608ab176c0</errorID>
      <errorWord xmlns="http://schemas.wps.cn/vas-ai-hub/contract-review">作</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做</item>
      </candidateList>
      <explain xmlns="http://schemas.wps.cn/vas-ai-hub/contract-review">存在发音相同字词的误用。</explain>
      <paraID xmlns="http://schemas.wps.cn/vas-ai-hub/contract-review">14C8B36E</paraID>
      <start xmlns="http://schemas.wps.cn/vas-ai-hub/contract-review">72</start>
      <end xmlns="http://schemas.wps.cn/vas-ai-hub/contract-review">73</end>
      <status xmlns="http://schemas.wps.cn/vas-ai-hub/contract-review">modified</status>
      <modifiedWord xmlns="http://schemas.wps.cn/vas-ai-hub/contract-review">做</modifiedWord>
      <trackRevisions xmlns="http://schemas.wps.cn/vas-ai-hub/contract-review">false</trackRevisions>
    </reviewItem>
    <reviewItem xmlns="http://schemas.wps.cn/vas-ai-hub/contract-review">
      <errorID xmlns="http://schemas.wps.cn/vas-ai-hub/contract-review">ba514281-23ce-49bd-84dd-06e67eb33b6a</errorID>
      <errorWord xmlns="http://schemas.wps.cn/vas-ai-hub/contract-review">交待清楚</errorWord>
      <group xmlns="http://schemas.wps.cn/vas-ai-hub/contract-review">L1_Word</group>
      <groupName xmlns="http://schemas.wps.cn/vas-ai-hub/contract-review">字词问题</groupName>
      <ability xmlns="http://schemas.wps.cn/vas-ai-hub/contract-review">L2_Alias</ability>
      <abilityName xmlns="http://schemas.wps.cn/vas-ai-hub/contract-review">也作/曾用词</abilityName>
      <candidateList xmlns="http://schemas.wps.cn/vas-ai-hub/contract-review">
        <item xmlns="http://schemas.wps.cn/vas-ai-hub/contract-review">交代清楚</item>
      </candidateList>
      <explain xmlns="http://schemas.wps.cn/vas-ai-hub/contract-review">词汇[交待清楚]为不规范表述或旧称，其规范书面表述为[交代清楚]。</explain>
      <paraID xmlns="http://schemas.wps.cn/vas-ai-hub/contract-review">63941CBC</paraID>
      <start xmlns="http://schemas.wps.cn/vas-ai-hub/contract-review">80</start>
      <end xmlns="http://schemas.wps.cn/vas-ai-hub/contract-review">84</end>
      <status xmlns="http://schemas.wps.cn/vas-ai-hub/contract-review">modified</status>
      <modifiedWord xmlns="http://schemas.wps.cn/vas-ai-hub/contract-review">交代清楚</modifiedWord>
      <trackRevisions xmlns="http://schemas.wps.cn/vas-ai-hub/contract-review">false</trackRevisions>
    </reviewItem>
    <reviewItem xmlns="http://schemas.wps.cn/vas-ai-hub/contract-review">
      <errorID xmlns="http://schemas.wps.cn/vas-ai-hub/contract-review">b7b55d16-5992-45f7-ba0c-9970fb469df0</errorID>
      <errorWord xmlns="http://schemas.wps.cn/vas-ai-hub/contract-review">减小</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减少</item>
      </candidateList>
      <explain xmlns="http://schemas.wps.cn/vas-ai-hub/contract-review">〈动〉减去一部分：～人员｜～麻烦｜工作中的缺点～了。</explain>
      <paraID xmlns="http://schemas.wps.cn/vas-ai-hub/contract-review">25206B21</paraID>
      <start xmlns="http://schemas.wps.cn/vas-ai-hub/contract-review">49</start>
      <end xmlns="http://schemas.wps.cn/vas-ai-hub/contract-review">51</end>
      <status xmlns="http://schemas.wps.cn/vas-ai-hub/contract-review">modified</status>
      <modifiedWord xmlns="http://schemas.wps.cn/vas-ai-hub/contract-review">减少</modifiedWord>
      <trackRevisions xmlns="http://schemas.wps.cn/vas-ai-hub/contract-review">false</trackRevisions>
    </reviewItem>
    <reviewItem xmlns="http://schemas.wps.cn/vas-ai-hub/contract-review">
      <errorID xmlns="http://schemas.wps.cn/vas-ai-hub/contract-review">43aaa851-73fb-4b2b-8dec-4eed2142723b</errorID>
      <errorWord xmlns="http://schemas.wps.cn/vas-ai-hub/contract-review">时</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的</item>
      </candidateList>
      <explain xmlns="http://schemas.wps.cn/vas-ai-hub/contract-review">存在字形相近字词的误用。</explain>
      <paraID xmlns="http://schemas.wps.cn/vas-ai-hub/contract-review">4D083087</paraID>
      <start xmlns="http://schemas.wps.cn/vas-ai-hub/contract-review">4</start>
      <end xmlns="http://schemas.wps.cn/vas-ai-hub/contract-review">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4ffa34d8-5742-4794-b364-6cc2957a3830</errorID>
      <errorWord xmlns="http://schemas.wps.cn/vas-ai-hub/contract-review">室内、外</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室内外</item>
      </candidateList>
      <explain xmlns="http://schemas.wps.cn/vas-ai-hub/contract-review"/>
      <paraID xmlns="http://schemas.wps.cn/vas-ai-hub/contract-review">281340D8</paraID>
      <start xmlns="http://schemas.wps.cn/vas-ai-hub/contract-review">1</start>
      <end xmlns="http://schemas.wps.cn/vas-ai-hub/contract-review">4</end>
      <status xmlns="http://schemas.wps.cn/vas-ai-hub/contract-review">modified</status>
      <modifiedWord xmlns="http://schemas.wps.cn/vas-ai-hub/contract-review">室内外</modifiedWord>
      <trackRevisions xmlns="http://schemas.wps.cn/vas-ai-hub/contract-review">false</trackRevisions>
    </reviewItem>
    <reviewItem xmlns="http://schemas.wps.cn/vas-ai-hub/contract-review">
      <errorID xmlns="http://schemas.wps.cn/vas-ai-hub/contract-review">70e53e96-0349-44cb-94cf-45094bcfac99</errorID>
      <errorWord xmlns="http://schemas.wps.cn/vas-ai-hub/contract-review">导致废水处理系统不能正常运行所致</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导致废水处理系统不能正常运行</item>
      </candidateList>
      <explain xmlns="http://schemas.wps.cn/vas-ai-hub/contract-review"/>
      <paraID xmlns="http://schemas.wps.cn/vas-ai-hub/contract-review">4788C4FD</paraID>
      <start xmlns="http://schemas.wps.cn/vas-ai-hub/contract-review">25</start>
      <end xmlns="http://schemas.wps.cn/vas-ai-hub/contract-review">39</end>
      <status xmlns="http://schemas.wps.cn/vas-ai-hub/contract-review">modified</status>
      <modifiedWord xmlns="http://schemas.wps.cn/vas-ai-hub/contract-review">导致废水处理系统不能正常运行</modifiedWord>
      <trackRevisions xmlns="http://schemas.wps.cn/vas-ai-hub/contract-review">false</trackRevisions>
    </reviewItem>
    <reviewItem xmlns="http://schemas.wps.cn/vas-ai-hub/contract-review">
      <errorID xmlns="http://schemas.wps.cn/vas-ai-hub/contract-review">f0a2a6b9-1943-42a3-9ec7-7b4aefcdb846</errorID>
      <errorWord xmlns="http://schemas.wps.cn/vas-ai-hub/contract-review">后方</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后</item>
      </candidateList>
      <explain xmlns="http://schemas.wps.cn/vas-ai-hub/contract-review">❶君主的妻子：皇～｜～妃。❷古代称君主：商之先～。❸（Hòu）〈名〉姓。</explain>
      <paraID xmlns="http://schemas.wps.cn/vas-ai-hub/contract-review"> 398A1BB</paraID>
      <start xmlns="http://schemas.wps.cn/vas-ai-hub/contract-review">32</start>
      <end xmlns="http://schemas.wps.cn/vas-ai-hub/contract-review">33</end>
      <status xmlns="http://schemas.wps.cn/vas-ai-hub/contract-review">modified</status>
      <modifiedWord xmlns="http://schemas.wps.cn/vas-ai-hub/contract-review">后</modifiedWord>
      <trackRevisions xmlns="http://schemas.wps.cn/vas-ai-hub/contract-review">false</trackRevisions>
    </reviewItem>
    <reviewItem xmlns="http://schemas.wps.cn/vas-ai-hub/contract-review">
      <errorID xmlns="http://schemas.wps.cn/vas-ai-hub/contract-review">e3cbed09-c063-437a-a927-59976a191a59</errorID>
      <errorWord xmlns="http://schemas.wps.cn/vas-ai-hub/contract-review">况</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况下</item>
      </candidateList>
      <explain xmlns="http://schemas.wps.cn/vas-ai-hub/contract-review"/>
      <paraID xmlns="http://schemas.wps.cn/vas-ai-hub/contract-review"> 398A1BB</paraID>
      <start xmlns="http://schemas.wps.cn/vas-ai-hub/contract-review">75</start>
      <end xmlns="http://schemas.wps.cn/vas-ai-hub/contract-review">77</end>
      <status xmlns="http://schemas.wps.cn/vas-ai-hub/contract-review">modified</status>
      <modifiedWord xmlns="http://schemas.wps.cn/vas-ai-hub/contract-review">况下</modifiedWord>
      <trackRevisions xmlns="http://schemas.wps.cn/vas-ai-hub/contract-review">false</trackRevisions>
    </reviewItem>
    <reviewItem xmlns="http://schemas.wps.cn/vas-ai-hub/contract-review">
      <errorID xmlns="http://schemas.wps.cn/vas-ai-hub/contract-review">492ae466-33ca-44c9-8c85-81dafa596f45</errorID>
      <errorWord xmlns="http://schemas.wps.cn/vas-ai-hub/contract-review">少于</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小于</item>
      </candidateList>
      <explain xmlns="http://schemas.wps.cn/vas-ai-hub/contract-review">存在字形相近字词的误用。</explain>
      <paraID xmlns="http://schemas.wps.cn/vas-ai-hub/contract-review">7590662C</paraID>
      <start xmlns="http://schemas.wps.cn/vas-ai-hub/contract-review">61</start>
      <end xmlns="http://schemas.wps.cn/vas-ai-hub/contract-review">63</end>
      <status xmlns="http://schemas.wps.cn/vas-ai-hub/contract-review">modified</status>
      <modifiedWord xmlns="http://schemas.wps.cn/vas-ai-hub/contract-review">小于</modifiedWord>
      <trackRevisions xmlns="http://schemas.wps.cn/vas-ai-hub/contract-review">false</trackRevisions>
    </reviewItem>
    <reviewItem xmlns="http://schemas.wps.cn/vas-ai-hub/contract-review">
      <errorID xmlns="http://schemas.wps.cn/vas-ai-hub/contract-review">7cf7ea10-f721-4333-b466-f72c137e3fb2</errorID>
      <errorWord xmlns="http://schemas.wps.cn/vas-ai-hub/contract-review">危险化学品管理条例</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危险化学品安全管理条例</item>
      </candidateList>
      <explain xmlns="http://schemas.wps.cn/vas-ai-hub/contract-review">当前法律法规未收录或尚未生效，注意核查是否正确。</explain>
      <paraID xmlns="http://schemas.wps.cn/vas-ai-hub/contract-review">7ECFB526</paraID>
      <start xmlns="http://schemas.wps.cn/vas-ai-hub/contract-review">19</start>
      <end xmlns="http://schemas.wps.cn/vas-ai-hub/contract-review">30</end>
      <status xmlns="http://schemas.wps.cn/vas-ai-hub/contract-review">modified</status>
      <modifiedWord xmlns="http://schemas.wps.cn/vas-ai-hub/contract-review">危险化学品安全管理条例</modifiedWord>
      <trackRevisions xmlns="http://schemas.wps.cn/vas-ai-hub/contract-review">false</trackRevisions>
    </reviewItem>
    <reviewItem xmlns="http://schemas.wps.cn/vas-ai-hub/contract-review">
      <errorID xmlns="http://schemas.wps.cn/vas-ai-hub/contract-review">89b30a6f-4bcc-4e93-bb0e-6ecb5b21357a</errorID>
      <errorWord xmlns="http://schemas.wps.cn/vas-ai-hub/contract-review">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统具</item>
      </candidateList>
      <explain xmlns="http://schemas.wps.cn/vas-ai-hub/contract-review"/>
      <paraID xmlns="http://schemas.wps.cn/vas-ai-hub/contract-review"> A839977</paraID>
      <start xmlns="http://schemas.wps.cn/vas-ai-hub/contract-review">66</start>
      <end xmlns="http://schemas.wps.cn/vas-ai-hub/contract-review">68</end>
      <status xmlns="http://schemas.wps.cn/vas-ai-hub/contract-review">modified</status>
      <modifiedWord xmlns="http://schemas.wps.cn/vas-ai-hub/contract-review">统具</modifiedWord>
      <trackRevisions xmlns="http://schemas.wps.cn/vas-ai-hub/contract-review">false</trackRevisions>
    </reviewItem>
    <reviewItem xmlns="http://schemas.wps.cn/vas-ai-hub/contract-review">
      <errorID xmlns="http://schemas.wps.cn/vas-ai-hub/contract-review">733b491a-1a2b-43b0-b2e1-d601c8560b7c</errorID>
      <errorWord xmlns="http://schemas.wps.cn/vas-ai-hub/contract-review">污水厂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污水处理厂</item>
      </candidateList>
      <explain xmlns="http://schemas.wps.cn/vas-ai-hub/contract-review"/>
      <paraID xmlns="http://schemas.wps.cn/vas-ai-hub/contract-review">6E9F5702</paraID>
      <start xmlns="http://schemas.wps.cn/vas-ai-hub/contract-review">10</start>
      <end xmlns="http://schemas.wps.cn/vas-ai-hub/contract-review">15</end>
      <status xmlns="http://schemas.wps.cn/vas-ai-hub/contract-review">modified</status>
      <modifiedWord xmlns="http://schemas.wps.cn/vas-ai-hub/contract-review">污水处理厂</modifiedWord>
      <trackRevisions xmlns="http://schemas.wps.cn/vas-ai-hub/contract-review">false</trackRevisions>
    </reviewItem>
    <reviewItem xmlns="http://schemas.wps.cn/vas-ai-hub/contract-review">
      <errorID xmlns="http://schemas.wps.cn/vas-ai-hub/contract-review">53e82f17-135e-4dd5-a3e4-dc4f14eb5b3d</errorID>
      <errorWord xmlns="http://schemas.wps.cn/vas-ai-hub/contract-review">污水厂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污水处理厂</item>
      </candidateList>
      <explain xmlns="http://schemas.wps.cn/vas-ai-hub/contract-review"/>
      <paraID xmlns="http://schemas.wps.cn/vas-ai-hub/contract-review">6E9F5702</paraID>
      <start xmlns="http://schemas.wps.cn/vas-ai-hub/contract-review">123</start>
      <end xmlns="http://schemas.wps.cn/vas-ai-hub/contract-review">128</end>
      <status xmlns="http://schemas.wps.cn/vas-ai-hub/contract-review">modified</status>
      <modifiedWord xmlns="http://schemas.wps.cn/vas-ai-hub/contract-review">污水处理厂</modifiedWord>
      <trackRevisions xmlns="http://schemas.wps.cn/vas-ai-hub/contract-review">false</trackRevisions>
    </reviewItem>
    <reviewItem xmlns="http://schemas.wps.cn/vas-ai-hub/contract-review">
      <errorID xmlns="http://schemas.wps.cn/vas-ai-hub/contract-review">45eaef18-a242-44e0-8d50-61e43aea7e8b</errorID>
      <errorWord xmlns="http://schemas.wps.cn/vas-ai-hub/contract-review">起用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启用</item>
      </candidateList>
      <explain xmlns="http://schemas.wps.cn/vas-ai-hub/contract-review">〈动〉开始使用：～印章｜～新域名｜铁路已建成～。</explain>
      <paraID xmlns="http://schemas.wps.cn/vas-ai-hub/contract-review"> 20D47BE</paraID>
      <start xmlns="http://schemas.wps.cn/vas-ai-hub/contract-review">32</start>
      <end xmlns="http://schemas.wps.cn/vas-ai-hub/contract-review">34</end>
      <status xmlns="http://schemas.wps.cn/vas-ai-hub/contract-review">modified</status>
      <modifiedWord xmlns="http://schemas.wps.cn/vas-ai-hub/contract-review">启用</modifiedWord>
      <trackRevisions xmlns="http://schemas.wps.cn/vas-ai-hub/contract-review">false</trackRevisions>
    </reviewItem>
    <reviewItem xmlns="http://schemas.wps.cn/vas-ai-hub/contract-review">
      <errorID xmlns="http://schemas.wps.cn/vas-ai-hub/contract-review">3756d17f-b26a-4ec4-96b7-c742e4be5a50</errorID>
      <errorWord xmlns="http://schemas.wps.cn/vas-ai-hub/contract-review">增大</errorWord>
      <group xmlns="http://schemas.wps.cn/vas-ai-hub/contract-review">L1_Grammar</group>
      <groupName xmlns="http://schemas.wps.cn/vas-ai-hub/contract-review">语法问题</groupName>
      <ability xmlns="http://schemas.wps.cn/vas-ai-hub/contract-review">L2_Grammar</ability>
      <abilityName xmlns="http://schemas.wps.cn/vas-ai-hub/contract-review">语法错误</abilityName>
      <candidateList xmlns="http://schemas.wps.cn/vas-ai-hub/contract-review">
        <item xmlns="http://schemas.wps.cn/vas-ai-hub/contract-review">增加</item>
      </candidateList>
      <explain xmlns="http://schemas.wps.cn/vas-ai-hub/contract-review">“增大～排放”搭配不当，建议修改为“增加～排放”。</explain>
      <paraID xmlns="http://schemas.wps.cn/vas-ai-hub/contract-review">643D40BF</paraID>
      <start xmlns="http://schemas.wps.cn/vas-ai-hub/contract-review">9</start>
      <end xmlns="http://schemas.wps.cn/vas-ai-hub/contract-review">11</end>
      <status xmlns="http://schemas.wps.cn/vas-ai-hub/contract-review">modified</status>
      <modifiedWord xmlns="http://schemas.wps.cn/vas-ai-hub/contract-review">增加</modifiedWord>
      <trackRevisions xmlns="http://schemas.wps.cn/vas-ai-hub/contract-review">false</trackRevisions>
    </reviewItem>
    <reviewItem xmlns="http://schemas.wps.cn/vas-ai-hub/contract-review">
      <errorID xmlns="http://schemas.wps.cn/vas-ai-hub/contract-review">d98d16ca-ba09-4393-a977-455966598017</errorID>
      <errorWord xmlns="http://schemas.wps.cn/vas-ai-hub/contract-review">准</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准备</item>
      </candidateList>
      <explain xmlns="http://schemas.wps.cn/vas-ai-hub/contract-review"/>
      <paraID xmlns="http://schemas.wps.cn/vas-ai-hub/contract-review"> 354C94E</paraID>
      <start xmlns="http://schemas.wps.cn/vas-ai-hub/contract-review">10</start>
      <end xmlns="http://schemas.wps.cn/vas-ai-hub/contract-review">12</end>
      <status xmlns="http://schemas.wps.cn/vas-ai-hub/contract-review">modified</status>
      <modifiedWord xmlns="http://schemas.wps.cn/vas-ai-hub/contract-review">准备</modifiedWord>
      <trackRevisions xmlns="http://schemas.wps.cn/vas-ai-hub/contract-review">false</trackRevisions>
    </reviewItem>
    <reviewItem xmlns="http://schemas.wps.cn/vas-ai-hub/contract-review">
      <errorID xmlns="http://schemas.wps.cn/vas-ai-hub/contract-review">cd9253c2-56ae-4ffb-b060-36b0f0d27e20</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15834-2011《标点符号用法》中的4.5.3.5节，标有引号的并列成分之间、标有书名号的并列成分之间通常不用顿号。如“《红楼梦》《三国演义》《西游记》《水浒传》，是我国长篇小说的四大名著”。</explain>
      <paraID xmlns="http://schemas.wps.cn/vas-ai-hub/contract-review">417AD491</paraID>
      <start xmlns="http://schemas.wps.cn/vas-ai-hub/contract-review">76</start>
      <end xmlns="http://schemas.wps.cn/vas-ai-hub/contract-review">78</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43e4b700-e69c-404f-963f-39a3cb9faef8</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、宣</item>
      </candidateList>
      <explain xmlns="http://schemas.wps.cn/vas-ai-hub/contract-review"/>
      <paraID xmlns="http://schemas.wps.cn/vas-ai-hub/contract-review">4F87C136</paraID>
      <start xmlns="http://schemas.wps.cn/vas-ai-hub/contract-review">25</start>
      <end xmlns="http://schemas.wps.cn/vas-ai-hub/contract-review">27</end>
      <status xmlns="http://schemas.wps.cn/vas-ai-hub/contract-review">modified</status>
      <modifiedWord xmlns="http://schemas.wps.cn/vas-ai-hub/contract-review">、宣</modifiedWord>
      <trackRevisions xmlns="http://schemas.wps.cn/vas-ai-hub/contract-review">false</trackRevisions>
    </reviewItem>
    <reviewItem xmlns="http://schemas.wps.cn/vas-ai-hub/contract-review">
      <errorID xmlns="http://schemas.wps.cn/vas-ai-hub/contract-review">669a3eb4-bc02-44e9-be8e-dc3a6dd8ec84</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6EB764A6</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bf324cf7-0297-4fda-9ffd-51068b518a58</errorID>
      <errorWord xmlns="http://schemas.wps.cn/vas-ai-hub/contract-review">8、</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8.</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7DECCF01</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daf1c78d-d524-47ba-9d84-a572e1312aa8</errorID>
      <errorWord xmlns="http://schemas.wps.cn/vas-ai-hub/contract-review">的</errorWord>
      <group xmlns="http://schemas.wps.cn/vas-ai-hub/contract-review">L1_Word</group>
      <groupName xmlns="http://schemas.wps.cn/vas-ai-hub/contract-review">字词问题</groupName>
      <ability xmlns="http://schemas.wps.cn/vas-ai-hub/contract-review">L2_DDD</ability>
      <abilityName xmlns="http://schemas.wps.cn/vas-ai-hub/contract-review">的地得用法</abilityName>
      <candidateList xmlns="http://schemas.wps.cn/vas-ai-hub/contract-review">
        <item xmlns="http://schemas.wps.cn/vas-ai-hub/contract-review">地</item>
      </candidateList>
      <explain xmlns="http://schemas.wps.cn/vas-ai-hub/contract-review">“地”常用于连接修饰语与动词性中心语，表示动作的方式、状态或程度。</explain>
      <paraID xmlns="http://schemas.wps.cn/vas-ai-hub/contract-review">574DA8F6</paraID>
      <start xmlns="http://schemas.wps.cn/vas-ai-hub/contract-review">45</start>
      <end xmlns="http://schemas.wps.cn/vas-ai-hub/contract-review">46</end>
      <status xmlns="http://schemas.wps.cn/vas-ai-hub/contract-review">modified</status>
      <modifiedWord xmlns="http://schemas.wps.cn/vas-ai-hub/contract-review">地</modifiedWord>
      <trackRevisions xmlns="http://schemas.wps.cn/vas-ai-hub/contract-review">false</trackRevisions>
    </reviewItem>
    <reviewItem xmlns="http://schemas.wps.cn/vas-ai-hub/contract-review">
      <errorID xmlns="http://schemas.wps.cn/vas-ai-hub/contract-review">1d11e840-f471-4eba-8203-1f3b2a7bd90b</errorID>
      <errorWord xmlns="http://schemas.wps.cn/vas-ai-hub/contract-review">施工期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施工</item>
      </candidateList>
      <explain xmlns="http://schemas.wps.cn/vas-ai-hub/contract-review">〈动〉按照设计的规格和要求建筑房屋、桥梁、道路、水利工程等。</explain>
      <paraID xmlns="http://schemas.wps.cn/vas-ai-hub/contract-review">574DA8F6</paraID>
      <start xmlns="http://schemas.wps.cn/vas-ai-hub/contract-review">116</start>
      <end xmlns="http://schemas.wps.cn/vas-ai-hub/contract-review">118</end>
      <status xmlns="http://schemas.wps.cn/vas-ai-hub/contract-review">modified</status>
      <modifiedWord xmlns="http://schemas.wps.cn/vas-ai-hub/contract-review">施工</modifiedWord>
      <trackRevisions xmlns="http://schemas.wps.cn/vas-ai-hub/contract-review">false</trackRevisions>
    </reviewItem>
    <reviewItem xmlns="http://schemas.wps.cn/vas-ai-hub/contract-review">
      <errorID xmlns="http://schemas.wps.cn/vas-ai-hub/contract-review">51d6c074-6c0e-4fde-a5fc-40a28402439e</errorID>
      <errorWord xmlns="http://schemas.wps.cn/vas-ai-hub/contract-review">污水厂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污水处理厂</item>
      </candidateList>
      <explain xmlns="http://schemas.wps.cn/vas-ai-hub/contract-review"/>
      <paraID xmlns="http://schemas.wps.cn/vas-ai-hub/contract-review">7E22097D</paraID>
      <start xmlns="http://schemas.wps.cn/vas-ai-hub/contract-review">63</start>
      <end xmlns="http://schemas.wps.cn/vas-ai-hub/contract-review">68</end>
      <status xmlns="http://schemas.wps.cn/vas-ai-hub/contract-review">modified</status>
      <modifiedWord xmlns="http://schemas.wps.cn/vas-ai-hub/contract-review">污水处理厂</modifiedWord>
      <trackRevisions xmlns="http://schemas.wps.cn/vas-ai-hub/contract-review">false</trackRevisions>
    </reviewItem>
    <reviewItem xmlns="http://schemas.wps.cn/vas-ai-hub/contract-review">
      <errorID xmlns="http://schemas.wps.cn/vas-ai-hub/contract-review">118185ae-dade-42c3-baad-74444896a556</errorID>
      <errorWord xmlns="http://schemas.wps.cn/vas-ai-hub/contract-review">9、</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9.</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5F87A9C3</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e1df0637-f02c-4b22-8f7f-a94e97be063a</errorID>
      <errorWord xmlns="http://schemas.wps.cn/vas-ai-hub/contract-review">临近</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邻近</item>
      </candidateList>
      <explain xmlns="http://schemas.wps.cn/vas-ai-hub/contract-review">存在发音相同字词的误用。</explain>
      <paraID xmlns="http://schemas.wps.cn/vas-ai-hub/contract-review"> BB889BB</paraID>
      <start xmlns="http://schemas.wps.cn/vas-ai-hub/contract-review">8</start>
      <end xmlns="http://schemas.wps.cn/vas-ai-hub/contract-review">10</end>
      <status xmlns="http://schemas.wps.cn/vas-ai-hub/contract-review">modified</status>
      <modifiedWord xmlns="http://schemas.wps.cn/vas-ai-hub/contract-review">邻近</modifiedWord>
      <trackRevisions xmlns="http://schemas.wps.cn/vas-ai-hub/contract-review">false</trackRevisions>
    </reviewItem>
    <reviewItem xmlns="http://schemas.wps.cn/vas-ai-hub/contract-review">
      <errorID xmlns="http://schemas.wps.cn/vas-ai-hub/contract-review">902b631c-b9ee-472c-965e-fa5a7352d39e</errorID>
      <errorWord xmlns="http://schemas.wps.cn/vas-ai-hub/contract-review">制定出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制定</item>
      </candidateList>
      <explain xmlns="http://schemas.wps.cn/vas-ai-hub/contract-review">〈动〉定出（法律、规程、政策等）：～宪法｜～学会章程。</explain>
      <paraID xmlns="http://schemas.wps.cn/vas-ai-hub/contract-review">68FFBF41</paraID>
      <start xmlns="http://schemas.wps.cn/vas-ai-hub/contract-review">2</start>
      <end xmlns="http://schemas.wps.cn/vas-ai-hub/contract-review">4</end>
      <status xmlns="http://schemas.wps.cn/vas-ai-hub/contract-review">modified</status>
      <modifiedWord xmlns="http://schemas.wps.cn/vas-ai-hub/contract-review">制定</modifiedWord>
      <trackRevisions xmlns="http://schemas.wps.cn/vas-ai-hub/contract-review">false</trackRevisions>
    </reviewItem>
    <reviewItem xmlns="http://schemas.wps.cn/vas-ai-hub/contract-review">
      <errorID xmlns="http://schemas.wps.cn/vas-ai-hub/contract-review">ab95da89-3115-46c9-904d-6598828b9f37</errorID>
      <errorWord xmlns="http://schemas.wps.cn/vas-ai-hub/contract-review">污水厂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污水处理厂</item>
      </candidateList>
      <explain xmlns="http://schemas.wps.cn/vas-ai-hub/contract-review"/>
      <paraID xmlns="http://schemas.wps.cn/vas-ai-hub/contract-review">44B193ED</paraID>
      <start xmlns="http://schemas.wps.cn/vas-ai-hub/contract-review">203</start>
      <end xmlns="http://schemas.wps.cn/vas-ai-hub/contract-review">208</end>
      <status xmlns="http://schemas.wps.cn/vas-ai-hub/contract-review">modified</status>
      <modifiedWord xmlns="http://schemas.wps.cn/vas-ai-hub/contract-review">污水处理厂</modifiedWord>
      <trackRevisions xmlns="http://schemas.wps.cn/vas-ai-hub/contract-review">false</trackRevisions>
    </reviewItem>
    <reviewItem xmlns="http://schemas.wps.cn/vas-ai-hub/contract-review">
      <errorID xmlns="http://schemas.wps.cn/vas-ai-hub/contract-review">c31f0ed5-222c-47c9-a80b-77676e1d9b12</errorID>
      <errorWord xmlns="http://schemas.wps.cn/vas-ai-hub/contract-review">10、</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10.</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1404B8E0</paraID>
      <start xmlns="http://schemas.wps.cn/vas-ai-hub/contract-review">0</start>
      <end xmlns="http://schemas.wps.cn/vas-ai-hub/contract-review">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fc62ca50-a32c-4870-ab65-2abd36d0347a</errorID>
      <errorWord xmlns="http://schemas.wps.cn/vas-ai-hub/contract-review">法律、法规</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法律法规</item>
      </candidateList>
      <explain xmlns="http://schemas.wps.cn/vas-ai-hub/contract-review"/>
      <paraID xmlns="http://schemas.wps.cn/vas-ai-hub/contract-review">735652B4</paraID>
      <start xmlns="http://schemas.wps.cn/vas-ai-hub/contract-review">100</start>
      <end xmlns="http://schemas.wps.cn/vas-ai-hub/contract-review">104</end>
      <status xmlns="http://schemas.wps.cn/vas-ai-hub/contract-review">modified</status>
      <modifiedWord xmlns="http://schemas.wps.cn/vas-ai-hub/contract-review">法律法规</modifiedWord>
      <trackRevisions xmlns="http://schemas.wps.cn/vas-ai-hub/contract-review">false</trackRevisions>
    </reviewItem>
    <reviewItem xmlns="http://schemas.wps.cn/vas-ai-hub/contract-review">
      <errorID xmlns="http://schemas.wps.cn/vas-ai-hub/contract-review">bba0202a-f510-4fff-a75b-8591194ed98b</errorID>
      <errorWord xmlns="http://schemas.wps.cn/vas-ai-hub/contract-review">11、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63955185</paraID>
      <start xmlns="http://schemas.wps.cn/vas-ai-hub/contract-review">0</start>
      <end xmlns="http://schemas.wps.cn/vas-ai-hub/contract-review">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a6f9f1e5-b37f-4849-8780-2fc5b8a03055</errorID>
      <errorWord xmlns="http://schemas.wps.cn/vas-ai-hub/contract-review">限值</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限制</item>
      </candidateList>
      <explain xmlns="http://schemas.wps.cn/vas-ai-hub/contract-review"/>
      <paraID xmlns="http://schemas.wps.cn/vas-ai-hub/contract-review">7B6FD4E7</paraID>
      <start xmlns="http://schemas.wps.cn/vas-ai-hub/contract-review">19</start>
      <end xmlns="http://schemas.wps.cn/vas-ai-hub/contract-review">21</end>
      <status xmlns="http://schemas.wps.cn/vas-ai-hub/contract-review">modified</status>
      <modifiedWord xmlns="http://schemas.wps.cn/vas-ai-hub/contract-review">限制</modifiedWord>
      <trackRevisions xmlns="http://schemas.wps.cn/vas-ai-hub/contract-review">false</trackRevisions>
    </reviewItem>
    <reviewItem xmlns="http://schemas.wps.cn/vas-ai-hub/contract-review">
      <errorID xmlns="http://schemas.wps.cn/vas-ai-hub/contract-review">30e93fce-9b51-49e1-ace2-0aacde9a109b</errorID>
      <errorWord xmlns="http://schemas.wps.cn/vas-ai-hub/contract-review">沉砂池</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沉沙池</item>
      </candidateList>
      <explain xmlns="http://schemas.wps.cn/vas-ai-hub/contract-review">存在发音相同字词的误用。</explain>
      <paraID xmlns="http://schemas.wps.cn/vas-ai-hub/contract-review">3296E096</paraID>
      <start xmlns="http://schemas.wps.cn/vas-ai-hub/contract-review">14</start>
      <end xmlns="http://schemas.wps.cn/vas-ai-hub/contract-review">17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d5911cc9-3898-48df-8e2d-d0e06b3499ba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43E08DD8</paraID>
      <start xmlns="http://schemas.wps.cn/vas-ai-hub/contract-review">60</start>
      <end xmlns="http://schemas.wps.cn/vas-ai-hub/contract-review">61</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988b2b9f-6c00-43c3-a9e1-b6e780c791b1</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此处标点可能未正确匹配，请检查句子中是否存在标点冗余、缺失或使用错误的情况。</explain>
      <paraID xmlns="http://schemas.wps.cn/vas-ai-hub/contract-review">5698C4F9</paraID>
      <start xmlns="http://schemas.wps.cn/vas-ai-hub/contract-review">35</start>
      <end xmlns="http://schemas.wps.cn/vas-ai-hub/contract-review">36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f5e42e29-e82b-4584-a1c0-7f48de6d806b</errorID>
      <errorWord xmlns="http://schemas.wps.cn/vas-ai-hub/contract-review">的</errorWord>
      <group xmlns="http://schemas.wps.cn/vas-ai-hub/contract-review">L1_Word</group>
      <groupName xmlns="http://schemas.wps.cn/vas-ai-hub/contract-review">字词问题</groupName>
      <ability xmlns="http://schemas.wps.cn/vas-ai-hub/contract-review">L2_DDD</ability>
      <abilityName xmlns="http://schemas.wps.cn/vas-ai-hub/contract-review">的地得用法</abilityName>
      <candidateList xmlns="http://schemas.wps.cn/vas-ai-hub/contract-review">
        <item xmlns="http://schemas.wps.cn/vas-ai-hub/contract-review">地</item>
      </candidateList>
      <explain xmlns="http://schemas.wps.cn/vas-ai-hub/contract-review">“地”常用于连接修饰语与动词性中心语，表示动作的方式、状态或程度。</explain>
      <paraID xmlns="http://schemas.wps.cn/vas-ai-hub/contract-review"> 7510F59</paraID>
      <start xmlns="http://schemas.wps.cn/vas-ai-hub/contract-review">38</start>
      <end xmlns="http://schemas.wps.cn/vas-ai-hub/contract-review">39</end>
      <status xmlns="http://schemas.wps.cn/vas-ai-hub/contract-review">modified</status>
      <modifiedWord xmlns="http://schemas.wps.cn/vas-ai-hub/contract-review">地</modifiedWord>
      <trackRevisions xmlns="http://schemas.wps.cn/vas-ai-hub/contract-review">false</trackRevisions>
    </reviewItem>
    <reviewItem xmlns="http://schemas.wps.cn/vas-ai-hub/contract-review">
      <errorID xmlns="http://schemas.wps.cn/vas-ai-hub/contract-review">deaf4dc8-1d27-4acd-a13e-9c61de6b99d5</errorID>
      <errorWord xmlns="http://schemas.wps.cn/vas-ai-hub/contract-review">施工期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施工</item>
      </candidateList>
      <explain xmlns="http://schemas.wps.cn/vas-ai-hub/contract-review">〈动〉按照设计的规格和要求建筑房屋、桥梁、道路、水利工程等。</explain>
      <paraID xmlns="http://schemas.wps.cn/vas-ai-hub/contract-review"> 7510F59</paraID>
      <start xmlns="http://schemas.wps.cn/vas-ai-hub/contract-review">109</start>
      <end xmlns="http://schemas.wps.cn/vas-ai-hub/contract-review">111</end>
      <status xmlns="http://schemas.wps.cn/vas-ai-hub/contract-review">modified</status>
      <modifiedWord xmlns="http://schemas.wps.cn/vas-ai-hub/contract-review">施工</modifiedWord>
      <trackRevisions xmlns="http://schemas.wps.cn/vas-ai-hub/contract-review">false</trackRevisions>
    </reviewItem>
    <reviewItem xmlns="http://schemas.wps.cn/vas-ai-hub/contract-review">
      <errorID xmlns="http://schemas.wps.cn/vas-ai-hub/contract-review">ad108cbf-6cb5-416f-9afc-405940ba30c8</errorID>
      <errorWord xmlns="http://schemas.wps.cn/vas-ai-hub/contract-review">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期对</item>
      </candidateList>
      <explain xmlns="http://schemas.wps.cn/vas-ai-hub/contract-review"/>
      <paraID xmlns="http://schemas.wps.cn/vas-ai-hub/contract-review">7F896F3C</paraID>
      <start xmlns="http://schemas.wps.cn/vas-ai-hub/contract-review">22</start>
      <end xmlns="http://schemas.wps.cn/vas-ai-hub/contract-review">24</end>
      <status xmlns="http://schemas.wps.cn/vas-ai-hub/contract-review">modified</status>
      <modifiedWord xmlns="http://schemas.wps.cn/vas-ai-hub/contract-review">期对</modifiedWord>
      <trackRevisions xmlns="http://schemas.wps.cn/vas-ai-hub/contract-review">false</trackRevisions>
    </reviewItem>
    <reviewItem xmlns="http://schemas.wps.cn/vas-ai-hub/contract-review">
      <errorID xmlns="http://schemas.wps.cn/vas-ai-hub/contract-review">310e5298-27d0-425d-a1e1-8ad5ddfc07e1</errorID>
      <errorWord xmlns="http://schemas.wps.cn/vas-ai-hub/contract-review">污染物</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污染</item>
      </candidateList>
      <explain xmlns="http://schemas.wps.cn/vas-ai-hub/contract-review"/>
      <paraID xmlns="http://schemas.wps.cn/vas-ai-hub/contract-review">2DCF21A3</paraID>
      <start xmlns="http://schemas.wps.cn/vas-ai-hub/contract-review">57</start>
      <end xmlns="http://schemas.wps.cn/vas-ai-hub/contract-review">59</end>
      <status xmlns="http://schemas.wps.cn/vas-ai-hub/contract-review">modified</status>
      <modifiedWord xmlns="http://schemas.wps.cn/vas-ai-hub/contract-review">污染</modifiedWord>
      <trackRevisions xmlns="http://schemas.wps.cn/vas-ai-hub/contract-review">false</trackRevisions>
    </reviewItem>
    <reviewItem xmlns="http://schemas.wps.cn/vas-ai-hub/contract-review">
      <errorID xmlns="http://schemas.wps.cn/vas-ai-hub/contract-review">41af0bc4-2ab0-473e-9aab-4fd12a31d45e</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50B653AD</paraID>
      <start xmlns="http://schemas.wps.cn/vas-ai-hub/contract-review">198</start>
      <end xmlns="http://schemas.wps.cn/vas-ai-hub/contract-review">199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982dfbb0-9205-4b4f-8401-00e60f2bc99e</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50B653AD</paraID>
      <start xmlns="http://schemas.wps.cn/vas-ai-hub/contract-review">210</start>
      <end xmlns="http://schemas.wps.cn/vas-ai-hub/contract-review">211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5356df49-12ae-4fc4-95dd-b83b3111a5ce</errorID>
      <errorWord xmlns="http://schemas.wps.cn/vas-ai-hub/contract-review">&lt;</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70792D19</paraID>
      <start xmlns="http://schemas.wps.cn/vas-ai-hub/contract-review">12</start>
      <end xmlns="http://schemas.wps.cn/vas-ai-hub/contract-review">13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81207c24-53df-4e25-aed0-d4febcb1bbbd</errorID>
      <errorWord xmlns="http://schemas.wps.cn/vas-ai-hub/contract-review">&gt;</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70792D19</paraID>
      <start xmlns="http://schemas.wps.cn/vas-ai-hub/contract-review">25</start>
      <end xmlns="http://schemas.wps.cn/vas-ai-hub/contract-review">26</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29641df3-2cb9-4de6-ad52-77aad68866ae</errorID>
      <errorWord xmlns="http://schemas.wps.cn/vas-ai-hub/contract-review">限制</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限值</item>
      </candidateList>
      <explain xmlns="http://schemas.wps.cn/vas-ai-hub/contract-review"/>
      <paraID xmlns="http://schemas.wps.cn/vas-ai-hub/contract-review">44A5C5A0</paraID>
      <start xmlns="http://schemas.wps.cn/vas-ai-hub/contract-review">122</start>
      <end xmlns="http://schemas.wps.cn/vas-ai-hub/contract-review">124</end>
      <status xmlns="http://schemas.wps.cn/vas-ai-hub/contract-review">modified</status>
      <modifiedWord xmlns="http://schemas.wps.cn/vas-ai-hub/contract-review">限值</modifiedWord>
      <trackRevisions xmlns="http://schemas.wps.cn/vas-ai-hub/contract-review">false</trackRevisions>
    </reviewItem>
    <reviewItem xmlns="http://schemas.wps.cn/vas-ai-hub/contract-review">
      <errorID xmlns="http://schemas.wps.cn/vas-ai-hub/contract-review">20645628-4d5f-47e4-a645-b112a17ef578</errorID>
      <errorWord xmlns="http://schemas.wps.cn/vas-ai-hub/contract-review">限制</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限值</item>
      </candidateList>
      <explain xmlns="http://schemas.wps.cn/vas-ai-hub/contract-review"/>
      <paraID xmlns="http://schemas.wps.cn/vas-ai-hub/contract-review">722DFC36</paraID>
      <start xmlns="http://schemas.wps.cn/vas-ai-hub/contract-review">33</start>
      <end xmlns="http://schemas.wps.cn/vas-ai-hub/contract-review">35</end>
      <status xmlns="http://schemas.wps.cn/vas-ai-hub/contract-review">modified</status>
      <modifiedWord xmlns="http://schemas.wps.cn/vas-ai-hub/contract-review">限值</modifiedWord>
      <trackRevisions xmlns="http://schemas.wps.cn/vas-ai-hub/contract-review">false</trackRevisions>
    </reviewItem>
    <reviewItem xmlns="http://schemas.wps.cn/vas-ai-hub/contract-review">
      <errorID xmlns="http://schemas.wps.cn/vas-ai-hub/contract-review">a21bddd4-24ce-4481-afdf-e141c19c44e2</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745CD4BE</paraID>
      <start xmlns="http://schemas.wps.cn/vas-ai-hub/contract-review">2</start>
      <end xmlns="http://schemas.wps.cn/vas-ai-hub/contract-review">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7d79d4c5-3937-4387-aad4-cf34e0d3db01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745CD4BE</paraID>
      <start xmlns="http://schemas.wps.cn/vas-ai-hub/contract-review">4</start>
      <end xmlns="http://schemas.wps.cn/vas-ai-hub/contract-review">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1c2b4e27-a0c0-4e47-b4bf-b25c17f8154b</errorID>
      <errorWord xmlns="http://schemas.wps.cn/vas-ai-hub/contract-review">润游</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洄游</item>
      </candidateList>
      <explain xmlns="http://schemas.wps.cn/vas-ai-hub/contract-review"/>
      <paraID xmlns="http://schemas.wps.cn/vas-ai-hub/contract-review">681382B0</paraID>
      <start xmlns="http://schemas.wps.cn/vas-ai-hub/contract-review">93</start>
      <end xmlns="http://schemas.wps.cn/vas-ai-hub/contract-review">95</end>
      <status xmlns="http://schemas.wps.cn/vas-ai-hub/contract-review">modified</status>
      <modifiedWord xmlns="http://schemas.wps.cn/vas-ai-hub/contract-review">洄游</modifiedWord>
      <trackRevisions xmlns="http://schemas.wps.cn/vas-ai-hub/contract-review">false</trackRevisions>
    </reviewItem>
    <reviewItem xmlns="http://schemas.wps.cn/vas-ai-hub/contract-review">
      <errorID xmlns="http://schemas.wps.cn/vas-ai-hub/contract-review">a361b81c-19b8-4d84-be5a-708eafc3765d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 </item>
      </candidateList>
      <explain xmlns="http://schemas.wps.cn/vas-ai-hub/contract-review">文本全半角错误。</explain>
      <paraID xmlns="http://schemas.wps.cn/vas-ai-hub/contract-review">771DBD9C</paraID>
      <start xmlns="http://schemas.wps.cn/vas-ai-hub/contract-review">14</start>
      <end xmlns="http://schemas.wps.cn/vas-ai-hub/contract-review">15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8d5b4741-98d7-4d81-8a5e-4d27f5fdb1d2</errorID>
      <errorWord xmlns="http://schemas.wps.cn/vas-ai-hub/contract-review">水水水</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水水</item>
      </candidateList>
      <explain xmlns="http://schemas.wps.cn/vas-ai-hub/contract-review"/>
      <paraID xmlns="http://schemas.wps.cn/vas-ai-hub/contract-review">1142C0E2</paraID>
      <start xmlns="http://schemas.wps.cn/vas-ai-hub/contract-review">2</start>
      <end xmlns="http://schemas.wps.cn/vas-ai-hub/contract-review">4</end>
      <status xmlns="http://schemas.wps.cn/vas-ai-hub/contract-review">modified</status>
      <modifiedWord xmlns="http://schemas.wps.cn/vas-ai-hub/contract-review">水水</modifiedWord>
      <trackRevisions xmlns="http://schemas.wps.cn/vas-ai-hub/contract-review">false</trackRevisions>
    </reviewItem>
    <reviewItem xmlns="http://schemas.wps.cn/vas-ai-hub/contract-review">
      <errorID xmlns="http://schemas.wps.cn/vas-ai-hub/contract-review">b651862a-b77a-4140-8ec6-64ef32e310da</errorID>
      <errorWord xmlns="http://schemas.wps.cn/vas-ai-hub/contract-review">III类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Ⅲ类</item>
      </candidateList>
      <explain xmlns="http://schemas.wps.cn/vas-ai-hub/contract-review"/>
      <paraID xmlns="http://schemas.wps.cn/vas-ai-hub/contract-review">1B91AD1A</paraID>
      <start xmlns="http://schemas.wps.cn/vas-ai-hub/contract-review">25</start>
      <end xmlns="http://schemas.wps.cn/vas-ai-hub/contract-review">27</end>
      <status xmlns="http://schemas.wps.cn/vas-ai-hub/contract-review">modified</status>
      <modifiedWord xmlns="http://schemas.wps.cn/vas-ai-hub/contract-review">Ⅲ类</modifiedWord>
      <trackRevisions xmlns="http://schemas.wps.cn/vas-ai-hub/contract-review">false</trackRevisions>
    </reviewItem>
    <reviewItem xmlns="http://schemas.wps.cn/vas-ai-hub/contract-review">
      <errorID xmlns="http://schemas.wps.cn/vas-ai-hub/contract-review">9abf8908-609b-4d2e-a3a4-94c8a2aa8caa</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2D44CA0E</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8823c2c3-46e0-4c7a-babc-28303bd788a2</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，该</item>
      </candidateList>
      <explain xmlns="http://schemas.wps.cn/vas-ai-hub/contract-review"/>
      <paraID xmlns="http://schemas.wps.cn/vas-ai-hub/contract-review">7324C567</paraID>
      <start xmlns="http://schemas.wps.cn/vas-ai-hub/contract-review">41</start>
      <end xmlns="http://schemas.wps.cn/vas-ai-hub/contract-review">43</end>
      <status xmlns="http://schemas.wps.cn/vas-ai-hub/contract-review">modified</status>
      <modifiedWord xmlns="http://schemas.wps.cn/vas-ai-hub/contract-review">，该</modifiedWord>
      <trackRevisions xmlns="http://schemas.wps.cn/vas-ai-hub/contract-review">false</trackRevisions>
    </reviewItem>
    <reviewItem xmlns="http://schemas.wps.cn/vas-ai-hub/contract-review">
      <errorID xmlns="http://schemas.wps.cn/vas-ai-hub/contract-review">3a8ce025-5dc2-43e4-a9c4-6b21fad20874</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C97DDF7</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c72519b1-d279-4c75-9318-a8e6716fac84</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1F748A9C</paraID>
      <start xmlns="http://schemas.wps.cn/vas-ai-hub/contract-review">64</start>
      <end xmlns="http://schemas.wps.cn/vas-ai-hub/contract-review">65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27d801b0-d09a-45c5-825b-e40dcad94ec0</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1E541614</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a9c061a1-771f-48f8-9170-cf25840008a3</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3037DD46</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c531c411-3c2f-46b3-aad8-08948f60f56b</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571624C9</paraID>
      <start xmlns="http://schemas.wps.cn/vas-ai-hub/contract-review">26</start>
      <end xmlns="http://schemas.wps.cn/vas-ai-hub/contract-review">27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5643bcc9-8547-439e-958f-8bf9673919bb</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6D0487CD</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c029b1de-fbc8-481d-be8e-1066eee40554</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505EF5E7</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ddd1b658-552f-439c-ad4d-cd9076aeb88c</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62D68B1E</paraID>
      <start xmlns="http://schemas.wps.cn/vas-ai-hub/contract-review">21</start>
      <end xmlns="http://schemas.wps.cn/vas-ai-hub/contract-review">22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4245ef7b-b591-4738-b14a-2e0b34490808</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59503AE9</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01c1613b-b26c-42ec-b1b2-1d145124da08</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676706A7</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2c43423b-8f55-4f79-b11b-0fcaf368f61a</errorID>
      <errorWord xmlns="http://schemas.wps.cn/vas-ai-hub/contract-review">现</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现了</item>
      </candidateList>
      <explain xmlns="http://schemas.wps.cn/vas-ai-hub/contract-review"/>
      <paraID xmlns="http://schemas.wps.cn/vas-ai-hub/contract-review">2F1CE7B6</paraID>
      <start xmlns="http://schemas.wps.cn/vas-ai-hub/contract-review">67</start>
      <end xmlns="http://schemas.wps.cn/vas-ai-hub/contract-review">69</end>
      <status xmlns="http://schemas.wps.cn/vas-ai-hub/contract-review">modified</status>
      <modifiedWord xmlns="http://schemas.wps.cn/vas-ai-hub/contract-review">现了</modifiedWord>
      <trackRevisions xmlns="http://schemas.wps.cn/vas-ai-hub/contract-review">false</trackRevisions>
    </reviewItem>
    <reviewItem xmlns="http://schemas.wps.cn/vas-ai-hub/contract-review">
      <errorID xmlns="http://schemas.wps.cn/vas-ai-hub/contract-review">77046571-3394-4327-b79f-a1dd007ddc07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27A91E06</paraID>
      <start xmlns="http://schemas.wps.cn/vas-ai-hub/contract-review">29</start>
      <end xmlns="http://schemas.wps.cn/vas-ai-hub/contract-review">30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c602d97a-7573-43c8-813a-4424eb286f1c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27A91E06</paraID>
      <start xmlns="http://schemas.wps.cn/vas-ai-hub/contract-review">108</start>
      <end xmlns="http://schemas.wps.cn/vas-ai-hub/contract-review">109</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9a765572-c219-4d2c-8f7c-f7e88a0197c3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27A91E06</paraID>
      <start xmlns="http://schemas.wps.cn/vas-ai-hub/contract-review">157</start>
      <end xmlns="http://schemas.wps.cn/vas-ai-hub/contract-review">158</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cd956654-e506-4e49-912d-1f272d992601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20285781</paraID>
      <start xmlns="http://schemas.wps.cn/vas-ai-hub/contract-review">74</start>
      <end xmlns="http://schemas.wps.cn/vas-ai-hub/contract-review">75</end>
      <status xmlns="http://schemas.wps.cn/vas-ai-hub/contract-review">modified</status>
      <modifiedWord xmlns="http://schemas.wps.cn/vas-ai-hub/contract-review">～</modifiedWord>
      <trackRevisions xmlns="http://schemas.wps.cn/vas-ai-hub/contract-review">false</trackRevisions>
    </reviewItem>
    <reviewItem xmlns="http://schemas.wps.cn/vas-ai-hub/contract-review">
      <errorID xmlns="http://schemas.wps.cn/vas-ai-hub/contract-review">efd62558-e16f-47eb-912c-8215290558e3</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36278627</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12a3666f-5f2c-4cf7-b1aa-2e4eb15efd10</errorID>
      <errorWord xmlns="http://schemas.wps.cn/vas-ai-hub/contract-review">干断面的</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肝断面的</item>
      </candidateList>
      <explain xmlns="http://schemas.wps.cn/vas-ai-hub/contract-review"/>
      <paraID xmlns="http://schemas.wps.cn/vas-ai-hub/contract-review">  9C10B3</paraID>
      <start xmlns="http://schemas.wps.cn/vas-ai-hub/contract-review">30</start>
      <end xmlns="http://schemas.wps.cn/vas-ai-hub/contract-review">34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aa7134e4-75da-4903-b389-5e21efcd969a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13E87B9F</paraID>
      <start xmlns="http://schemas.wps.cn/vas-ai-hub/contract-review">5</start>
      <end xmlns="http://schemas.wps.cn/vas-ai-hub/contract-review">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caa8dd4c-516f-4c32-aebf-8c7ea77b4e3c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13E87B9F</paraID>
      <start xmlns="http://schemas.wps.cn/vas-ai-hub/contract-review">10</start>
      <end xmlns="http://schemas.wps.cn/vas-ai-hub/contract-review">11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73da2324-c76b-4eec-af43-a9f1cb7ebf6b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63618B52</paraID>
      <start xmlns="http://schemas.wps.cn/vas-ai-hub/contract-review">3</start>
      <end xmlns="http://schemas.wps.cn/vas-ai-hub/contract-review">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658b3f4f-fcee-4db1-843c-8b9bcbeccd8c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63618B52</paraID>
      <start xmlns="http://schemas.wps.cn/vas-ai-hub/contract-review">8</start>
      <end xmlns="http://schemas.wps.cn/vas-ai-hub/contract-review">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012251e9-e826-4764-ba10-712733076166</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1D56A201</paraID>
      <start xmlns="http://schemas.wps.cn/vas-ai-hub/contract-review">2</start>
      <end xmlns="http://schemas.wps.cn/vas-ai-hub/contract-review">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387f9f3c-61e7-4c49-b195-0b7c4c5ffa96</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1D56A201</paraID>
      <start xmlns="http://schemas.wps.cn/vas-ai-hub/contract-review">7</start>
      <end xmlns="http://schemas.wps.cn/vas-ai-hub/contract-review">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e9d77de0-3150-4ab3-b5ea-6d83b08372e7</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4821FB91</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88e84df2-b5da-432e-85e1-490428292699</errorID>
      <errorWord xmlns="http://schemas.wps.cn/vas-ai-hub/contract-review">干断面的</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肝断面的</item>
      </candidateList>
      <explain xmlns="http://schemas.wps.cn/vas-ai-hub/contract-review"/>
      <paraID xmlns="http://schemas.wps.cn/vas-ai-hub/contract-review">316CD1D4</paraID>
      <start xmlns="http://schemas.wps.cn/vas-ai-hub/contract-review">30</start>
      <end xmlns="http://schemas.wps.cn/vas-ai-hub/contract-review">34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3187f4e5-3d32-472c-bd1d-a0772442d400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4E4AAACB</paraID>
      <start xmlns="http://schemas.wps.cn/vas-ai-hub/contract-review">5</start>
      <end xmlns="http://schemas.wps.cn/vas-ai-hub/contract-review">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716561f3-2491-4a22-90a3-019daec2c521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4E4AAACB</paraID>
      <start xmlns="http://schemas.wps.cn/vas-ai-hub/contract-review">10</start>
      <end xmlns="http://schemas.wps.cn/vas-ai-hub/contract-review">11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6a1a6fae-cece-44a6-ad6d-fce249bb80a5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517C0C71</paraID>
      <start xmlns="http://schemas.wps.cn/vas-ai-hub/contract-review">3</start>
      <end xmlns="http://schemas.wps.cn/vas-ai-hub/contract-review">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c1b91a8b-6b51-49d2-a910-b7b197d3d3e6</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517C0C71</paraID>
      <start xmlns="http://schemas.wps.cn/vas-ai-hub/contract-review">8</start>
      <end xmlns="http://schemas.wps.cn/vas-ai-hub/contract-review">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c2cf45f9-90d1-41f1-8bf1-cbbfc5e9c2d9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1CABF583</paraID>
      <start xmlns="http://schemas.wps.cn/vas-ai-hub/contract-review">2</start>
      <end xmlns="http://schemas.wps.cn/vas-ai-hub/contract-review">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28162cd6-347b-421c-9de8-261c1a9be7de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1CABF583</paraID>
      <start xmlns="http://schemas.wps.cn/vas-ai-hub/contract-review">7</start>
      <end xmlns="http://schemas.wps.cn/vas-ai-hub/contract-review">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3c4595be-65b6-4fe7-8378-eb2da3abbea2</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7F2740E5</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6e155426-6270-47bb-b3d4-a776a2d5867c</errorID>
      <errorWord xmlns="http://schemas.wps.cn/vas-ai-hub/contract-review">关心</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管线</item>
      </candidateList>
      <explain xmlns="http://schemas.wps.cn/vas-ai-hub/contract-review"/>
      <paraID xmlns="http://schemas.wps.cn/vas-ai-hub/contract-review">5BD9D7BD</paraID>
      <start xmlns="http://schemas.wps.cn/vas-ai-hub/contract-review">38</start>
      <end xmlns="http://schemas.wps.cn/vas-ai-hub/contract-review">40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4e5b0033-b3bf-4b47-886b-4b9e2f34130f</errorID>
      <errorWord xmlns="http://schemas.wps.cn/vas-ai-hub/contract-review">干</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管</item>
      </candidateList>
      <explain xmlns="http://schemas.wps.cn/vas-ai-hub/contract-review">存在发音相近字词的误用。</explain>
      <paraID xmlns="http://schemas.wps.cn/vas-ai-hub/contract-review">6169CC4E</paraID>
      <start xmlns="http://schemas.wps.cn/vas-ai-hub/contract-review">90</start>
      <end xmlns="http://schemas.wps.cn/vas-ai-hub/contract-review">91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199753b3-e5ec-4ed2-93fb-bcb179cb620d</errorID>
      <errorWord xmlns="http://schemas.wps.cn/vas-ai-hub/contract-review">地</errorWord>
      <group xmlns="http://schemas.wps.cn/vas-ai-hub/contract-review">L1_Word</group>
      <groupName xmlns="http://schemas.wps.cn/vas-ai-hub/contract-review">字词问题</groupName>
      <ability xmlns="http://schemas.wps.cn/vas-ai-hub/contract-review">L2_DDD</ability>
      <abilityName xmlns="http://schemas.wps.cn/vas-ai-hub/contract-review">的地得用法</abilityName>
      <candidateList xmlns="http://schemas.wps.cn/vas-ai-hub/contract-review">
        <item xmlns="http://schemas.wps.cn/vas-ai-hub/contract-review">的</item>
      </candidateList>
      <explain xmlns="http://schemas.wps.cn/vas-ai-hub/contract-review">“的”常用于连接修饰语与名词性中心语，表示属性、所属或描述。</explain>
      <paraID xmlns="http://schemas.wps.cn/vas-ai-hub/contract-review">6169CC4E</paraID>
      <start xmlns="http://schemas.wps.cn/vas-ai-hub/contract-review">121</start>
      <end xmlns="http://schemas.wps.cn/vas-ai-hub/contract-review">122</end>
      <status xmlns="http://schemas.wps.cn/vas-ai-hub/contract-review">modified</status>
      <modifiedWord xmlns="http://schemas.wps.cn/vas-ai-hub/contract-review">的</modifiedWord>
      <trackRevisions xmlns="http://schemas.wps.cn/vas-ai-hub/contract-review">false</trackRevisions>
    </reviewItem>
    <reviewItem xmlns="http://schemas.wps.cn/vas-ai-hub/contract-review">
      <errorID xmlns="http://schemas.wps.cn/vas-ai-hub/contract-review">1392e040-301c-4368-814a-1fac5dced922</errorID>
      <errorWord xmlns="http://schemas.wps.cn/vas-ai-hub/contract-review">水环境承载与</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水环境承载力与</item>
      </candidateList>
      <explain xmlns="http://schemas.wps.cn/vas-ai-hub/contract-review"/>
      <paraID xmlns="http://schemas.wps.cn/vas-ai-hub/contract-review">354C4E14</paraID>
      <start xmlns="http://schemas.wps.cn/vas-ai-hub/contract-review">47</start>
      <end xmlns="http://schemas.wps.cn/vas-ai-hub/contract-review">54</end>
      <status xmlns="http://schemas.wps.cn/vas-ai-hub/contract-review">modified</status>
      <modifiedWord xmlns="http://schemas.wps.cn/vas-ai-hub/contract-review">水环境承载力与</modifiedWord>
      <trackRevisions xmlns="http://schemas.wps.cn/vas-ai-hub/contract-review">false</trackRevisions>
    </reviewItem>
    <reviewItem xmlns="http://schemas.wps.cn/vas-ai-hub/contract-review">
      <errorID xmlns="http://schemas.wps.cn/vas-ai-hub/contract-review">8386a5ca-2b77-46be-81d6-a19aa19cba8a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28E6D45</paraID>
      <start xmlns="http://schemas.wps.cn/vas-ai-hub/contract-review">50</start>
      <end xmlns="http://schemas.wps.cn/vas-ai-hub/contract-review">51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b322508e-248c-4a77-817c-b2f9e8c47d85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34114871</paraID>
      <start xmlns="http://schemas.wps.cn/vas-ai-hub/contract-review">44</start>
      <end xmlns="http://schemas.wps.cn/vas-ai-hub/contract-review">45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ff828167-f0fa-47f3-9e23-b03405e54a8c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2C14B086</paraID>
      <start xmlns="http://schemas.wps.cn/vas-ai-hub/contract-review">68</start>
      <end xmlns="http://schemas.wps.cn/vas-ai-hub/contract-review">69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3e58818a-01f1-4393-a981-3f25199340f0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3011D3B5</paraID>
      <start xmlns="http://schemas.wps.cn/vas-ai-hub/contract-review">88</start>
      <end xmlns="http://schemas.wps.cn/vas-ai-hub/contract-review">89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4a86a3c6-ac7e-4dd1-a41d-5074a62fca35</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1A4A53FE</paraID>
      <start xmlns="http://schemas.wps.cn/vas-ai-hub/contract-review">19</start>
      <end xmlns="http://schemas.wps.cn/vas-ai-hub/contract-review">20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a692aa3c-3046-477f-968c-f14111f505a0</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1A4A53FE</paraID>
      <start xmlns="http://schemas.wps.cn/vas-ai-hub/contract-review">31</start>
      <end xmlns="http://schemas.wps.cn/vas-ai-hub/contract-review">32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8f49c38a-a1a4-4cab-8010-0dba6d788219</errorID>
      <errorWord xmlns="http://schemas.wps.cn/vas-ai-hub/contract-review">供</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供了</item>
      </candidateList>
      <explain xmlns="http://schemas.wps.cn/vas-ai-hub/contract-review"/>
      <paraID xmlns="http://schemas.wps.cn/vas-ai-hub/contract-review">77BC28F6</paraID>
      <start xmlns="http://schemas.wps.cn/vas-ai-hub/contract-review">169</start>
      <end xmlns="http://schemas.wps.cn/vas-ai-hub/contract-review">171</end>
      <status xmlns="http://schemas.wps.cn/vas-ai-hub/contract-review">modified</status>
      <modifiedWord xmlns="http://schemas.wps.cn/vas-ai-hub/contract-review">供了</modifiedWord>
      <trackRevisions xmlns="http://schemas.wps.cn/vas-ai-hub/contract-review">false</trackRevisions>
    </reviewItem>
    <reviewItem xmlns="http://schemas.wps.cn/vas-ai-hub/contract-review">
      <errorID xmlns="http://schemas.wps.cn/vas-ai-hub/contract-review">a81dbcb5-a675-43f6-a66b-c4ccaf4634e1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30BC0A64</paraID>
      <start xmlns="http://schemas.wps.cn/vas-ai-hub/contract-review">150</start>
      <end xmlns="http://schemas.wps.cn/vas-ai-hub/contract-review">151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14dda914-02cf-4811-adab-1b70e31300bb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30BC0A64</paraID>
      <start xmlns="http://schemas.wps.cn/vas-ai-hub/contract-review">152</start>
      <end xmlns="http://schemas.wps.cn/vas-ai-hub/contract-review">153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742bfda3-b5bf-4104-8ed4-7cd7be4a0310</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1D9A4C5A</paraID>
      <start xmlns="http://schemas.wps.cn/vas-ai-hub/contract-review">39</start>
      <end xmlns="http://schemas.wps.cn/vas-ai-hub/contract-review">41</end>
      <status xmlns="http://schemas.wps.cn/vas-ai-hub/contract-review">modified</status>
      <modifiedWord xmlns="http://schemas.wps.cn/vas-ai-hub/contract-review">程中</modifiedWord>
      <trackRevisions xmlns="http://schemas.wps.cn/vas-ai-hub/contract-review">false</trackRevisions>
    </reviewItem>
    <reviewItem xmlns="http://schemas.wps.cn/vas-ai-hub/contract-review">
      <errorID xmlns="http://schemas.wps.cn/vas-ai-hub/contract-review">4adf0511-817c-4823-8285-f0f5520bd817</errorID>
      <errorWord xmlns="http://schemas.wps.cn/vas-ai-hub/contract-review">〔2014〕074号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〔2014〕74号</item>
      </candidateList>
      <explain xmlns="http://schemas.wps.cn/vas-ai-hub/contract-review">发文字号格式错误。</explain>
      <paraID xmlns="http://schemas.wps.cn/vas-ai-hub/contract-review"> 28CD1B2</paraID>
      <start xmlns="http://schemas.wps.cn/vas-ai-hub/contract-review">41</start>
      <end xmlns="http://schemas.wps.cn/vas-ai-hub/contract-review">51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6bc2d34c-f018-478e-bd1b-576fad6ed6fa</errorID>
      <errorWord xmlns="http://schemas.wps.cn/vas-ai-hub/contract-review">〔2014〕074号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〔2014〕74号</item>
      </candidateList>
      <explain xmlns="http://schemas.wps.cn/vas-ai-hub/contract-review">发文字号格式错误。</explain>
      <paraID xmlns="http://schemas.wps.cn/vas-ai-hub/contract-review">5CFD5BE5</paraID>
      <start xmlns="http://schemas.wps.cn/vas-ai-hub/contract-review">41</start>
      <end xmlns="http://schemas.wps.cn/vas-ai-hub/contract-review">51</end>
      <status xmlns="http://schemas.wps.cn/vas-ai-hub/contract-review">ignored</status>
      <modifiedWord xmlns="http://schemas.wps.cn/vas-ai-hub/contract-review"/>
      <trackRevisions xmlns="http://schemas.wps.cn/vas-ai-hub/contract-review">false</trackRevisions>
    </reviewItem>
  </reviewItems>
  <config xmlns="http://schemas.wps.cn/vas-ai-hub/contract-review"/>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a25be58-6072-4a64-bb09-027d4ebe027f}">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86</Pages>
  <Words>94212</Words>
  <Characters>114298</Characters>
  <Lines>24</Lines>
  <Paragraphs>6</Paragraphs>
  <TotalTime>81</TotalTime>
  <ScaleCrop>false</ScaleCrop>
  <LinksUpToDate>false</LinksUpToDate>
  <CharactersWithSpaces>115512</CharactersWithSpaces>
  <Application>WPS Office_12.1.2.23578_F1E327BC-269C-435d-A152-05C5408002CA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2020-12-24T09:29:00Z</dcterms:created>
  <dc:creator>lhj</dc:creator>
  <cp:lastModifiedBy>Dream</cp:lastModifiedBy>
  <cp:lastPrinted>2020-12-29T10:43:00Z</cp:lastPrinted>
  <dcterms:modified xsi:type="dcterms:W3CDTF">2026-03-27T16:49:07Z</dcterms:modified>
  <dc:title>附件2</dc:title>
  <cp:revision>38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2052-12.1.2.23578</vt:lpwstr>
  </property>
  <property fmtid="{D5CDD505-2E9C-101B-9397-08002B2CF9AE}" pid="3" name="KSOTemplateDocerSaveRecord">
    <vt:lpwstr>eyJoZGlkIjoiMWYwYjgzNjViMGNhMDlkMzY0ZmU4NGU4YjY4MTI4MDciLCJ1c2VySWQiOiIxMjA5NTAwNjc0In0=</vt:lpwstr>
  </property>
  <property fmtid="{D5CDD505-2E9C-101B-9397-08002B2CF9AE}" pid="4" name="ICV">
    <vt:lpwstr>5183B165E35999178344C669B45FC285_43</vt:lpwstr>
  </property>
</Properties>
</file>