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B58C2CE">
      <w:pPr>
        <w:adjustRightInd w:val="0"/>
        <w:snapToGrid w:val="0"/>
        <w:spacing w:line="288" w:lineRule="auto"/>
        <w:ind w:left="210" w:leftChars="100"/>
        <w:jc w:val="center"/>
        <w:rPr>
          <w:rFonts w:hint="eastAsia" w:ascii="宋体" w:hAnsi="宋体" w:eastAsia="宋体" w:cs="宋体"/>
          <w:color w:val="auto"/>
          <w:sz w:val="32"/>
          <w:szCs w:val="44"/>
          <w:highlight w:val="none"/>
          <w:lang w:val="en-US" w:eastAsia="zh-CN"/>
        </w:rPr>
      </w:pPr>
      <w:bookmarkStart w:id="11" w:name="_GoBack"/>
      <w:bookmarkEnd w:id="11"/>
      <w:r>
        <w:rPr>
          <w:rFonts w:hint="eastAsia" w:ascii="宋体" w:hAnsi="宋体" w:cs="宋体"/>
          <w:color w:val="auto"/>
          <w:sz w:val="32"/>
          <w:szCs w:val="44"/>
          <w:highlight w:val="none"/>
          <w:lang w:val="en-US" w:eastAsia="zh-CN"/>
        </w:rPr>
        <w:t xml:space="preserve"> </w:t>
      </w:r>
    </w:p>
    <w:p w14:paraId="555427BE">
      <w:pPr>
        <w:adjustRightInd w:val="0"/>
        <w:snapToGrid w:val="0"/>
        <w:spacing w:line="288" w:lineRule="auto"/>
        <w:ind w:left="210" w:leftChars="100"/>
        <w:jc w:val="center"/>
        <w:rPr>
          <w:rFonts w:hint="eastAsia" w:ascii="宋体" w:hAnsi="宋体" w:eastAsia="宋体" w:cs="宋体"/>
          <w:color w:val="auto"/>
          <w:sz w:val="32"/>
          <w:szCs w:val="44"/>
          <w:highlight w:val="none"/>
        </w:rPr>
      </w:pPr>
    </w:p>
    <w:p w14:paraId="1BF71E1D">
      <w:pPr>
        <w:adjustRightInd w:val="0"/>
        <w:snapToGrid w:val="0"/>
        <w:jc w:val="center"/>
        <w:outlineLvl w:val="0"/>
        <w:rPr>
          <w:rFonts w:hint="eastAsia" w:ascii="宋体" w:hAnsi="宋体" w:eastAsia="宋体" w:cs="宋体"/>
          <w:bCs/>
          <w:color w:val="auto"/>
          <w:sz w:val="72"/>
          <w:szCs w:val="72"/>
          <w:highlight w:val="none"/>
        </w:rPr>
      </w:pPr>
      <w:r>
        <w:rPr>
          <w:rFonts w:hint="eastAsia" w:ascii="宋体" w:hAnsi="宋体" w:eastAsia="宋体" w:cs="宋体"/>
          <w:bCs/>
          <w:color w:val="auto"/>
          <w:sz w:val="72"/>
          <w:szCs w:val="72"/>
          <w:highlight w:val="none"/>
        </w:rPr>
        <w:t>建设项目环境影响报告表</w:t>
      </w:r>
    </w:p>
    <w:p w14:paraId="724AF4DB">
      <w:pPr>
        <w:adjustRightInd w:val="0"/>
        <w:snapToGrid w:val="0"/>
        <w:spacing w:before="192" w:beforeLines="80"/>
        <w:jc w:val="center"/>
        <w:rPr>
          <w:rFonts w:hint="eastAsia" w:ascii="宋体" w:hAnsi="宋体" w:eastAsia="宋体" w:cs="宋体"/>
          <w:bCs/>
          <w:color w:val="auto"/>
          <w:sz w:val="48"/>
          <w:szCs w:val="48"/>
          <w:highlight w:val="none"/>
        </w:rPr>
      </w:pPr>
      <w:r>
        <w:rPr>
          <w:rFonts w:hint="eastAsia" w:ascii="宋体" w:hAnsi="宋体" w:eastAsia="宋体" w:cs="宋体"/>
          <w:bCs/>
          <w:color w:val="auto"/>
          <w:sz w:val="48"/>
          <w:szCs w:val="48"/>
          <w:highlight w:val="none"/>
        </w:rPr>
        <w:t>（污染影响类）</w:t>
      </w:r>
    </w:p>
    <w:p w14:paraId="40A069D9">
      <w:pPr>
        <w:adjustRightInd w:val="0"/>
        <w:snapToGrid w:val="0"/>
        <w:spacing w:line="288" w:lineRule="auto"/>
        <w:ind w:left="210" w:leftChars="100"/>
        <w:jc w:val="center"/>
        <w:rPr>
          <w:rFonts w:hint="eastAsia" w:ascii="宋体" w:hAnsi="宋体" w:eastAsia="宋体" w:cs="宋体"/>
          <w:color w:val="auto"/>
          <w:sz w:val="32"/>
          <w:szCs w:val="44"/>
          <w:highlight w:val="none"/>
        </w:rPr>
      </w:pPr>
    </w:p>
    <w:p w14:paraId="65098013">
      <w:pPr>
        <w:adjustRightInd w:val="0"/>
        <w:snapToGrid w:val="0"/>
        <w:spacing w:line="288" w:lineRule="auto"/>
        <w:ind w:left="210" w:leftChars="100"/>
        <w:jc w:val="center"/>
        <w:rPr>
          <w:rFonts w:hint="eastAsia" w:ascii="宋体" w:hAnsi="宋体" w:eastAsia="宋体" w:cs="宋体"/>
          <w:color w:val="auto"/>
          <w:sz w:val="32"/>
          <w:szCs w:val="44"/>
          <w:highlight w:val="none"/>
        </w:rPr>
      </w:pPr>
    </w:p>
    <w:p w14:paraId="3883355D">
      <w:pPr>
        <w:adjustRightInd w:val="0"/>
        <w:snapToGrid w:val="0"/>
        <w:spacing w:line="288" w:lineRule="auto"/>
        <w:ind w:left="210" w:leftChars="100"/>
        <w:jc w:val="center"/>
        <w:rPr>
          <w:rFonts w:hint="eastAsia" w:ascii="宋体" w:hAnsi="宋体" w:eastAsia="宋体" w:cs="宋体"/>
          <w:color w:val="auto"/>
          <w:sz w:val="32"/>
          <w:szCs w:val="44"/>
          <w:highlight w:val="none"/>
        </w:rPr>
      </w:pPr>
    </w:p>
    <w:p w14:paraId="1CA3102C">
      <w:pPr>
        <w:adjustRightInd w:val="0"/>
        <w:snapToGrid w:val="0"/>
        <w:spacing w:line="288" w:lineRule="auto"/>
        <w:ind w:left="210" w:leftChars="100"/>
        <w:jc w:val="center"/>
        <w:rPr>
          <w:rFonts w:hint="eastAsia" w:ascii="宋体" w:hAnsi="宋体" w:eastAsia="宋体" w:cs="宋体"/>
          <w:color w:val="auto"/>
          <w:sz w:val="32"/>
          <w:szCs w:val="44"/>
          <w:highlight w:val="none"/>
        </w:rPr>
      </w:pPr>
    </w:p>
    <w:p w14:paraId="36B0243A">
      <w:pPr>
        <w:adjustRightInd w:val="0"/>
        <w:snapToGrid w:val="0"/>
        <w:spacing w:line="288" w:lineRule="auto"/>
        <w:ind w:left="210" w:leftChars="100"/>
        <w:jc w:val="center"/>
        <w:rPr>
          <w:rFonts w:hint="eastAsia" w:ascii="宋体" w:hAnsi="宋体" w:eastAsia="宋体" w:cs="宋体"/>
          <w:color w:val="auto"/>
          <w:sz w:val="32"/>
          <w:szCs w:val="44"/>
          <w:highlight w:val="none"/>
        </w:rPr>
      </w:pPr>
    </w:p>
    <w:p w14:paraId="29349CA1">
      <w:pPr>
        <w:adjustRightInd w:val="0"/>
        <w:snapToGrid w:val="0"/>
        <w:spacing w:line="288" w:lineRule="auto"/>
        <w:ind w:left="210" w:leftChars="100"/>
        <w:jc w:val="center"/>
        <w:rPr>
          <w:rFonts w:hint="eastAsia" w:ascii="宋体" w:hAnsi="宋体" w:eastAsia="宋体" w:cs="宋体"/>
          <w:color w:val="auto"/>
          <w:sz w:val="32"/>
          <w:szCs w:val="44"/>
          <w:highlight w:val="none"/>
        </w:rPr>
      </w:pPr>
    </w:p>
    <w:p w14:paraId="6269A248">
      <w:pPr>
        <w:adjustRightInd w:val="0"/>
        <w:snapToGrid w:val="0"/>
        <w:spacing w:line="288" w:lineRule="auto"/>
        <w:ind w:left="210" w:leftChars="100"/>
        <w:jc w:val="center"/>
        <w:rPr>
          <w:rFonts w:hint="eastAsia" w:ascii="宋体" w:hAnsi="宋体" w:eastAsia="宋体" w:cs="宋体"/>
          <w:color w:val="auto"/>
          <w:sz w:val="32"/>
          <w:szCs w:val="44"/>
          <w:highlight w:val="none"/>
        </w:rPr>
      </w:pPr>
    </w:p>
    <w:p w14:paraId="3817E240">
      <w:pPr>
        <w:adjustRightInd w:val="0"/>
        <w:snapToGrid w:val="0"/>
        <w:spacing w:line="288" w:lineRule="auto"/>
        <w:ind w:left="210" w:leftChars="100"/>
        <w:jc w:val="center"/>
        <w:rPr>
          <w:rFonts w:hint="eastAsia" w:ascii="宋体" w:hAnsi="宋体" w:eastAsia="宋体" w:cs="宋体"/>
          <w:color w:val="auto"/>
          <w:sz w:val="32"/>
          <w:szCs w:val="44"/>
          <w:highlight w:val="none"/>
        </w:rPr>
      </w:pPr>
    </w:p>
    <w:p w14:paraId="08C08829">
      <w:pPr>
        <w:adjustRightInd w:val="0"/>
        <w:snapToGrid w:val="0"/>
        <w:spacing w:line="288" w:lineRule="auto"/>
        <w:ind w:left="210" w:leftChars="100"/>
        <w:jc w:val="center"/>
        <w:rPr>
          <w:rFonts w:hint="eastAsia" w:ascii="宋体" w:hAnsi="宋体" w:eastAsia="宋体" w:cs="宋体"/>
          <w:color w:val="auto"/>
          <w:sz w:val="32"/>
          <w:szCs w:val="44"/>
          <w:highlight w:val="none"/>
        </w:rPr>
      </w:pPr>
    </w:p>
    <w:p w14:paraId="49DCF076">
      <w:pPr>
        <w:adjustRightInd w:val="0"/>
        <w:snapToGrid w:val="0"/>
        <w:spacing w:line="288" w:lineRule="auto"/>
        <w:ind w:left="210" w:leftChars="100"/>
        <w:jc w:val="center"/>
        <w:rPr>
          <w:rFonts w:hint="eastAsia" w:ascii="宋体" w:hAnsi="宋体" w:eastAsia="宋体" w:cs="宋体"/>
          <w:color w:val="auto"/>
          <w:sz w:val="28"/>
          <w:szCs w:val="40"/>
          <w:highlight w:val="none"/>
        </w:rPr>
      </w:pPr>
    </w:p>
    <w:p w14:paraId="39534115">
      <w:pPr>
        <w:adjustRightInd w:val="0"/>
        <w:snapToGrid w:val="0"/>
        <w:spacing w:line="288" w:lineRule="auto"/>
        <w:ind w:left="1050" w:leftChars="500"/>
        <w:jc w:val="left"/>
        <w:rPr>
          <w:rFonts w:hint="eastAsia" w:ascii="宋体" w:hAnsi="宋体" w:eastAsia="宋体" w:cs="宋体"/>
          <w:b w:val="0"/>
          <w:bCs w:val="0"/>
          <w:color w:val="auto"/>
          <w:sz w:val="32"/>
          <w:szCs w:val="32"/>
          <w:highlight w:val="none"/>
          <w:u w:val="single"/>
          <w:lang w:val="en-US" w:eastAsia="zh-CN"/>
        </w:rPr>
      </w:pPr>
      <w:r>
        <w:rPr>
          <w:rFonts w:hint="eastAsia" w:ascii="宋体" w:hAnsi="宋体" w:eastAsia="宋体" w:cs="宋体"/>
          <w:color w:val="auto"/>
          <w:sz w:val="32"/>
          <w:szCs w:val="32"/>
          <w:highlight w:val="none"/>
        </w:rPr>
        <w:t>项目名称</w:t>
      </w:r>
      <w:r>
        <w:rPr>
          <w:rFonts w:hint="eastAsia" w:ascii="宋体" w:hAnsi="宋体" w:eastAsia="宋体" w:cs="宋体"/>
          <w:b w:val="0"/>
          <w:bCs w:val="0"/>
          <w:color w:val="auto"/>
          <w:sz w:val="32"/>
          <w:szCs w:val="32"/>
          <w:highlight w:val="none"/>
          <w:u w:val="single"/>
        </w:rPr>
        <w:t>：</w:t>
      </w:r>
      <w:r>
        <w:rPr>
          <w:rFonts w:hint="eastAsia"/>
          <w:b w:val="0"/>
          <w:bCs w:val="0"/>
          <w:color w:val="auto"/>
          <w:sz w:val="32"/>
          <w:szCs w:val="32"/>
          <w:highlight w:val="none"/>
          <w:u w:val="single"/>
          <w:lang w:val="en-US" w:eastAsia="zh-CN"/>
        </w:rPr>
        <w:t>上海佳格食品有限公司内蒙古分公司1条食用浓香油生产线项目</w:t>
      </w:r>
    </w:p>
    <w:p w14:paraId="2152304B">
      <w:pPr>
        <w:adjustRightInd w:val="0"/>
        <w:snapToGrid w:val="0"/>
        <w:spacing w:line="288" w:lineRule="auto"/>
        <w:ind w:left="1050" w:leftChars="500"/>
        <w:jc w:val="lef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建设单位（盖章）：</w:t>
      </w:r>
      <w:r>
        <w:rPr>
          <w:rFonts w:hint="eastAsia"/>
          <w:b w:val="0"/>
          <w:bCs w:val="0"/>
          <w:color w:val="auto"/>
          <w:sz w:val="32"/>
          <w:szCs w:val="32"/>
          <w:highlight w:val="none"/>
          <w:u w:val="single"/>
          <w:lang w:val="en-US" w:eastAsia="zh-CN"/>
        </w:rPr>
        <w:t>上海佳格食品有限公司内蒙古分公司</w:t>
      </w:r>
    </w:p>
    <w:p w14:paraId="69137759">
      <w:pPr>
        <w:adjustRightInd w:val="0"/>
        <w:snapToGrid w:val="0"/>
        <w:spacing w:line="288" w:lineRule="auto"/>
        <w:ind w:left="1050" w:leftChars="500"/>
        <w:jc w:val="left"/>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编制日期：</w:t>
      </w:r>
      <w:r>
        <w:rPr>
          <w:rFonts w:hint="eastAsia" w:ascii="宋体" w:hAnsi="宋体" w:eastAsia="宋体" w:cs="宋体"/>
          <w:color w:val="auto"/>
          <w:sz w:val="32"/>
          <w:szCs w:val="32"/>
          <w:highlight w:val="none"/>
          <w:u w:val="single"/>
        </w:rPr>
        <w:t xml:space="preserve">  202</w:t>
      </w:r>
      <w:r>
        <w:rPr>
          <w:rFonts w:hint="eastAsia" w:ascii="宋体" w:hAnsi="宋体" w:cs="宋体"/>
          <w:color w:val="auto"/>
          <w:sz w:val="32"/>
          <w:szCs w:val="32"/>
          <w:highlight w:val="none"/>
          <w:u w:val="single"/>
          <w:lang w:val="en-US" w:eastAsia="zh-CN"/>
        </w:rPr>
        <w:t>6</w:t>
      </w:r>
      <w:r>
        <w:rPr>
          <w:rFonts w:hint="eastAsia" w:ascii="宋体" w:hAnsi="宋体" w:eastAsia="宋体" w:cs="宋体"/>
          <w:color w:val="auto"/>
          <w:sz w:val="32"/>
          <w:szCs w:val="32"/>
          <w:highlight w:val="none"/>
          <w:u w:val="single"/>
        </w:rPr>
        <w:t>年</w:t>
      </w:r>
      <w:r>
        <w:rPr>
          <w:rFonts w:hint="eastAsia" w:ascii="宋体" w:hAnsi="宋体" w:cs="宋体"/>
          <w:color w:val="auto"/>
          <w:sz w:val="32"/>
          <w:szCs w:val="32"/>
          <w:highlight w:val="none"/>
          <w:u w:val="single"/>
          <w:lang w:val="en-US" w:eastAsia="zh-CN"/>
        </w:rPr>
        <w:t xml:space="preserve">3月 </w:t>
      </w:r>
      <w:r>
        <w:rPr>
          <w:rFonts w:hint="eastAsia" w:ascii="宋体" w:hAnsi="宋体" w:eastAsia="宋体" w:cs="宋体"/>
          <w:color w:val="auto"/>
          <w:sz w:val="32"/>
          <w:szCs w:val="32"/>
          <w:highlight w:val="none"/>
          <w:u w:val="single"/>
        </w:rPr>
        <w:t xml:space="preserve">    </w:t>
      </w:r>
      <w:r>
        <w:rPr>
          <w:rFonts w:hint="eastAsia" w:ascii="宋体" w:hAnsi="宋体" w:eastAsia="宋体" w:cs="宋体"/>
          <w:color w:val="auto"/>
          <w:sz w:val="28"/>
          <w:szCs w:val="28"/>
          <w:highlight w:val="none"/>
          <w:u w:val="single"/>
        </w:rPr>
        <w:t xml:space="preserve">       </w:t>
      </w:r>
      <w:r>
        <w:rPr>
          <w:rFonts w:hint="eastAsia" w:ascii="宋体" w:hAnsi="宋体" w:eastAsia="宋体" w:cs="宋体"/>
          <w:color w:val="auto"/>
          <w:sz w:val="28"/>
          <w:szCs w:val="28"/>
          <w:highlight w:val="none"/>
        </w:rPr>
        <w:t xml:space="preserve">   </w:t>
      </w:r>
      <w:r>
        <w:rPr>
          <w:rFonts w:hint="eastAsia" w:ascii="宋体" w:hAnsi="宋体" w:eastAsia="宋体" w:cs="宋体"/>
          <w:color w:val="auto"/>
          <w:sz w:val="32"/>
          <w:szCs w:val="32"/>
          <w:highlight w:val="none"/>
        </w:rPr>
        <w:t xml:space="preserve">    </w:t>
      </w:r>
    </w:p>
    <w:p w14:paraId="028BFE1D">
      <w:pPr>
        <w:adjustRightInd w:val="0"/>
        <w:snapToGrid w:val="0"/>
        <w:spacing w:line="288" w:lineRule="auto"/>
        <w:ind w:firstLine="1040"/>
        <w:rPr>
          <w:rFonts w:hint="eastAsia" w:ascii="宋体" w:hAnsi="宋体" w:eastAsia="宋体" w:cs="宋体"/>
          <w:color w:val="auto"/>
          <w:sz w:val="36"/>
          <w:szCs w:val="36"/>
          <w:highlight w:val="none"/>
        </w:rPr>
      </w:pPr>
      <w:bookmarkStart w:id="0" w:name="_Hlk57884087"/>
    </w:p>
    <w:p w14:paraId="4FA04473">
      <w:pPr>
        <w:adjustRightInd w:val="0"/>
        <w:snapToGrid w:val="0"/>
        <w:spacing w:line="288" w:lineRule="auto"/>
        <w:ind w:firstLine="1040"/>
        <w:rPr>
          <w:rFonts w:hint="eastAsia" w:ascii="宋体" w:hAnsi="宋体" w:eastAsia="宋体" w:cs="宋体"/>
          <w:color w:val="auto"/>
          <w:sz w:val="36"/>
          <w:szCs w:val="36"/>
          <w:highlight w:val="none"/>
        </w:rPr>
      </w:pPr>
    </w:p>
    <w:p w14:paraId="526EC62C">
      <w:pPr>
        <w:adjustRightInd w:val="0"/>
        <w:snapToGrid w:val="0"/>
        <w:spacing w:line="288" w:lineRule="auto"/>
        <w:ind w:firstLine="1040"/>
        <w:rPr>
          <w:rFonts w:hint="eastAsia" w:ascii="宋体" w:hAnsi="宋体" w:eastAsia="宋体" w:cs="宋体"/>
          <w:color w:val="auto"/>
          <w:sz w:val="36"/>
          <w:szCs w:val="36"/>
          <w:highlight w:val="none"/>
        </w:rPr>
      </w:pPr>
    </w:p>
    <w:p w14:paraId="7EB56105">
      <w:pPr>
        <w:adjustRightInd w:val="0"/>
        <w:snapToGrid w:val="0"/>
        <w:spacing w:line="288" w:lineRule="auto"/>
        <w:rPr>
          <w:rFonts w:hint="eastAsia" w:ascii="宋体" w:hAnsi="宋体" w:eastAsia="宋体" w:cs="宋体"/>
          <w:color w:val="auto"/>
          <w:sz w:val="36"/>
          <w:szCs w:val="36"/>
          <w:highlight w:val="none"/>
        </w:rPr>
      </w:pPr>
    </w:p>
    <w:bookmarkEnd w:id="0"/>
    <w:p w14:paraId="35D4B1A6">
      <w:pPr>
        <w:adjustRightInd w:val="0"/>
        <w:snapToGrid w:val="0"/>
        <w:spacing w:line="288" w:lineRule="auto"/>
        <w:jc w:val="center"/>
        <w:rPr>
          <w:rFonts w:hint="eastAsia" w:ascii="宋体" w:hAnsi="宋体" w:eastAsia="宋体" w:cs="宋体"/>
          <w:color w:val="auto"/>
          <w:sz w:val="36"/>
          <w:szCs w:val="36"/>
          <w:highlight w:val="none"/>
        </w:rPr>
        <w:sectPr>
          <w:footerReference r:id="rId5" w:type="first"/>
          <w:headerReference r:id="rId3" w:type="default"/>
          <w:footerReference r:id="rId4" w:type="default"/>
          <w:pgSz w:w="11906" w:h="16838"/>
          <w:pgMar w:top="1701" w:right="1531" w:bottom="1701" w:left="1531" w:header="851" w:footer="1304" w:gutter="0"/>
          <w:pgBorders>
            <w:top w:val="none" w:sz="0" w:space="0"/>
            <w:left w:val="none" w:sz="0" w:space="0"/>
            <w:bottom w:val="none" w:sz="0" w:space="0"/>
            <w:right w:val="none" w:sz="0" w:space="0"/>
          </w:pgBorders>
          <w:cols w:space="720" w:num="1"/>
          <w:titlePg/>
          <w:docGrid w:linePitch="312" w:charSpace="0"/>
        </w:sectPr>
      </w:pPr>
      <w:r>
        <w:rPr>
          <w:rFonts w:hint="eastAsia" w:ascii="宋体" w:hAnsi="宋体" w:eastAsia="宋体" w:cs="宋体"/>
          <w:color w:val="auto"/>
          <w:sz w:val="36"/>
          <w:szCs w:val="36"/>
          <w:highlight w:val="none"/>
        </w:rPr>
        <w:t>中华人民共和国生态环境部制</w:t>
      </w:r>
    </w:p>
    <w:p w14:paraId="18A42A56">
      <w:pPr>
        <w:pStyle w:val="20"/>
        <w:jc w:val="center"/>
        <w:outlineLvl w:val="0"/>
        <w:rPr>
          <w:rFonts w:hint="eastAsia" w:ascii="宋体" w:hAnsi="宋体" w:eastAsia="宋体" w:cs="宋体"/>
          <w:b/>
          <w:bCs/>
          <w:snapToGrid w:val="0"/>
          <w:color w:val="auto"/>
          <w:sz w:val="30"/>
          <w:szCs w:val="30"/>
          <w:highlight w:val="none"/>
        </w:rPr>
      </w:pPr>
      <w:r>
        <w:rPr>
          <w:rFonts w:hint="eastAsia" w:ascii="宋体" w:hAnsi="宋体" w:eastAsia="宋体" w:cs="宋体"/>
          <w:b/>
          <w:bCs/>
          <w:snapToGrid w:val="0"/>
          <w:color w:val="auto"/>
          <w:sz w:val="30"/>
          <w:szCs w:val="30"/>
          <w:highlight w:val="none"/>
        </w:rPr>
        <w:t>一、建设项目基本情况</w:t>
      </w:r>
    </w:p>
    <w:tbl>
      <w:tblPr>
        <w:tblStyle w:val="21"/>
        <w:tblW w:w="1001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361"/>
        <w:gridCol w:w="2030"/>
        <w:gridCol w:w="2482"/>
        <w:gridCol w:w="4143"/>
      </w:tblGrid>
      <w:tr w14:paraId="24EF89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1361" w:type="dxa"/>
            <w:tcMar>
              <w:top w:w="16" w:type="dxa"/>
              <w:left w:w="16" w:type="dxa"/>
              <w:right w:w="16" w:type="dxa"/>
            </w:tcMar>
            <w:vAlign w:val="center"/>
          </w:tcPr>
          <w:p w14:paraId="6CF8EFB8">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建设项目名称</w:t>
            </w:r>
          </w:p>
        </w:tc>
        <w:tc>
          <w:tcPr>
            <w:tcW w:w="8655" w:type="dxa"/>
            <w:gridSpan w:val="3"/>
            <w:vAlign w:val="center"/>
          </w:tcPr>
          <w:p w14:paraId="76A9AEAE">
            <w:pPr>
              <w:adjustRightInd w:val="0"/>
              <w:snapToGrid w:val="0"/>
              <w:spacing w:line="288" w:lineRule="auto"/>
              <w:jc w:val="center"/>
              <w:rPr>
                <w:rFonts w:hint="default" w:ascii="Times New Roman" w:hAnsi="Times New Roman" w:eastAsia="宋体" w:cs="Times New Roman"/>
                <w:color w:val="auto"/>
                <w:sz w:val="24"/>
                <w:highlight w:val="none"/>
                <w:u w:val="single"/>
                <w:lang w:val="en-US" w:eastAsia="zh-CN"/>
              </w:rPr>
            </w:pPr>
            <w:r>
              <w:rPr>
                <w:rFonts w:hint="eastAsia"/>
                <w:b w:val="0"/>
                <w:bCs w:val="0"/>
                <w:color w:val="auto"/>
                <w:sz w:val="24"/>
                <w:szCs w:val="24"/>
                <w:highlight w:val="none"/>
                <w:u w:val="none"/>
                <w:lang w:val="en-US" w:eastAsia="zh-CN"/>
              </w:rPr>
              <w:t>上海佳格食品有限公司内蒙古分公司1条食用浓香油生产线项目</w:t>
            </w:r>
          </w:p>
        </w:tc>
      </w:tr>
      <w:tr w14:paraId="59E243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61" w:type="dxa"/>
            <w:tcMar>
              <w:top w:w="16" w:type="dxa"/>
              <w:left w:w="16" w:type="dxa"/>
              <w:right w:w="16" w:type="dxa"/>
            </w:tcMar>
            <w:vAlign w:val="center"/>
          </w:tcPr>
          <w:p w14:paraId="14884551">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项目代码</w:t>
            </w:r>
          </w:p>
        </w:tc>
        <w:tc>
          <w:tcPr>
            <w:tcW w:w="8655" w:type="dxa"/>
            <w:gridSpan w:val="3"/>
            <w:vAlign w:val="center"/>
          </w:tcPr>
          <w:p w14:paraId="4AD7F517">
            <w:pPr>
              <w:pStyle w:val="19"/>
              <w:keepNext w:val="0"/>
              <w:keepLines w:val="0"/>
              <w:widowControl/>
              <w:suppressLineNumbers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250</w:t>
            </w:r>
            <w:r>
              <w:rPr>
                <w:rFonts w:hint="eastAsia" w:ascii="Times New Roman" w:hAnsi="Times New Roman" w:cs="Times New Roman"/>
                <w:color w:val="auto"/>
                <w:sz w:val="24"/>
                <w:highlight w:val="none"/>
                <w:lang w:val="en-US" w:eastAsia="zh-CN"/>
              </w:rPr>
              <w:t>9-150822-04-01-188639</w:t>
            </w:r>
          </w:p>
        </w:tc>
      </w:tr>
      <w:tr w14:paraId="149B78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1361" w:type="dxa"/>
            <w:tcMar>
              <w:top w:w="16" w:type="dxa"/>
              <w:left w:w="16" w:type="dxa"/>
              <w:right w:w="16" w:type="dxa"/>
            </w:tcMar>
            <w:vAlign w:val="center"/>
          </w:tcPr>
          <w:p w14:paraId="5850F900">
            <w:pPr>
              <w:adjustRightInd w:val="0"/>
              <w:snapToGrid w:val="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建设单位联系人</w:t>
            </w:r>
          </w:p>
        </w:tc>
        <w:tc>
          <w:tcPr>
            <w:tcW w:w="2030" w:type="dxa"/>
            <w:vAlign w:val="center"/>
          </w:tcPr>
          <w:p w14:paraId="356D5ECD">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李**</w:t>
            </w:r>
          </w:p>
        </w:tc>
        <w:tc>
          <w:tcPr>
            <w:tcW w:w="2482" w:type="dxa"/>
            <w:vAlign w:val="center"/>
          </w:tcPr>
          <w:p w14:paraId="3FDAA43B">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联系方式</w:t>
            </w:r>
          </w:p>
        </w:tc>
        <w:tc>
          <w:tcPr>
            <w:tcW w:w="4143" w:type="dxa"/>
            <w:vAlign w:val="center"/>
          </w:tcPr>
          <w:p w14:paraId="41DB4965">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136**69</w:t>
            </w:r>
          </w:p>
        </w:tc>
      </w:tr>
      <w:tr w14:paraId="65854C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61" w:type="dxa"/>
            <w:tcMar>
              <w:top w:w="16" w:type="dxa"/>
              <w:left w:w="16" w:type="dxa"/>
              <w:right w:w="16" w:type="dxa"/>
            </w:tcMar>
            <w:vAlign w:val="center"/>
          </w:tcPr>
          <w:p w14:paraId="2B7D5ED3">
            <w:pPr>
              <w:adjustRightInd w:val="0"/>
              <w:snapToGrid w:val="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建设地点</w:t>
            </w:r>
          </w:p>
        </w:tc>
        <w:tc>
          <w:tcPr>
            <w:tcW w:w="8655" w:type="dxa"/>
            <w:gridSpan w:val="3"/>
            <w:vAlign w:val="center"/>
          </w:tcPr>
          <w:p w14:paraId="03AB8120">
            <w:pPr>
              <w:pStyle w:val="19"/>
              <w:keepNext w:val="0"/>
              <w:keepLines w:val="0"/>
              <w:widowControl/>
              <w:suppressLineNumbers w:val="0"/>
              <w:jc w:val="center"/>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内蒙古巴彦淖尔市磴口县巴彦高勒镇上海佳格食品有限公司内蒙古分公司院内</w:t>
            </w:r>
          </w:p>
        </w:tc>
      </w:tr>
      <w:tr w14:paraId="64AB9C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1361" w:type="dxa"/>
            <w:tcMar>
              <w:top w:w="16" w:type="dxa"/>
              <w:left w:w="16" w:type="dxa"/>
              <w:right w:w="16" w:type="dxa"/>
            </w:tcMar>
            <w:vAlign w:val="center"/>
          </w:tcPr>
          <w:p w14:paraId="45C6DEAA">
            <w:pPr>
              <w:adjustRightInd w:val="0"/>
              <w:snapToGrid w:val="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地理坐标</w:t>
            </w:r>
          </w:p>
        </w:tc>
        <w:tc>
          <w:tcPr>
            <w:tcW w:w="8655" w:type="dxa"/>
            <w:gridSpan w:val="3"/>
            <w:vAlign w:val="center"/>
          </w:tcPr>
          <w:p w14:paraId="7958F493">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E</w:t>
            </w:r>
            <w:r>
              <w:rPr>
                <w:rFonts w:hint="eastAsia" w:cs="Times New Roman"/>
                <w:color w:val="auto"/>
                <w:sz w:val="24"/>
                <w:highlight w:val="none"/>
                <w:lang w:val="en-US" w:eastAsia="zh-CN"/>
              </w:rPr>
              <w:t>107</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00</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05.1215</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lang w:val="en-US" w:eastAsia="zh-CN"/>
              </w:rPr>
              <w:t>N40°</w:t>
            </w:r>
            <w:r>
              <w:rPr>
                <w:rFonts w:hint="eastAsia" w:cs="Times New Roman"/>
                <w:color w:val="auto"/>
                <w:sz w:val="24"/>
                <w:highlight w:val="none"/>
                <w:lang w:val="en-US" w:eastAsia="zh-CN"/>
              </w:rPr>
              <w:t>20</w:t>
            </w:r>
            <w:r>
              <w:rPr>
                <w:rFonts w:hint="default" w:ascii="Times New Roman" w:hAnsi="Times New Roman" w:eastAsia="宋体" w:cs="Times New Roman"/>
                <w:color w:val="auto"/>
                <w:sz w:val="24"/>
                <w:highlight w:val="none"/>
                <w:lang w:val="en-US" w:eastAsia="zh-CN"/>
              </w:rPr>
              <w:t>'3</w:t>
            </w:r>
            <w:r>
              <w:rPr>
                <w:rFonts w:hint="eastAsia" w:cs="Times New Roman"/>
                <w:color w:val="auto"/>
                <w:sz w:val="24"/>
                <w:highlight w:val="none"/>
                <w:lang w:val="en-US" w:eastAsia="zh-CN"/>
              </w:rPr>
              <w:t>2.5209</w:t>
            </w:r>
            <w:r>
              <w:rPr>
                <w:rFonts w:hint="default" w:ascii="Times New Roman" w:hAnsi="Times New Roman" w:eastAsia="宋体" w:cs="Times New Roman"/>
                <w:color w:val="auto"/>
                <w:sz w:val="24"/>
                <w:highlight w:val="none"/>
                <w:lang w:val="en-US" w:eastAsia="zh-CN"/>
              </w:rPr>
              <w:t>"</w:t>
            </w:r>
          </w:p>
        </w:tc>
      </w:tr>
      <w:tr w14:paraId="340EDF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361" w:type="dxa"/>
            <w:tcMar>
              <w:top w:w="16" w:type="dxa"/>
              <w:left w:w="16" w:type="dxa"/>
              <w:right w:w="16" w:type="dxa"/>
            </w:tcMar>
            <w:vAlign w:val="center"/>
          </w:tcPr>
          <w:p w14:paraId="400E85E0">
            <w:pPr>
              <w:adjustRightInd w:val="0"/>
              <w:snapToGrid w:val="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国民经济行业类别</w:t>
            </w:r>
          </w:p>
        </w:tc>
        <w:tc>
          <w:tcPr>
            <w:tcW w:w="2030" w:type="dxa"/>
            <w:vAlign w:val="center"/>
          </w:tcPr>
          <w:p w14:paraId="728A7737">
            <w:pPr>
              <w:widowControl w:val="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C1</w:t>
            </w:r>
            <w:r>
              <w:rPr>
                <w:rFonts w:hint="eastAsia" w:cs="Times New Roman"/>
                <w:color w:val="auto"/>
                <w:kern w:val="2"/>
                <w:sz w:val="24"/>
                <w:szCs w:val="24"/>
                <w:highlight w:val="none"/>
                <w:lang w:val="en-US" w:eastAsia="zh-CN" w:bidi="ar-SA"/>
              </w:rPr>
              <w:t>331食用植物油加工</w:t>
            </w:r>
          </w:p>
        </w:tc>
        <w:tc>
          <w:tcPr>
            <w:tcW w:w="2482" w:type="dxa"/>
            <w:vAlign w:val="center"/>
          </w:tcPr>
          <w:p w14:paraId="1B8E311F">
            <w:pPr>
              <w:adjustRightInd w:val="0"/>
              <w:snapToGrid w:val="0"/>
              <w:jc w:val="center"/>
              <w:rPr>
                <w:rFonts w:hint="default" w:ascii="Times New Roman" w:hAnsi="Times New Roman" w:eastAsia="宋体" w:cs="Times New Roman"/>
                <w:color w:val="auto"/>
                <w:sz w:val="24"/>
                <w:highlight w:val="none"/>
              </w:rPr>
            </w:pPr>
            <w:bookmarkStart w:id="1" w:name="_Hlk49843745"/>
            <w:r>
              <w:rPr>
                <w:rFonts w:hint="default" w:ascii="Times New Roman" w:hAnsi="Times New Roman" w:eastAsia="宋体" w:cs="Times New Roman"/>
                <w:color w:val="auto"/>
                <w:sz w:val="24"/>
                <w:highlight w:val="none"/>
              </w:rPr>
              <w:t>建设项目行业类别</w:t>
            </w:r>
            <w:bookmarkEnd w:id="1"/>
          </w:p>
        </w:tc>
        <w:tc>
          <w:tcPr>
            <w:tcW w:w="4143" w:type="dxa"/>
            <w:vAlign w:val="center"/>
          </w:tcPr>
          <w:p w14:paraId="45AEFFBC">
            <w:pPr>
              <w:keepNext w:val="0"/>
              <w:keepLines w:val="0"/>
              <w:widowControl/>
              <w:numPr>
                <w:ilvl w:val="0"/>
                <w:numId w:val="0"/>
              </w:numPr>
              <w:suppressLineNumbers w:val="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十、</w:t>
            </w:r>
            <w:r>
              <w:rPr>
                <w:rFonts w:hint="eastAsia" w:cs="Times New Roman"/>
                <w:color w:val="auto"/>
                <w:sz w:val="24"/>
                <w:highlight w:val="none"/>
                <w:lang w:val="en-US" w:eastAsia="zh-CN"/>
              </w:rPr>
              <w:t>农副食品加工业13；16 植物油加工 133</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（除单纯分装、调和外的）</w:t>
            </w:r>
          </w:p>
        </w:tc>
      </w:tr>
      <w:tr w14:paraId="2F35D1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19" w:hRule="atLeast"/>
          <w:jc w:val="center"/>
        </w:trPr>
        <w:tc>
          <w:tcPr>
            <w:tcW w:w="1361" w:type="dxa"/>
            <w:tcMar>
              <w:top w:w="16" w:type="dxa"/>
              <w:left w:w="16" w:type="dxa"/>
              <w:right w:w="16" w:type="dxa"/>
            </w:tcMar>
            <w:vAlign w:val="center"/>
          </w:tcPr>
          <w:p w14:paraId="398E7159">
            <w:pPr>
              <w:adjustRightInd w:val="0"/>
              <w:snapToGrid w:val="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建设性质</w:t>
            </w:r>
          </w:p>
        </w:tc>
        <w:tc>
          <w:tcPr>
            <w:tcW w:w="2030" w:type="dxa"/>
            <w:vAlign w:val="center"/>
          </w:tcPr>
          <w:p w14:paraId="289F3575">
            <w:pPr>
              <w:jc w:val="left"/>
              <w:rPr>
                <w:rFonts w:hint="default" w:ascii="Times New Roman" w:hAnsi="Times New Roman" w:eastAsia="宋体" w:cs="Times New Roman"/>
                <w:color w:val="auto"/>
                <w:sz w:val="24"/>
                <w:highlight w:val="none"/>
              </w:rPr>
            </w:pP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新建（迁建）</w:t>
            </w:r>
          </w:p>
          <w:p w14:paraId="7ED27FF9">
            <w:pPr>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改建</w:t>
            </w:r>
          </w:p>
          <w:p w14:paraId="6C8475AE">
            <w:pPr>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扩建</w:t>
            </w:r>
          </w:p>
          <w:p w14:paraId="30A388BA">
            <w:pPr>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技术改造</w:t>
            </w:r>
          </w:p>
        </w:tc>
        <w:tc>
          <w:tcPr>
            <w:tcW w:w="2482" w:type="dxa"/>
            <w:vAlign w:val="center"/>
          </w:tcPr>
          <w:p w14:paraId="0CC10C6F">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建设项目申报情形</w:t>
            </w:r>
          </w:p>
        </w:tc>
        <w:tc>
          <w:tcPr>
            <w:tcW w:w="4143" w:type="dxa"/>
            <w:vAlign w:val="center"/>
          </w:tcPr>
          <w:p w14:paraId="28DCF7AB">
            <w:pPr>
              <w:jc w:val="left"/>
              <w:rPr>
                <w:rFonts w:hint="default" w:ascii="Times New Roman" w:hAnsi="Times New Roman" w:eastAsia="宋体" w:cs="Times New Roman"/>
                <w:color w:val="auto"/>
                <w:sz w:val="24"/>
                <w:highlight w:val="none"/>
              </w:rPr>
            </w:pP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首次申报项目</w:t>
            </w:r>
          </w:p>
          <w:p w14:paraId="4C757BEE">
            <w:pPr>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不予批准后再次申报项目</w:t>
            </w:r>
          </w:p>
          <w:p w14:paraId="522031E0">
            <w:pPr>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超五年重新审核项目</w:t>
            </w:r>
          </w:p>
          <w:p w14:paraId="3826451A">
            <w:pPr>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重大变动重新报批项目</w:t>
            </w:r>
          </w:p>
        </w:tc>
      </w:tr>
      <w:tr w14:paraId="6FC230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361" w:type="dxa"/>
            <w:tcMar>
              <w:top w:w="16" w:type="dxa"/>
              <w:left w:w="16" w:type="dxa"/>
              <w:right w:w="16" w:type="dxa"/>
            </w:tcMar>
            <w:vAlign w:val="center"/>
          </w:tcPr>
          <w:p w14:paraId="3EAF7040">
            <w:pPr>
              <w:adjustRightInd w:val="0"/>
              <w:snapToGrid w:val="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项目审批（核准/备案）部门（选填）</w:t>
            </w:r>
          </w:p>
        </w:tc>
        <w:tc>
          <w:tcPr>
            <w:tcW w:w="2030" w:type="dxa"/>
            <w:vAlign w:val="center"/>
          </w:tcPr>
          <w:p w14:paraId="6B722F8C">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磴口县发展和改革委员会</w:t>
            </w:r>
          </w:p>
        </w:tc>
        <w:tc>
          <w:tcPr>
            <w:tcW w:w="2482" w:type="dxa"/>
            <w:vAlign w:val="center"/>
          </w:tcPr>
          <w:p w14:paraId="16970812">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项目审批（核准/备案）文号（选填）</w:t>
            </w:r>
          </w:p>
        </w:tc>
        <w:tc>
          <w:tcPr>
            <w:tcW w:w="4143" w:type="dxa"/>
            <w:vAlign w:val="center"/>
          </w:tcPr>
          <w:p w14:paraId="3B1D57E8">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250</w:t>
            </w:r>
            <w:r>
              <w:rPr>
                <w:rFonts w:hint="eastAsia" w:ascii="Times New Roman" w:hAnsi="Times New Roman" w:cs="Times New Roman"/>
                <w:color w:val="auto"/>
                <w:sz w:val="24"/>
                <w:highlight w:val="none"/>
                <w:lang w:val="en-US" w:eastAsia="zh-CN"/>
              </w:rPr>
              <w:t>9-150822-04-01-188639</w:t>
            </w:r>
          </w:p>
        </w:tc>
      </w:tr>
      <w:tr w14:paraId="73264B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1361" w:type="dxa"/>
            <w:tcMar>
              <w:top w:w="16" w:type="dxa"/>
              <w:left w:w="16" w:type="dxa"/>
              <w:right w:w="16" w:type="dxa"/>
            </w:tcMar>
            <w:vAlign w:val="center"/>
          </w:tcPr>
          <w:p w14:paraId="07BA5B96">
            <w:pPr>
              <w:adjustRightInd w:val="0"/>
              <w:snapToGrid w:val="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总投资（万元）</w:t>
            </w:r>
          </w:p>
        </w:tc>
        <w:tc>
          <w:tcPr>
            <w:tcW w:w="2030" w:type="dxa"/>
            <w:vAlign w:val="center"/>
          </w:tcPr>
          <w:p w14:paraId="13583C85">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400</w:t>
            </w:r>
          </w:p>
        </w:tc>
        <w:tc>
          <w:tcPr>
            <w:tcW w:w="2482" w:type="dxa"/>
            <w:tcMar>
              <w:top w:w="16" w:type="dxa"/>
              <w:left w:w="16" w:type="dxa"/>
              <w:right w:w="16" w:type="dxa"/>
            </w:tcMar>
            <w:vAlign w:val="center"/>
          </w:tcPr>
          <w:p w14:paraId="3B16888B">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环保投资（万元）</w:t>
            </w:r>
          </w:p>
        </w:tc>
        <w:tc>
          <w:tcPr>
            <w:tcW w:w="4143" w:type="dxa"/>
            <w:vAlign w:val="center"/>
          </w:tcPr>
          <w:p w14:paraId="6A81083F">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34</w:t>
            </w:r>
          </w:p>
        </w:tc>
      </w:tr>
      <w:tr w14:paraId="375149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61" w:type="dxa"/>
            <w:tcMar>
              <w:top w:w="16" w:type="dxa"/>
              <w:left w:w="16" w:type="dxa"/>
              <w:right w:w="16" w:type="dxa"/>
            </w:tcMar>
            <w:vAlign w:val="center"/>
          </w:tcPr>
          <w:p w14:paraId="1F20D0F4">
            <w:pPr>
              <w:adjustRightInd w:val="0"/>
              <w:snapToGrid w:val="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环保投资占比（%）</w:t>
            </w:r>
          </w:p>
        </w:tc>
        <w:tc>
          <w:tcPr>
            <w:tcW w:w="2030" w:type="dxa"/>
            <w:vAlign w:val="center"/>
          </w:tcPr>
          <w:p w14:paraId="48FCF53C">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8.5</w:t>
            </w:r>
          </w:p>
        </w:tc>
        <w:tc>
          <w:tcPr>
            <w:tcW w:w="2482" w:type="dxa"/>
            <w:tcMar>
              <w:top w:w="16" w:type="dxa"/>
              <w:left w:w="16" w:type="dxa"/>
              <w:right w:w="16" w:type="dxa"/>
            </w:tcMar>
            <w:vAlign w:val="center"/>
          </w:tcPr>
          <w:p w14:paraId="2B58DB69">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施工工期</w:t>
            </w:r>
          </w:p>
        </w:tc>
        <w:tc>
          <w:tcPr>
            <w:tcW w:w="4143" w:type="dxa"/>
            <w:vAlign w:val="center"/>
          </w:tcPr>
          <w:p w14:paraId="0AE6121B">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个月</w:t>
            </w:r>
          </w:p>
        </w:tc>
      </w:tr>
      <w:tr w14:paraId="3ACCC1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61" w:type="dxa"/>
            <w:tcMar>
              <w:top w:w="16" w:type="dxa"/>
              <w:left w:w="16" w:type="dxa"/>
              <w:right w:w="16" w:type="dxa"/>
            </w:tcMar>
            <w:vAlign w:val="center"/>
          </w:tcPr>
          <w:p w14:paraId="44896649">
            <w:pPr>
              <w:adjustRightInd w:val="0"/>
              <w:snapToGrid w:val="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是否开工建设</w:t>
            </w:r>
          </w:p>
        </w:tc>
        <w:tc>
          <w:tcPr>
            <w:tcW w:w="2030" w:type="dxa"/>
            <w:vAlign w:val="center"/>
          </w:tcPr>
          <w:p w14:paraId="6625E16C">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否</w:t>
            </w:r>
          </w:p>
          <w:p w14:paraId="5645E372">
            <w:pPr>
              <w:adjustRightInd w:val="0"/>
              <w:snapToGrid w:val="0"/>
              <w:rPr>
                <w:rFonts w:hint="default" w:ascii="Times New Roman" w:hAnsi="Times New Roman" w:eastAsia="宋体" w:cs="Times New Roman"/>
                <w:color w:val="auto"/>
                <w:highlight w:val="none"/>
              </w:rPr>
            </w:pP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是</w:t>
            </w:r>
          </w:p>
        </w:tc>
        <w:tc>
          <w:tcPr>
            <w:tcW w:w="2482" w:type="dxa"/>
            <w:tcMar>
              <w:top w:w="16" w:type="dxa"/>
              <w:left w:w="16" w:type="dxa"/>
              <w:right w:w="16" w:type="dxa"/>
            </w:tcMar>
            <w:vAlign w:val="center"/>
          </w:tcPr>
          <w:p w14:paraId="523365E1">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pacing w:val="-6"/>
                <w:sz w:val="24"/>
                <w:highlight w:val="none"/>
              </w:rPr>
              <w:t>用地面积（m</w:t>
            </w:r>
            <w:r>
              <w:rPr>
                <w:rFonts w:hint="default" w:ascii="Times New Roman" w:hAnsi="Times New Roman" w:eastAsia="宋体" w:cs="Times New Roman"/>
                <w:color w:val="auto"/>
                <w:spacing w:val="-6"/>
                <w:sz w:val="24"/>
                <w:highlight w:val="none"/>
                <w:vertAlign w:val="superscript"/>
              </w:rPr>
              <w:t>2</w:t>
            </w:r>
            <w:r>
              <w:rPr>
                <w:rFonts w:hint="default" w:ascii="Times New Roman" w:hAnsi="Times New Roman" w:eastAsia="宋体" w:cs="Times New Roman"/>
                <w:color w:val="auto"/>
                <w:spacing w:val="-6"/>
                <w:sz w:val="24"/>
                <w:highlight w:val="none"/>
              </w:rPr>
              <w:t>）</w:t>
            </w:r>
          </w:p>
        </w:tc>
        <w:tc>
          <w:tcPr>
            <w:tcW w:w="4143" w:type="dxa"/>
            <w:vAlign w:val="center"/>
          </w:tcPr>
          <w:p w14:paraId="18D83DEF">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无新增</w:t>
            </w:r>
          </w:p>
        </w:tc>
      </w:tr>
      <w:tr w14:paraId="7A4A13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361" w:type="dxa"/>
            <w:vAlign w:val="center"/>
          </w:tcPr>
          <w:p w14:paraId="49EABBEB">
            <w:pPr>
              <w:autoSpaceDE w:val="0"/>
              <w:autoSpaceDN w:val="0"/>
              <w:adjustRightInd w:val="0"/>
              <w:snapToGrid w:val="0"/>
              <w:jc w:val="center"/>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kern w:val="0"/>
                <w:sz w:val="24"/>
                <w:highlight w:val="none"/>
              </w:rPr>
              <w:t>专项评价设置情况</w:t>
            </w:r>
          </w:p>
        </w:tc>
        <w:tc>
          <w:tcPr>
            <w:tcW w:w="8655" w:type="dxa"/>
            <w:gridSpan w:val="3"/>
            <w:vAlign w:val="center"/>
          </w:tcPr>
          <w:p w14:paraId="289D6161">
            <w:pPr>
              <w:widowControl/>
              <w:spacing w:line="440" w:lineRule="exact"/>
              <w:ind w:firstLine="480" w:firstLineChars="200"/>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根据《建设项目环境影响报告表编制技术指南（</w:t>
            </w:r>
            <w:r>
              <w:rPr>
                <w:rFonts w:hint="default" w:ascii="Times New Roman" w:hAnsi="Times New Roman" w:eastAsia="宋体" w:cs="Times New Roman"/>
                <w:color w:val="auto"/>
                <w:kern w:val="0"/>
                <w:sz w:val="24"/>
                <w:highlight w:val="none"/>
                <w:lang w:val="en-US" w:eastAsia="zh-CN" w:bidi="ar"/>
              </w:rPr>
              <w:t>污染</w:t>
            </w:r>
            <w:r>
              <w:rPr>
                <w:rFonts w:hint="default" w:ascii="Times New Roman" w:hAnsi="Times New Roman" w:eastAsia="宋体" w:cs="Times New Roman"/>
                <w:color w:val="auto"/>
                <w:kern w:val="0"/>
                <w:sz w:val="24"/>
                <w:highlight w:val="none"/>
                <w:lang w:bidi="ar"/>
              </w:rPr>
              <w:t>影响类）（试行）》中专项评价设置原则表下表1-1</w:t>
            </w:r>
          </w:p>
          <w:p w14:paraId="6D0CEA85">
            <w:pPr>
              <w:widowControl/>
              <w:spacing w:line="440" w:lineRule="exact"/>
              <w:jc w:val="center"/>
              <w:rPr>
                <w:rFonts w:hint="default" w:ascii="Times New Roman" w:hAnsi="Times New Roman" w:eastAsia="宋体" w:cs="Times New Roman"/>
                <w:b/>
                <w:color w:val="auto"/>
                <w:kern w:val="0"/>
                <w:sz w:val="24"/>
                <w:highlight w:val="none"/>
                <w:lang w:bidi="ar"/>
              </w:rPr>
            </w:pPr>
            <w:r>
              <w:rPr>
                <w:rFonts w:hint="default" w:ascii="Times New Roman" w:hAnsi="Times New Roman" w:eastAsia="宋体" w:cs="Times New Roman"/>
                <w:b/>
                <w:color w:val="auto"/>
                <w:kern w:val="0"/>
                <w:sz w:val="24"/>
                <w:highlight w:val="none"/>
                <w:lang w:bidi="ar"/>
              </w:rPr>
              <w:t>表1-1    专项评价设置原则表</w:t>
            </w:r>
          </w:p>
          <w:tbl>
            <w:tblPr>
              <w:tblStyle w:val="21"/>
              <w:tblW w:w="83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7"/>
              <w:gridCol w:w="3381"/>
              <w:gridCol w:w="2478"/>
              <w:gridCol w:w="1422"/>
            </w:tblGrid>
            <w:tr w14:paraId="486B6D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94" w:hRule="atLeast"/>
                <w:tblHeader/>
                <w:jc w:val="center"/>
              </w:trPr>
              <w:tc>
                <w:tcPr>
                  <w:tcW w:w="665" w:type="pct"/>
                  <w:tcBorders>
                    <w:tl2br w:val="nil"/>
                    <w:tr2bl w:val="nil"/>
                  </w:tcBorders>
                  <w:noWrap w:val="0"/>
                  <w:vAlign w:val="center"/>
                </w:tcPr>
                <w:p w14:paraId="535947DC">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专项评价类别</w:t>
                  </w:r>
                </w:p>
              </w:tc>
              <w:tc>
                <w:tcPr>
                  <w:tcW w:w="2012" w:type="pct"/>
                  <w:tcBorders>
                    <w:tl2br w:val="nil"/>
                    <w:tr2bl w:val="nil"/>
                  </w:tcBorders>
                  <w:noWrap w:val="0"/>
                  <w:vAlign w:val="center"/>
                </w:tcPr>
                <w:p w14:paraId="1337ADFD">
                  <w:pPr>
                    <w:keepNext w:val="0"/>
                    <w:keepLines w:val="0"/>
                    <w:pageBreakBefore w:val="0"/>
                    <w:widowControl w:val="0"/>
                    <w:kinsoku/>
                    <w:wordWrap/>
                    <w:overflowPunct/>
                    <w:topLinePunct w:val="0"/>
                    <w:autoSpaceDE/>
                    <w:autoSpaceDN/>
                    <w:bidi w:val="0"/>
                    <w:adjustRightInd w:val="0"/>
                    <w:snapToGrid w:val="0"/>
                    <w:spacing w:before="24" w:beforeLines="10" w:after="24" w:afterLines="10" w:line="240" w:lineRule="auto"/>
                    <w:ind w:left="0" w:lef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涉及项目类别</w:t>
                  </w:r>
                </w:p>
              </w:tc>
              <w:tc>
                <w:tcPr>
                  <w:tcW w:w="1475" w:type="pct"/>
                  <w:tcBorders>
                    <w:tl2br w:val="nil"/>
                    <w:tr2bl w:val="nil"/>
                  </w:tcBorders>
                  <w:noWrap w:val="0"/>
                  <w:vAlign w:val="center"/>
                </w:tcPr>
                <w:p w14:paraId="1179E0A1">
                  <w:pPr>
                    <w:keepNext w:val="0"/>
                    <w:keepLines w:val="0"/>
                    <w:pageBreakBefore w:val="0"/>
                    <w:widowControl w:val="0"/>
                    <w:kinsoku/>
                    <w:wordWrap/>
                    <w:overflowPunct/>
                    <w:topLinePunct w:val="0"/>
                    <w:autoSpaceDE/>
                    <w:autoSpaceDN/>
                    <w:bidi w:val="0"/>
                    <w:adjustRightInd w:val="0"/>
                    <w:snapToGrid w:val="0"/>
                    <w:spacing w:before="24" w:beforeLines="10" w:after="24" w:afterLines="10" w:line="240" w:lineRule="auto"/>
                    <w:ind w:left="0" w:lef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本项目情况</w:t>
                  </w:r>
                </w:p>
              </w:tc>
              <w:tc>
                <w:tcPr>
                  <w:tcW w:w="846" w:type="pct"/>
                  <w:tcBorders>
                    <w:tl2br w:val="nil"/>
                    <w:tr2bl w:val="nil"/>
                  </w:tcBorders>
                  <w:noWrap w:val="0"/>
                  <w:vAlign w:val="center"/>
                </w:tcPr>
                <w:p w14:paraId="5744A8DA">
                  <w:pPr>
                    <w:keepNext w:val="0"/>
                    <w:keepLines w:val="0"/>
                    <w:pageBreakBefore w:val="0"/>
                    <w:widowControl w:val="0"/>
                    <w:kinsoku/>
                    <w:wordWrap/>
                    <w:overflowPunct/>
                    <w:topLinePunct w:val="0"/>
                    <w:autoSpaceDE/>
                    <w:autoSpaceDN/>
                    <w:bidi w:val="0"/>
                    <w:adjustRightInd w:val="0"/>
                    <w:snapToGrid w:val="0"/>
                    <w:spacing w:before="24" w:beforeLines="10" w:after="24" w:afterLines="10" w:line="240" w:lineRule="auto"/>
                    <w:ind w:left="0" w:lef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本项目专题设置情况</w:t>
                  </w:r>
                </w:p>
              </w:tc>
            </w:tr>
            <w:tr w14:paraId="25E70B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9" w:hRule="atLeast"/>
                <w:jc w:val="center"/>
              </w:trPr>
              <w:tc>
                <w:tcPr>
                  <w:tcW w:w="665" w:type="pct"/>
                  <w:tcBorders>
                    <w:tl2br w:val="nil"/>
                    <w:tr2bl w:val="nil"/>
                  </w:tcBorders>
                  <w:noWrap w:val="0"/>
                  <w:vAlign w:val="center"/>
                </w:tcPr>
                <w:p w14:paraId="5E3819A2">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大气</w:t>
                  </w:r>
                </w:p>
              </w:tc>
              <w:tc>
                <w:tcPr>
                  <w:tcW w:w="2012" w:type="pct"/>
                  <w:tcBorders>
                    <w:tl2br w:val="nil"/>
                    <w:tr2bl w:val="nil"/>
                  </w:tcBorders>
                  <w:noWrap w:val="0"/>
                  <w:vAlign w:val="center"/>
                </w:tcPr>
                <w:p w14:paraId="6CCF4548">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排放废气含有毒有害污染物、二噁英、苯并[a]芘、氰化物、氯气且厂界外 500 米范围内有环境空气保护目标的建设项目。</w:t>
                  </w:r>
                </w:p>
              </w:tc>
              <w:tc>
                <w:tcPr>
                  <w:tcW w:w="1475" w:type="pct"/>
                  <w:tcBorders>
                    <w:tl2br w:val="nil"/>
                    <w:tr2bl w:val="nil"/>
                  </w:tcBorders>
                  <w:noWrap w:val="0"/>
                  <w:vAlign w:val="center"/>
                </w:tcPr>
                <w:p w14:paraId="15B2FBF8">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本项目排放废气不涉及含有毒有害污染物</w:t>
                  </w:r>
                </w:p>
              </w:tc>
              <w:tc>
                <w:tcPr>
                  <w:tcW w:w="846" w:type="pct"/>
                  <w:tcBorders>
                    <w:tl2br w:val="nil"/>
                    <w:tr2bl w:val="nil"/>
                  </w:tcBorders>
                  <w:noWrap w:val="0"/>
                  <w:vAlign w:val="center"/>
                </w:tcPr>
                <w:p w14:paraId="0CAE4F23">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不需开展</w:t>
                  </w:r>
                </w:p>
              </w:tc>
            </w:tr>
            <w:tr w14:paraId="4AE93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9" w:hRule="atLeast"/>
                <w:jc w:val="center"/>
              </w:trPr>
              <w:tc>
                <w:tcPr>
                  <w:tcW w:w="665" w:type="pct"/>
                  <w:tcBorders>
                    <w:tl2br w:val="nil"/>
                    <w:tr2bl w:val="nil"/>
                  </w:tcBorders>
                  <w:noWrap w:val="0"/>
                  <w:vAlign w:val="center"/>
                </w:tcPr>
                <w:p w14:paraId="401658F6">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地表水</w:t>
                  </w:r>
                </w:p>
              </w:tc>
              <w:tc>
                <w:tcPr>
                  <w:tcW w:w="2012" w:type="pct"/>
                  <w:tcBorders>
                    <w:tl2br w:val="nil"/>
                    <w:tr2bl w:val="nil"/>
                  </w:tcBorders>
                  <w:noWrap w:val="0"/>
                  <w:vAlign w:val="center"/>
                </w:tcPr>
                <w:p w14:paraId="772E9375">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新增工业废水直排建设项目（槽罐车外送污水处理厂的除外）；新增废水直排的污水集中处理厂。</w:t>
                  </w:r>
                </w:p>
              </w:tc>
              <w:tc>
                <w:tcPr>
                  <w:tcW w:w="1475" w:type="pct"/>
                  <w:tcBorders>
                    <w:tl2br w:val="nil"/>
                    <w:tr2bl w:val="nil"/>
                  </w:tcBorders>
                  <w:noWrap w:val="0"/>
                  <w:vAlign w:val="center"/>
                </w:tcPr>
                <w:p w14:paraId="5389BBA9">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本项目排水进入厂区现有污水处理站处理达标后排入市政管网由磴口县中涵水务有限公司处理，不存在直排情况</w:t>
                  </w:r>
                </w:p>
              </w:tc>
              <w:tc>
                <w:tcPr>
                  <w:tcW w:w="846" w:type="pct"/>
                  <w:tcBorders>
                    <w:tl2br w:val="nil"/>
                    <w:tr2bl w:val="nil"/>
                  </w:tcBorders>
                  <w:noWrap w:val="0"/>
                  <w:vAlign w:val="center"/>
                </w:tcPr>
                <w:p w14:paraId="5A8A7296">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不需开展</w:t>
                  </w:r>
                </w:p>
              </w:tc>
            </w:tr>
            <w:tr w14:paraId="12F6D6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9" w:hRule="atLeast"/>
                <w:jc w:val="center"/>
              </w:trPr>
              <w:tc>
                <w:tcPr>
                  <w:tcW w:w="665" w:type="pct"/>
                  <w:tcBorders>
                    <w:tl2br w:val="nil"/>
                    <w:tr2bl w:val="nil"/>
                  </w:tcBorders>
                  <w:noWrap w:val="0"/>
                  <w:vAlign w:val="center"/>
                </w:tcPr>
                <w:p w14:paraId="38517F01">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环境风险</w:t>
                  </w:r>
                </w:p>
              </w:tc>
              <w:tc>
                <w:tcPr>
                  <w:tcW w:w="2012" w:type="pct"/>
                  <w:tcBorders>
                    <w:tl2br w:val="nil"/>
                    <w:tr2bl w:val="nil"/>
                  </w:tcBorders>
                  <w:noWrap w:val="0"/>
                  <w:vAlign w:val="center"/>
                </w:tcPr>
                <w:p w14:paraId="475A00DD">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有毒有害和易燃易爆危险物质存储量超过临界量的建设项目。</w:t>
                  </w:r>
                </w:p>
              </w:tc>
              <w:tc>
                <w:tcPr>
                  <w:tcW w:w="1475" w:type="pct"/>
                  <w:tcBorders>
                    <w:tl2br w:val="nil"/>
                    <w:tr2bl w:val="nil"/>
                  </w:tcBorders>
                  <w:noWrap w:val="0"/>
                  <w:vAlign w:val="center"/>
                </w:tcPr>
                <w:p w14:paraId="500D2D81">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本项目没有储存超临界量的</w:t>
                  </w:r>
                  <w:r>
                    <w:rPr>
                      <w:rFonts w:hint="default" w:ascii="Times New Roman" w:hAnsi="Times New Roman" w:eastAsia="宋体" w:cs="Times New Roman"/>
                      <w:color w:val="auto"/>
                      <w:szCs w:val="21"/>
                      <w:highlight w:val="none"/>
                    </w:rPr>
                    <w:t>有毒有害和易燃易爆危险物质</w:t>
                  </w:r>
                </w:p>
              </w:tc>
              <w:tc>
                <w:tcPr>
                  <w:tcW w:w="846" w:type="pct"/>
                  <w:tcBorders>
                    <w:tl2br w:val="nil"/>
                    <w:tr2bl w:val="nil"/>
                  </w:tcBorders>
                  <w:noWrap w:val="0"/>
                  <w:vAlign w:val="center"/>
                </w:tcPr>
                <w:p w14:paraId="22E6079B">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不需开展</w:t>
                  </w:r>
                </w:p>
              </w:tc>
            </w:tr>
            <w:tr w14:paraId="13ED91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9" w:hRule="atLeast"/>
                <w:jc w:val="center"/>
              </w:trPr>
              <w:tc>
                <w:tcPr>
                  <w:tcW w:w="665" w:type="pct"/>
                  <w:tcBorders>
                    <w:tl2br w:val="nil"/>
                    <w:tr2bl w:val="nil"/>
                  </w:tcBorders>
                  <w:noWrap w:val="0"/>
                  <w:vAlign w:val="center"/>
                </w:tcPr>
                <w:p w14:paraId="68027686">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生态</w:t>
                  </w:r>
                </w:p>
              </w:tc>
              <w:tc>
                <w:tcPr>
                  <w:tcW w:w="2012" w:type="pct"/>
                  <w:tcBorders>
                    <w:tl2br w:val="nil"/>
                    <w:tr2bl w:val="nil"/>
                  </w:tcBorders>
                  <w:noWrap w:val="0"/>
                  <w:vAlign w:val="center"/>
                </w:tcPr>
                <w:p w14:paraId="322A5D24">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取水口下游 500 米范围内有重要水生生物的自然产卵场、索饵场、越冬场和洄游通道的新增河道取水的污染类建设项目。</w:t>
                  </w:r>
                </w:p>
              </w:tc>
              <w:tc>
                <w:tcPr>
                  <w:tcW w:w="1475" w:type="pct"/>
                  <w:tcBorders>
                    <w:tl2br w:val="nil"/>
                    <w:tr2bl w:val="nil"/>
                  </w:tcBorders>
                  <w:noWrap w:val="0"/>
                  <w:vAlign w:val="center"/>
                </w:tcPr>
                <w:p w14:paraId="23855604">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本项目取用水为现有水井，取水口下游 500 米范围内无重要水生生物的自然产卵场、索饵场、越冬场和洄游通道</w:t>
                  </w:r>
                </w:p>
              </w:tc>
              <w:tc>
                <w:tcPr>
                  <w:tcW w:w="846" w:type="pct"/>
                  <w:tcBorders>
                    <w:tl2br w:val="nil"/>
                    <w:tr2bl w:val="nil"/>
                  </w:tcBorders>
                  <w:noWrap w:val="0"/>
                  <w:vAlign w:val="center"/>
                </w:tcPr>
                <w:p w14:paraId="11DF65C1">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不需开展</w:t>
                  </w:r>
                </w:p>
              </w:tc>
            </w:tr>
            <w:tr w14:paraId="5E8762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58" w:hRule="atLeast"/>
                <w:jc w:val="center"/>
              </w:trPr>
              <w:tc>
                <w:tcPr>
                  <w:tcW w:w="665" w:type="pct"/>
                  <w:tcBorders>
                    <w:tl2br w:val="nil"/>
                    <w:tr2bl w:val="nil"/>
                  </w:tcBorders>
                  <w:noWrap w:val="0"/>
                  <w:vAlign w:val="center"/>
                </w:tcPr>
                <w:p w14:paraId="7F42EF42">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海洋</w:t>
                  </w:r>
                </w:p>
              </w:tc>
              <w:tc>
                <w:tcPr>
                  <w:tcW w:w="2012" w:type="pct"/>
                  <w:tcBorders>
                    <w:tl2br w:val="nil"/>
                    <w:tr2bl w:val="nil"/>
                  </w:tcBorders>
                  <w:noWrap w:val="0"/>
                  <w:vAlign w:val="center"/>
                </w:tcPr>
                <w:p w14:paraId="503DCECE">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直接向海排放污染物的海洋工程建设项目。</w:t>
                  </w:r>
                </w:p>
              </w:tc>
              <w:tc>
                <w:tcPr>
                  <w:tcW w:w="1475" w:type="pct"/>
                  <w:tcBorders>
                    <w:tl2br w:val="nil"/>
                    <w:tr2bl w:val="nil"/>
                  </w:tcBorders>
                  <w:noWrap w:val="0"/>
                  <w:vAlign w:val="center"/>
                </w:tcPr>
                <w:p w14:paraId="5BCFCC0D">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本项目不涉及向海直排</w:t>
                  </w:r>
                </w:p>
              </w:tc>
              <w:tc>
                <w:tcPr>
                  <w:tcW w:w="846" w:type="pct"/>
                  <w:tcBorders>
                    <w:tl2br w:val="nil"/>
                    <w:tr2bl w:val="nil"/>
                  </w:tcBorders>
                  <w:noWrap w:val="0"/>
                  <w:vAlign w:val="center"/>
                </w:tcPr>
                <w:p w14:paraId="01CCDB77">
                  <w:pPr>
                    <w:keepNext w:val="0"/>
                    <w:keepLines w:val="0"/>
                    <w:pageBreakBefore w:val="0"/>
                    <w:widowControl/>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不需开展</w:t>
                  </w:r>
                </w:p>
              </w:tc>
            </w:tr>
          </w:tbl>
          <w:p w14:paraId="778205E1">
            <w:pPr>
              <w:autoSpaceDE w:val="0"/>
              <w:autoSpaceDN w:val="0"/>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综上，本项目</w:t>
            </w:r>
            <w:r>
              <w:rPr>
                <w:rFonts w:hint="default" w:ascii="Times New Roman" w:hAnsi="Times New Roman" w:eastAsia="宋体" w:cs="Times New Roman"/>
                <w:color w:val="auto"/>
                <w:kern w:val="0"/>
                <w:sz w:val="24"/>
                <w:highlight w:val="none"/>
                <w:lang w:val="en-US" w:eastAsia="zh-CN" w:bidi="ar"/>
              </w:rPr>
              <w:t>不</w:t>
            </w:r>
            <w:r>
              <w:rPr>
                <w:rFonts w:hint="default" w:ascii="Times New Roman" w:hAnsi="Times New Roman" w:eastAsia="宋体" w:cs="Times New Roman"/>
                <w:color w:val="auto"/>
                <w:kern w:val="0"/>
                <w:sz w:val="24"/>
                <w:highlight w:val="none"/>
                <w:lang w:bidi="ar"/>
              </w:rPr>
              <w:t>需</w:t>
            </w:r>
            <w:r>
              <w:rPr>
                <w:rFonts w:hint="default" w:ascii="Times New Roman" w:hAnsi="Times New Roman" w:eastAsia="宋体" w:cs="Times New Roman"/>
                <w:color w:val="auto"/>
                <w:kern w:val="0"/>
                <w:sz w:val="24"/>
                <w:highlight w:val="none"/>
                <w:lang w:eastAsia="zh-CN" w:bidi="ar"/>
              </w:rPr>
              <w:t>开展</w:t>
            </w:r>
            <w:r>
              <w:rPr>
                <w:rFonts w:hint="default" w:ascii="Times New Roman" w:hAnsi="Times New Roman" w:eastAsia="宋体" w:cs="Times New Roman"/>
                <w:color w:val="auto"/>
                <w:kern w:val="0"/>
                <w:sz w:val="24"/>
                <w:highlight w:val="none"/>
                <w:lang w:bidi="ar"/>
              </w:rPr>
              <w:t>环境影响专项评价工作。</w:t>
            </w:r>
          </w:p>
        </w:tc>
      </w:tr>
      <w:tr w14:paraId="3130BB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361" w:type="dxa"/>
            <w:vAlign w:val="center"/>
          </w:tcPr>
          <w:p w14:paraId="06E73F20">
            <w:pPr>
              <w:autoSpaceDE w:val="0"/>
              <w:autoSpaceDN w:val="0"/>
              <w:adjustRightInd w:val="0"/>
              <w:snapToGrid w:val="0"/>
              <w:jc w:val="center"/>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sz w:val="24"/>
                <w:highlight w:val="none"/>
              </w:rPr>
              <w:t>规划情况</w:t>
            </w:r>
          </w:p>
        </w:tc>
        <w:tc>
          <w:tcPr>
            <w:tcW w:w="8655" w:type="dxa"/>
            <w:gridSpan w:val="3"/>
            <w:vAlign w:val="center"/>
          </w:tcPr>
          <w:p w14:paraId="7B5F17ED">
            <w:pPr>
              <w:pStyle w:val="55"/>
              <w:keepNext w:val="0"/>
              <w:keepLines w:val="0"/>
              <w:pageBreakBefore w:val="0"/>
              <w:widowControl w:val="0"/>
              <w:kinsoku/>
              <w:wordWrap/>
              <w:overflowPunct/>
              <w:topLinePunct w:val="0"/>
              <w:autoSpaceDE/>
              <w:autoSpaceDN/>
              <w:bidi w:val="0"/>
              <w:adjustRightInd/>
              <w:snapToGrid/>
              <w:spacing w:line="440" w:lineRule="exact"/>
              <w:ind w:left="0" w:leftChars="0" w:firstLine="480" w:firstLineChars="200"/>
              <w:jc w:val="left"/>
              <w:textAlignment w:val="auto"/>
              <w:rPr>
                <w:rFonts w:hint="default" w:ascii="Times New Roman" w:hAnsi="Times New Roman" w:eastAsia="宋体" w:cs="Times New Roman"/>
                <w:b w:val="0"/>
                <w:bCs w:val="0"/>
                <w:color w:val="auto"/>
                <w:kern w:val="0"/>
                <w:sz w:val="24"/>
                <w:szCs w:val="24"/>
                <w:highlight w:val="none"/>
              </w:rPr>
            </w:pPr>
            <w:r>
              <w:rPr>
                <w:rFonts w:hint="default" w:ascii="Times New Roman" w:hAnsi="Times New Roman" w:eastAsia="宋体" w:cs="Times New Roman"/>
                <w:b w:val="0"/>
                <w:bCs w:val="0"/>
                <w:color w:val="auto"/>
                <w:kern w:val="0"/>
                <w:sz w:val="24"/>
                <w:szCs w:val="24"/>
                <w:highlight w:val="none"/>
              </w:rPr>
              <w:t>规划名称：《巴彦淖尔市</w:t>
            </w:r>
            <w:r>
              <w:rPr>
                <w:rFonts w:hint="eastAsia" w:ascii="Times New Roman" w:hAnsi="Times New Roman" w:eastAsia="宋体" w:cs="Times New Roman"/>
                <w:b w:val="0"/>
                <w:bCs w:val="0"/>
                <w:color w:val="auto"/>
                <w:kern w:val="0"/>
                <w:sz w:val="24"/>
                <w:szCs w:val="24"/>
                <w:highlight w:val="none"/>
                <w:lang w:val="en-US" w:eastAsia="zh-CN"/>
              </w:rPr>
              <w:t>磴口</w:t>
            </w:r>
            <w:r>
              <w:rPr>
                <w:rFonts w:hint="default" w:ascii="Times New Roman" w:hAnsi="Times New Roman" w:eastAsia="宋体" w:cs="Times New Roman"/>
                <w:b w:val="0"/>
                <w:bCs w:val="0"/>
                <w:color w:val="auto"/>
                <w:kern w:val="0"/>
                <w:sz w:val="24"/>
                <w:szCs w:val="24"/>
                <w:highlight w:val="none"/>
              </w:rPr>
              <w:t>县国土空间总体规划（2021—2035年）》；</w:t>
            </w:r>
          </w:p>
          <w:p w14:paraId="5CC04E15">
            <w:pPr>
              <w:pStyle w:val="55"/>
              <w:keepNext w:val="0"/>
              <w:keepLines w:val="0"/>
              <w:pageBreakBefore w:val="0"/>
              <w:widowControl w:val="0"/>
              <w:kinsoku/>
              <w:wordWrap/>
              <w:overflowPunct/>
              <w:topLinePunct w:val="0"/>
              <w:autoSpaceDE/>
              <w:autoSpaceDN/>
              <w:bidi w:val="0"/>
              <w:adjustRightInd/>
              <w:snapToGrid/>
              <w:spacing w:line="440" w:lineRule="exact"/>
              <w:ind w:left="0" w:leftChars="0" w:firstLine="480" w:firstLineChars="200"/>
              <w:jc w:val="left"/>
              <w:textAlignment w:val="auto"/>
              <w:rPr>
                <w:rFonts w:hint="default" w:ascii="Times New Roman" w:hAnsi="Times New Roman" w:eastAsia="宋体" w:cs="Times New Roman"/>
                <w:b w:val="0"/>
                <w:bCs w:val="0"/>
                <w:color w:val="auto"/>
                <w:kern w:val="0"/>
                <w:sz w:val="24"/>
                <w:szCs w:val="24"/>
                <w:highlight w:val="none"/>
              </w:rPr>
            </w:pPr>
            <w:r>
              <w:rPr>
                <w:rFonts w:hint="default" w:ascii="Times New Roman" w:hAnsi="Times New Roman" w:eastAsia="宋体" w:cs="Times New Roman"/>
                <w:b w:val="0"/>
                <w:bCs w:val="0"/>
                <w:color w:val="auto"/>
                <w:kern w:val="0"/>
                <w:sz w:val="24"/>
                <w:szCs w:val="24"/>
                <w:highlight w:val="none"/>
              </w:rPr>
              <w:t>审查机关：内蒙古自治区人民政府；</w:t>
            </w:r>
          </w:p>
          <w:p w14:paraId="4B6B93CF">
            <w:pPr>
              <w:pStyle w:val="55"/>
              <w:keepNext w:val="0"/>
              <w:keepLines w:val="0"/>
              <w:pageBreakBefore w:val="0"/>
              <w:widowControl w:val="0"/>
              <w:kinsoku/>
              <w:wordWrap/>
              <w:overflowPunct/>
              <w:topLinePunct w:val="0"/>
              <w:autoSpaceDE/>
              <w:autoSpaceDN/>
              <w:bidi w:val="0"/>
              <w:adjustRightInd/>
              <w:snapToGrid/>
              <w:spacing w:line="440" w:lineRule="exact"/>
              <w:ind w:left="0" w:leftChars="0" w:firstLine="480" w:firstLineChars="200"/>
              <w:jc w:val="left"/>
              <w:textAlignment w:val="auto"/>
              <w:rPr>
                <w:rFonts w:hint="default" w:ascii="Times New Roman" w:hAnsi="Times New Roman" w:eastAsia="宋体" w:cs="Times New Roman"/>
                <w:b w:val="0"/>
                <w:bCs w:val="0"/>
                <w:color w:val="auto"/>
                <w:kern w:val="0"/>
                <w:sz w:val="24"/>
                <w:szCs w:val="24"/>
                <w:highlight w:val="none"/>
              </w:rPr>
            </w:pPr>
            <w:r>
              <w:rPr>
                <w:rFonts w:hint="default" w:ascii="Times New Roman" w:hAnsi="Times New Roman" w:eastAsia="宋体" w:cs="Times New Roman"/>
                <w:b w:val="0"/>
                <w:bCs w:val="0"/>
                <w:color w:val="auto"/>
                <w:kern w:val="0"/>
                <w:sz w:val="24"/>
                <w:szCs w:val="24"/>
                <w:highlight w:val="none"/>
              </w:rPr>
              <w:t>审查文件名称：内蒙古自治区人民政府关于巴彦淖尔市临河区等旗县（区）国土空间总体规划（2021—2035年）的批复；</w:t>
            </w:r>
          </w:p>
          <w:p w14:paraId="0E6FAE90">
            <w:pPr>
              <w:pStyle w:val="2"/>
              <w:keepNext w:val="0"/>
              <w:keepLines w:val="0"/>
              <w:pageBreakBefore w:val="0"/>
              <w:widowControl w:val="0"/>
              <w:kinsoku/>
              <w:wordWrap/>
              <w:overflowPunct/>
              <w:topLinePunct w:val="0"/>
              <w:autoSpaceDE/>
              <w:autoSpaceDN/>
              <w:bidi w:val="0"/>
              <w:adjustRightInd w:val="0"/>
              <w:snapToGrid/>
              <w:spacing w:after="0" w:line="440" w:lineRule="exact"/>
              <w:ind w:left="0" w:leftChars="0" w:firstLine="480" w:firstLineChars="200"/>
              <w:jc w:val="left"/>
              <w:textAlignment w:val="baseline"/>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val="0"/>
                <w:color w:val="auto"/>
                <w:kern w:val="0"/>
                <w:sz w:val="24"/>
                <w:szCs w:val="24"/>
                <w:highlight w:val="none"/>
              </w:rPr>
              <w:t>文号：内政字〔2024〕87号。</w:t>
            </w:r>
          </w:p>
        </w:tc>
      </w:tr>
      <w:tr w14:paraId="76725C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361" w:type="dxa"/>
            <w:vAlign w:val="center"/>
          </w:tcPr>
          <w:p w14:paraId="35A59B82">
            <w:pPr>
              <w:adjustRightInd w:val="0"/>
              <w:snapToGrid w:val="0"/>
              <w:jc w:val="center"/>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sz w:val="24"/>
                <w:highlight w:val="none"/>
              </w:rPr>
              <w:t>规划环境影响评价情况</w:t>
            </w:r>
          </w:p>
        </w:tc>
        <w:tc>
          <w:tcPr>
            <w:tcW w:w="8655" w:type="dxa"/>
            <w:gridSpan w:val="3"/>
            <w:vAlign w:val="center"/>
          </w:tcPr>
          <w:p w14:paraId="4EA22A13">
            <w:pPr>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default" w:ascii="Times New Roman" w:hAnsi="Times New Roman" w:eastAsia="宋体" w:cs="Times New Roman"/>
                <w:b w:val="0"/>
                <w:bCs/>
                <w:color w:val="auto"/>
                <w:sz w:val="24"/>
                <w:highlight w:val="none"/>
                <w:lang w:val="en-US" w:eastAsia="zh-CN"/>
              </w:rPr>
            </w:pPr>
            <w:r>
              <w:rPr>
                <w:rFonts w:hint="eastAsia" w:cs="Times New Roman"/>
                <w:b w:val="0"/>
                <w:bCs/>
                <w:color w:val="auto"/>
                <w:sz w:val="24"/>
                <w:highlight w:val="none"/>
                <w:lang w:val="en-US" w:eastAsia="zh-CN"/>
              </w:rPr>
              <w:t>无</w:t>
            </w:r>
          </w:p>
        </w:tc>
      </w:tr>
      <w:tr w14:paraId="07E087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361" w:type="dxa"/>
            <w:vAlign w:val="center"/>
          </w:tcPr>
          <w:p w14:paraId="1C4584DB">
            <w:pPr>
              <w:autoSpaceDE w:val="0"/>
              <w:autoSpaceDN w:val="0"/>
              <w:adjustRightInd w:val="0"/>
              <w:snapToGrid w:val="0"/>
              <w:jc w:val="center"/>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kern w:val="0"/>
                <w:sz w:val="24"/>
                <w:highlight w:val="none"/>
              </w:rPr>
              <w:t>规划及规划环境影响评价符合性分析</w:t>
            </w:r>
          </w:p>
        </w:tc>
        <w:tc>
          <w:tcPr>
            <w:tcW w:w="8655" w:type="dxa"/>
            <w:gridSpan w:val="3"/>
            <w:vAlign w:val="center"/>
          </w:tcPr>
          <w:p w14:paraId="749B0286">
            <w:pPr>
              <w:pStyle w:val="55"/>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color w:val="auto"/>
                <w:kern w:val="0"/>
                <w:sz w:val="24"/>
                <w:highlight w:val="none"/>
              </w:rPr>
            </w:pPr>
            <w:r>
              <w:rPr>
                <w:rFonts w:hint="eastAsia"/>
                <w:color w:val="auto"/>
                <w:kern w:val="0"/>
                <w:sz w:val="24"/>
                <w:highlight w:val="none"/>
              </w:rPr>
              <w:t>根据《</w:t>
            </w:r>
            <w:bookmarkStart w:id="2" w:name="OLE_LINK31"/>
            <w:bookmarkStart w:id="3" w:name="OLE_LINK30"/>
            <w:r>
              <w:rPr>
                <w:rFonts w:hint="eastAsia"/>
                <w:color w:val="auto"/>
                <w:kern w:val="0"/>
                <w:sz w:val="24"/>
                <w:highlight w:val="none"/>
              </w:rPr>
              <w:t>巴彦淖尔市磴口县国土空间总体规划（2021—2035</w:t>
            </w:r>
            <w:r>
              <w:rPr>
                <w:rFonts w:hint="eastAsia"/>
                <w:color w:val="auto"/>
                <w:kern w:val="0"/>
                <w:sz w:val="24"/>
                <w:highlight w:val="none"/>
                <w:lang w:val="en-US" w:eastAsia="zh-CN"/>
              </w:rPr>
              <w:t>年</w:t>
            </w:r>
            <w:r>
              <w:rPr>
                <w:rFonts w:hint="eastAsia"/>
                <w:color w:val="auto"/>
                <w:kern w:val="0"/>
                <w:sz w:val="24"/>
                <w:highlight w:val="none"/>
              </w:rPr>
              <w:t>）</w:t>
            </w:r>
            <w:bookmarkEnd w:id="2"/>
            <w:bookmarkEnd w:id="3"/>
            <w:r>
              <w:rPr>
                <w:rFonts w:hint="eastAsia"/>
                <w:color w:val="auto"/>
                <w:kern w:val="0"/>
                <w:sz w:val="24"/>
                <w:highlight w:val="none"/>
              </w:rPr>
              <w:t>》可知：磴口县国土空间构建的城镇发展格局为：</w:t>
            </w:r>
            <w:r>
              <w:rPr>
                <w:rFonts w:hint="eastAsia"/>
                <w:color w:val="auto"/>
                <w:kern w:val="0"/>
                <w:sz w:val="24"/>
                <w:highlight w:val="none"/>
                <w:lang w:eastAsia="zh-CN"/>
              </w:rPr>
              <w:t>“</w:t>
            </w:r>
            <w:r>
              <w:rPr>
                <w:rFonts w:hint="eastAsia"/>
                <w:color w:val="auto"/>
                <w:kern w:val="0"/>
                <w:sz w:val="24"/>
                <w:highlight w:val="none"/>
              </w:rPr>
              <w:t>一核</w:t>
            </w:r>
            <w:r>
              <w:rPr>
                <w:rFonts w:hint="eastAsia"/>
                <w:color w:val="auto"/>
                <w:kern w:val="0"/>
                <w:sz w:val="24"/>
                <w:highlight w:val="none"/>
                <w:lang w:val="en-US" w:eastAsia="zh-CN"/>
              </w:rPr>
              <w:t>一带两</w:t>
            </w:r>
            <w:r>
              <w:rPr>
                <w:rFonts w:hint="eastAsia"/>
                <w:color w:val="auto"/>
                <w:kern w:val="0"/>
                <w:sz w:val="24"/>
                <w:highlight w:val="none"/>
              </w:rPr>
              <w:t>星多点</w:t>
            </w:r>
            <w:r>
              <w:rPr>
                <w:rFonts w:hint="eastAsia"/>
                <w:color w:val="auto"/>
                <w:kern w:val="0"/>
                <w:sz w:val="24"/>
                <w:highlight w:val="none"/>
                <w:lang w:eastAsia="zh-CN"/>
              </w:rPr>
              <w:t>”，</w:t>
            </w:r>
            <w:r>
              <w:rPr>
                <w:rFonts w:hint="eastAsia"/>
                <w:color w:val="auto"/>
                <w:kern w:val="0"/>
                <w:sz w:val="24"/>
                <w:highlight w:val="none"/>
                <w:lang w:val="en-US" w:eastAsia="zh-CN"/>
              </w:rPr>
              <w:t>一核指以县政府所在巴彦高勒镇和工业园区为依托的产业核心；一带指沿G110、X715、X723形成的村镇集中发展带；两星指围绕沙金套海苏木和隆盛合镇形成特色鲜明的重点发展镇；多点指渡口镇、补隆淖尔镇及各个农场形成的区域综合服务点</w:t>
            </w:r>
            <w:r>
              <w:rPr>
                <w:rFonts w:hint="eastAsia"/>
                <w:color w:val="auto"/>
                <w:kern w:val="0"/>
                <w:sz w:val="24"/>
                <w:highlight w:val="none"/>
              </w:rPr>
              <w:t>。</w:t>
            </w:r>
          </w:p>
          <w:p w14:paraId="588C7627">
            <w:pPr>
              <w:pStyle w:val="58"/>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left"/>
              <w:textAlignment w:val="auto"/>
              <w:rPr>
                <w:rFonts w:hint="eastAsia" w:ascii="Times New Roman" w:hAnsi="Times New Roman" w:eastAsia="宋体" w:cs="Times New Roman"/>
                <w:b w:val="0"/>
                <w:bCs/>
                <w:snapToGrid/>
                <w:color w:val="auto"/>
                <w:kern w:val="2"/>
                <w:szCs w:val="24"/>
                <w:highlight w:val="none"/>
                <w:lang w:val="en-US" w:eastAsia="zh-CN"/>
              </w:rPr>
            </w:pPr>
            <w:r>
              <w:rPr>
                <w:rFonts w:hint="eastAsia"/>
                <w:color w:val="auto"/>
                <w:kern w:val="0"/>
                <w:sz w:val="24"/>
                <w:highlight w:val="none"/>
              </w:rPr>
              <w:t>本项目位于</w:t>
            </w:r>
            <w:r>
              <w:rPr>
                <w:rFonts w:hint="eastAsia"/>
                <w:color w:val="auto"/>
                <w:kern w:val="0"/>
                <w:sz w:val="24"/>
                <w:highlight w:val="none"/>
                <w:lang w:val="en-US" w:eastAsia="zh-CN"/>
              </w:rPr>
              <w:t>磴口县巴彦高勒镇</w:t>
            </w:r>
            <w:r>
              <w:rPr>
                <w:rFonts w:hint="eastAsia" w:ascii="Times New Roman" w:hAnsi="Times New Roman" w:cs="Times New Roman"/>
                <w:color w:val="auto"/>
                <w:sz w:val="24"/>
                <w:highlight w:val="none"/>
                <w:lang w:val="en-US" w:eastAsia="zh-CN"/>
              </w:rPr>
              <w:t>上海佳格食品有限公司内蒙古分公司院内</w:t>
            </w:r>
            <w:r>
              <w:rPr>
                <w:rFonts w:hint="eastAsia"/>
                <w:color w:val="auto"/>
                <w:kern w:val="0"/>
                <w:sz w:val="24"/>
                <w:highlight w:val="none"/>
                <w:lang w:val="en-US" w:eastAsia="zh-CN"/>
              </w:rPr>
              <w:t>，根据规划第4章第1节城镇体系职能结构，磴口县巴彦高勒镇为“以绿色清洁能源、特色农副产品加工业为主导、具有鲜明河套地域文化特色和现代化景观风貌的生态旅游城市，蒙西地区重要的生态安全基地城市”的中心城镇。本项目为</w:t>
            </w:r>
            <w:r>
              <w:rPr>
                <w:rFonts w:hint="eastAsia"/>
                <w:color w:val="auto"/>
                <w:kern w:val="0"/>
                <w:sz w:val="24"/>
                <w:highlight w:val="none"/>
                <w:lang w:eastAsia="zh-CN"/>
              </w:rPr>
              <w:t>食用植物油加工</w:t>
            </w:r>
            <w:r>
              <w:rPr>
                <w:rFonts w:hint="eastAsia"/>
                <w:color w:val="auto"/>
                <w:kern w:val="0"/>
                <w:sz w:val="24"/>
                <w:highlight w:val="none"/>
              </w:rPr>
              <w:t>项目</w:t>
            </w:r>
            <w:r>
              <w:rPr>
                <w:rFonts w:hint="eastAsia"/>
                <w:color w:val="auto"/>
                <w:kern w:val="0"/>
                <w:sz w:val="24"/>
                <w:highlight w:val="none"/>
                <w:lang w:val="en-US" w:eastAsia="zh-CN"/>
              </w:rPr>
              <w:t>属于农副产品加工</w:t>
            </w:r>
            <w:r>
              <w:rPr>
                <w:rFonts w:hint="eastAsia"/>
                <w:color w:val="auto"/>
                <w:kern w:val="0"/>
                <w:sz w:val="24"/>
                <w:highlight w:val="none"/>
              </w:rPr>
              <w:t>，符合</w:t>
            </w:r>
            <w:r>
              <w:rPr>
                <w:rFonts w:hint="eastAsia"/>
                <w:color w:val="auto"/>
                <w:kern w:val="0"/>
                <w:sz w:val="24"/>
                <w:highlight w:val="none"/>
                <w:lang w:val="en-US" w:eastAsia="zh-CN"/>
              </w:rPr>
              <w:t>磴口县巴彦高勒镇以特色农副产品加工业为主导的城市生产格局</w:t>
            </w:r>
            <w:r>
              <w:rPr>
                <w:rFonts w:hint="eastAsia"/>
                <w:color w:val="auto"/>
                <w:kern w:val="0"/>
                <w:sz w:val="24"/>
                <w:highlight w:val="none"/>
              </w:rPr>
              <w:t>，</w:t>
            </w:r>
            <w:r>
              <w:rPr>
                <w:rFonts w:hint="eastAsia"/>
                <w:color w:val="auto"/>
                <w:kern w:val="0"/>
                <w:sz w:val="24"/>
                <w:highlight w:val="none"/>
                <w:lang w:val="en-US" w:eastAsia="zh-CN"/>
              </w:rPr>
              <w:t>故本项目</w:t>
            </w:r>
            <w:r>
              <w:rPr>
                <w:rFonts w:hint="eastAsia"/>
                <w:color w:val="auto"/>
                <w:kern w:val="0"/>
                <w:sz w:val="24"/>
                <w:highlight w:val="none"/>
              </w:rPr>
              <w:t>符合磴口县国土空间总体规划</w:t>
            </w:r>
            <w:r>
              <w:rPr>
                <w:rFonts w:hint="eastAsia"/>
                <w:color w:val="auto"/>
                <w:kern w:val="0"/>
                <w:sz w:val="24"/>
                <w:highlight w:val="none"/>
                <w:lang w:eastAsia="zh-CN"/>
              </w:rPr>
              <w:t>。</w:t>
            </w:r>
          </w:p>
        </w:tc>
      </w:tr>
      <w:tr w14:paraId="34431D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1361" w:type="dxa"/>
            <w:vAlign w:val="center"/>
          </w:tcPr>
          <w:p w14:paraId="551D2C25">
            <w:pPr>
              <w:autoSpaceDE w:val="0"/>
              <w:autoSpaceDN w:val="0"/>
              <w:adjustRightInd w:val="0"/>
              <w:snapToGrid w:val="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 w:val="24"/>
                <w:highlight w:val="none"/>
              </w:rPr>
              <w:t>其他符合性分析</w:t>
            </w:r>
          </w:p>
        </w:tc>
        <w:tc>
          <w:tcPr>
            <w:tcW w:w="8655" w:type="dxa"/>
            <w:gridSpan w:val="3"/>
            <w:vAlign w:val="center"/>
          </w:tcPr>
          <w:p w14:paraId="0E1AB888">
            <w:pPr>
              <w:keepNext w:val="0"/>
              <w:keepLines w:val="0"/>
              <w:pageBreakBefore w:val="0"/>
              <w:widowControl w:val="0"/>
              <w:kinsoku/>
              <w:wordWrap/>
              <w:overflowPunct/>
              <w:topLinePunct w:val="0"/>
              <w:autoSpaceDE w:val="0"/>
              <w:autoSpaceDN w:val="0"/>
              <w:bidi w:val="0"/>
              <w:adjustRightInd w:val="0"/>
              <w:snapToGrid w:val="0"/>
              <w:spacing w:before="120" w:beforeLines="50" w:line="440" w:lineRule="exact"/>
              <w:ind w:firstLine="482"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一</w:t>
            </w:r>
            <w:r>
              <w:rPr>
                <w:rFonts w:hint="default" w:ascii="Times New Roman" w:hAnsi="Times New Roman" w:eastAsia="宋体" w:cs="Times New Roman"/>
                <w:b/>
                <w:color w:val="auto"/>
                <w:sz w:val="24"/>
                <w:highlight w:val="none"/>
              </w:rPr>
              <w:t>、产业政策符合性分析</w:t>
            </w:r>
          </w:p>
          <w:p w14:paraId="3F27EC0D">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color w:val="auto"/>
                <w:sz w:val="24"/>
                <w:highlight w:val="none"/>
              </w:rPr>
            </w:pPr>
            <w:bookmarkStart w:id="4" w:name="_Hlk164067786"/>
            <w:r>
              <w:rPr>
                <w:rFonts w:hint="default" w:ascii="Times New Roman" w:hAnsi="Times New Roman" w:eastAsia="宋体" w:cs="Times New Roman"/>
                <w:color w:val="auto"/>
                <w:sz w:val="24"/>
                <w:highlight w:val="none"/>
              </w:rPr>
              <w:t>根据《国民经济行业分类》（GB/T 4754-2017）及修改单的（国统字</w:t>
            </w:r>
            <w:r>
              <w:rPr>
                <w:rFonts w:hint="eastAsia" w:cs="Times New Roman"/>
                <w:color w:val="auto"/>
                <w:sz w:val="24"/>
                <w:highlight w:val="none"/>
                <w:lang w:eastAsia="zh-CN"/>
              </w:rPr>
              <w:t>〔2019〕66号</w:t>
            </w:r>
            <w:r>
              <w:rPr>
                <w:rFonts w:hint="default" w:ascii="Times New Roman" w:hAnsi="Times New Roman" w:eastAsia="宋体" w:cs="Times New Roman"/>
                <w:color w:val="auto"/>
                <w:sz w:val="24"/>
                <w:highlight w:val="none"/>
              </w:rPr>
              <w:t>），本项目为</w:t>
            </w:r>
            <w:r>
              <w:rPr>
                <w:rFonts w:hint="eastAsia" w:cs="Times New Roman"/>
                <w:color w:val="auto"/>
                <w:kern w:val="2"/>
                <w:sz w:val="24"/>
                <w:szCs w:val="24"/>
                <w:highlight w:val="none"/>
                <w:lang w:val="en-US" w:eastAsia="zh-CN" w:bidi="ar-SA"/>
              </w:rPr>
              <w:t>C1331食用植物油加工</w:t>
            </w:r>
            <w:r>
              <w:rPr>
                <w:rFonts w:hint="default" w:ascii="Times New Roman" w:hAnsi="Times New Roman" w:eastAsia="宋体" w:cs="Times New Roman"/>
                <w:color w:val="auto"/>
                <w:sz w:val="24"/>
                <w:highlight w:val="none"/>
              </w:rPr>
              <w:t>。根据《产业结构调整指导目录（2024年本）》，本项目不属于鼓励类、限制类、淘汰类，为允许</w:t>
            </w:r>
            <w:r>
              <w:rPr>
                <w:rFonts w:hint="eastAsia" w:cs="Times New Roman"/>
                <w:color w:val="auto"/>
                <w:sz w:val="24"/>
                <w:highlight w:val="none"/>
                <w:lang w:val="en-US" w:eastAsia="zh-CN"/>
              </w:rPr>
              <w:t>建设</w:t>
            </w:r>
            <w:r>
              <w:rPr>
                <w:rFonts w:hint="default" w:ascii="Times New Roman" w:hAnsi="Times New Roman" w:eastAsia="宋体" w:cs="Times New Roman"/>
                <w:color w:val="auto"/>
                <w:sz w:val="24"/>
                <w:highlight w:val="none"/>
              </w:rPr>
              <w:t>项目，</w:t>
            </w:r>
            <w:r>
              <w:rPr>
                <w:rFonts w:hint="default" w:ascii="Times New Roman" w:hAnsi="Times New Roman" w:eastAsia="宋体" w:cs="Times New Roman"/>
                <w:color w:val="auto"/>
                <w:sz w:val="24"/>
                <w:highlight w:val="none"/>
                <w:lang w:val="en-US" w:eastAsia="zh-CN"/>
              </w:rPr>
              <w:t>且本项目已于20</w:t>
            </w:r>
            <w:r>
              <w:rPr>
                <w:rFonts w:hint="eastAsia" w:cs="Times New Roman"/>
                <w:color w:val="auto"/>
                <w:sz w:val="24"/>
                <w:highlight w:val="none"/>
                <w:lang w:val="en-US" w:eastAsia="zh-CN"/>
              </w:rPr>
              <w:t>25</w:t>
            </w:r>
            <w:r>
              <w:rPr>
                <w:rFonts w:hint="default" w:ascii="Times New Roman" w:hAnsi="Times New Roman" w:eastAsia="宋体" w:cs="Times New Roman"/>
                <w:color w:val="auto"/>
                <w:sz w:val="24"/>
                <w:highlight w:val="none"/>
                <w:lang w:val="en-US" w:eastAsia="zh-CN"/>
              </w:rPr>
              <w:t>年</w:t>
            </w:r>
            <w:r>
              <w:rPr>
                <w:rFonts w:hint="eastAsia"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月</w:t>
            </w:r>
            <w:r>
              <w:rPr>
                <w:rFonts w:hint="eastAsia" w:cs="Times New Roman"/>
                <w:color w:val="auto"/>
                <w:sz w:val="24"/>
                <w:highlight w:val="none"/>
                <w:lang w:val="en-US" w:eastAsia="zh-CN"/>
              </w:rPr>
              <w:t>26</w:t>
            </w:r>
            <w:r>
              <w:rPr>
                <w:rFonts w:hint="default" w:ascii="Times New Roman" w:hAnsi="Times New Roman" w:eastAsia="宋体" w:cs="Times New Roman"/>
                <w:color w:val="auto"/>
                <w:sz w:val="24"/>
                <w:highlight w:val="none"/>
                <w:lang w:val="en-US" w:eastAsia="zh-CN"/>
              </w:rPr>
              <w:t>日取得</w:t>
            </w:r>
            <w:r>
              <w:rPr>
                <w:rFonts w:hint="eastAsia" w:cs="Times New Roman"/>
                <w:color w:val="auto"/>
                <w:sz w:val="24"/>
                <w:highlight w:val="none"/>
                <w:lang w:val="en-US" w:eastAsia="zh-CN"/>
              </w:rPr>
              <w:t>磴口县</w:t>
            </w:r>
            <w:r>
              <w:rPr>
                <w:rFonts w:hint="default" w:ascii="Times New Roman" w:hAnsi="Times New Roman" w:eastAsia="宋体" w:cs="Times New Roman"/>
                <w:color w:val="auto"/>
                <w:sz w:val="24"/>
                <w:highlight w:val="none"/>
                <w:lang w:val="en-US" w:eastAsia="zh-CN"/>
              </w:rPr>
              <w:t>发展和改革委员会的项目备案告知书，项目代码：250</w:t>
            </w:r>
            <w:r>
              <w:rPr>
                <w:rFonts w:hint="eastAsia"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-150822-04-01-</w:t>
            </w:r>
            <w:r>
              <w:rPr>
                <w:rFonts w:hint="eastAsia" w:cs="Times New Roman"/>
                <w:color w:val="auto"/>
                <w:sz w:val="24"/>
                <w:highlight w:val="none"/>
                <w:lang w:val="en-US" w:eastAsia="zh-CN"/>
              </w:rPr>
              <w:t>188639</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符合国家有关法律、法规和政策规定。因此，项目建设符合国家产业政策的要求。</w:t>
            </w:r>
          </w:p>
          <w:bookmarkEnd w:id="4"/>
          <w:p w14:paraId="799794C6">
            <w:pPr>
              <w:keepNext w:val="0"/>
              <w:keepLines w:val="0"/>
              <w:pageBreakBefore w:val="0"/>
              <w:widowControl w:val="0"/>
              <w:kinsoku/>
              <w:wordWrap/>
              <w:overflowPunct/>
              <w:topLinePunct w:val="0"/>
              <w:autoSpaceDE w:val="0"/>
              <w:autoSpaceDN w:val="0"/>
              <w:bidi w:val="0"/>
              <w:adjustRightInd w:val="0"/>
              <w:snapToGrid w:val="0"/>
              <w:spacing w:line="440" w:lineRule="exact"/>
              <w:ind w:firstLine="482"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二</w:t>
            </w:r>
            <w:r>
              <w:rPr>
                <w:rFonts w:hint="default" w:ascii="Times New Roman" w:hAnsi="Times New Roman" w:eastAsia="宋体" w:cs="Times New Roman"/>
                <w:b/>
                <w:color w:val="auto"/>
                <w:sz w:val="24"/>
                <w:highlight w:val="none"/>
              </w:rPr>
              <w:t>、选址合理性分析</w:t>
            </w:r>
          </w:p>
          <w:p w14:paraId="011D575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kern w:val="0"/>
                <w:sz w:val="24"/>
                <w:highlight w:val="none"/>
              </w:rPr>
            </w:pPr>
            <w:bookmarkStart w:id="5" w:name="_Hlk164067812"/>
            <w:r>
              <w:rPr>
                <w:rFonts w:hint="default" w:ascii="Times New Roman" w:hAnsi="Times New Roman" w:eastAsia="宋体" w:cs="Times New Roman"/>
                <w:color w:val="auto"/>
                <w:kern w:val="0"/>
                <w:sz w:val="24"/>
                <w:highlight w:val="none"/>
              </w:rPr>
              <w:t>本项目位于</w:t>
            </w:r>
            <w:r>
              <w:rPr>
                <w:rFonts w:hint="default" w:ascii="Times New Roman" w:hAnsi="Times New Roman" w:eastAsia="宋体" w:cs="Times New Roman"/>
                <w:color w:val="auto"/>
                <w:kern w:val="0"/>
                <w:sz w:val="24"/>
                <w:highlight w:val="none"/>
                <w:lang w:val="en-US" w:eastAsia="zh-CN"/>
              </w:rPr>
              <w:t>内蒙古巴彦淖尔</w:t>
            </w:r>
            <w:r>
              <w:rPr>
                <w:rFonts w:hint="eastAsia" w:cs="Times New Roman"/>
                <w:color w:val="auto"/>
                <w:kern w:val="0"/>
                <w:sz w:val="24"/>
                <w:highlight w:val="none"/>
                <w:lang w:val="en-US" w:eastAsia="zh-CN"/>
              </w:rPr>
              <w:t>市磴口县巴彦高勒镇</w:t>
            </w:r>
            <w:r>
              <w:rPr>
                <w:rFonts w:hint="default" w:ascii="Times New Roman" w:hAnsi="Times New Roman" w:eastAsia="宋体" w:cs="Times New Roman"/>
                <w:color w:val="auto"/>
                <w:kern w:val="0"/>
                <w:sz w:val="24"/>
                <w:highlight w:val="none"/>
                <w:lang w:val="en-US" w:eastAsia="zh-CN"/>
              </w:rPr>
              <w:t>上海佳格食品有限公司内蒙古分公司院内</w:t>
            </w:r>
            <w:r>
              <w:rPr>
                <w:rFonts w:hint="eastAsia" w:cs="Times New Roman"/>
                <w:color w:val="auto"/>
                <w:kern w:val="0"/>
                <w:sz w:val="24"/>
                <w:highlight w:val="none"/>
                <w:lang w:val="en-US" w:eastAsia="zh-CN"/>
              </w:rPr>
              <w:t>（生产车间为上海佳格食品有限公司内蒙古分公司院内原有库房改造的车间未新增占地）</w:t>
            </w:r>
            <w:r>
              <w:rPr>
                <w:rFonts w:hint="default" w:ascii="Times New Roman" w:hAnsi="Times New Roman" w:eastAsia="宋体" w:cs="Times New Roman"/>
                <w:color w:val="auto"/>
                <w:kern w:val="0"/>
                <w:sz w:val="24"/>
                <w:highlight w:val="none"/>
                <w:lang w:val="en-US" w:eastAsia="zh-CN"/>
              </w:rPr>
              <w:t>，根据《巴彦淖尔市磴口县国土空间总体规划（2021—2035年）》本项目为</w:t>
            </w:r>
            <w:r>
              <w:rPr>
                <w:rFonts w:hint="default" w:ascii="Times New Roman" w:hAnsi="Times New Roman" w:eastAsia="宋体" w:cs="Times New Roman"/>
                <w:color w:val="auto"/>
                <w:kern w:val="0"/>
                <w:sz w:val="24"/>
                <w:highlight w:val="none"/>
                <w:lang w:eastAsia="zh-CN"/>
              </w:rPr>
              <w:t>食用植物油加工</w:t>
            </w:r>
            <w:r>
              <w:rPr>
                <w:rFonts w:hint="default" w:ascii="Times New Roman" w:hAnsi="Times New Roman" w:eastAsia="宋体" w:cs="Times New Roman"/>
                <w:color w:val="auto"/>
                <w:kern w:val="0"/>
                <w:sz w:val="24"/>
                <w:highlight w:val="none"/>
              </w:rPr>
              <w:t>项目</w:t>
            </w:r>
            <w:r>
              <w:rPr>
                <w:rFonts w:hint="default" w:ascii="Times New Roman" w:hAnsi="Times New Roman" w:eastAsia="宋体" w:cs="Times New Roman"/>
                <w:color w:val="auto"/>
                <w:kern w:val="0"/>
                <w:sz w:val="24"/>
                <w:highlight w:val="none"/>
                <w:lang w:val="en-US" w:eastAsia="zh-CN"/>
              </w:rPr>
              <w:t>属于农副产品加工</w:t>
            </w:r>
            <w:r>
              <w:rPr>
                <w:rFonts w:hint="default" w:ascii="Times New Roman" w:hAnsi="Times New Roman" w:eastAsia="宋体" w:cs="Times New Roman"/>
                <w:color w:val="auto"/>
                <w:kern w:val="0"/>
                <w:sz w:val="24"/>
                <w:highlight w:val="none"/>
              </w:rPr>
              <w:t>，符合</w:t>
            </w:r>
            <w:r>
              <w:rPr>
                <w:rFonts w:hint="default" w:ascii="Times New Roman" w:hAnsi="Times New Roman" w:eastAsia="宋体" w:cs="Times New Roman"/>
                <w:color w:val="auto"/>
                <w:kern w:val="0"/>
                <w:sz w:val="24"/>
                <w:highlight w:val="none"/>
                <w:lang w:val="en-US" w:eastAsia="zh-CN"/>
              </w:rPr>
              <w:t>磴口县巴彦高勒镇以特色农副产品加工业为主导的城市生产格局</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lang w:val="en-US" w:eastAsia="zh-CN"/>
              </w:rPr>
              <w:t>故本项目</w:t>
            </w:r>
            <w:r>
              <w:rPr>
                <w:rFonts w:hint="default" w:ascii="Times New Roman" w:hAnsi="Times New Roman" w:eastAsia="宋体" w:cs="Times New Roman"/>
                <w:color w:val="auto"/>
                <w:kern w:val="0"/>
                <w:sz w:val="24"/>
                <w:highlight w:val="none"/>
              </w:rPr>
              <w:t>符合磴口县国土空间总体规划</w:t>
            </w:r>
            <w:r>
              <w:rPr>
                <w:rFonts w:hint="default" w:ascii="Times New Roman" w:hAnsi="Times New Roman" w:eastAsia="宋体" w:cs="Times New Roman"/>
                <w:color w:val="auto"/>
                <w:kern w:val="0"/>
                <w:sz w:val="24"/>
                <w:highlight w:val="none"/>
                <w:lang w:eastAsia="zh-CN"/>
              </w:rPr>
              <w:t>。</w:t>
            </w:r>
            <w:r>
              <w:rPr>
                <w:rFonts w:hint="eastAsia"/>
                <w:color w:val="auto"/>
                <w:kern w:val="0"/>
                <w:sz w:val="24"/>
                <w:highlight w:val="none"/>
                <w:lang w:val="en-US" w:eastAsia="zh-CN"/>
              </w:rPr>
              <w:t>厂区西邻贺兰路，东临巴音路，南邻利民路，北侧为多力葵花研发基地，邻迎宾路，</w:t>
            </w:r>
            <w:r>
              <w:rPr>
                <w:rFonts w:hint="default" w:ascii="Times New Roman" w:hAnsi="Times New Roman" w:eastAsia="宋体" w:cs="Times New Roman"/>
                <w:color w:val="auto"/>
                <w:kern w:val="0"/>
                <w:sz w:val="24"/>
                <w:highlight w:val="none"/>
              </w:rPr>
              <w:t>项目所在区域及周围无自然保护区，无风景名胜区，无珍稀保护动植物，不在生态保护红线范围内。综上所述，项目的选址合理。</w:t>
            </w:r>
          </w:p>
          <w:bookmarkEnd w:id="5"/>
          <w:p w14:paraId="11F18176">
            <w:pPr>
              <w:keepNext w:val="0"/>
              <w:keepLines w:val="0"/>
              <w:pageBreakBefore w:val="0"/>
              <w:widowControl w:val="0"/>
              <w:kinsoku/>
              <w:wordWrap/>
              <w:overflowPunct/>
              <w:topLinePunct w:val="0"/>
              <w:autoSpaceDE w:val="0"/>
              <w:autoSpaceDN w:val="0"/>
              <w:bidi w:val="0"/>
              <w:adjustRightInd w:val="0"/>
              <w:snapToGrid w:val="0"/>
              <w:spacing w:line="440" w:lineRule="exact"/>
              <w:ind w:firstLine="482" w:firstLineChars="200"/>
              <w:textAlignment w:val="auto"/>
              <w:rPr>
                <w:rFonts w:hint="default" w:ascii="Times New Roman" w:hAnsi="Times New Roman" w:eastAsia="宋体" w:cs="Times New Roman"/>
                <w:b/>
                <w:color w:val="auto"/>
                <w:sz w:val="24"/>
                <w:highlight w:val="none"/>
              </w:rPr>
            </w:pPr>
            <w:r>
              <w:rPr>
                <w:rFonts w:hint="eastAsia" w:cs="Times New Roman"/>
                <w:b/>
                <w:color w:val="auto"/>
                <w:sz w:val="24"/>
                <w:highlight w:val="none"/>
                <w:lang w:val="en-US" w:eastAsia="zh-CN"/>
              </w:rPr>
              <w:t>三</w:t>
            </w:r>
            <w:r>
              <w:rPr>
                <w:rFonts w:hint="default" w:ascii="Times New Roman" w:hAnsi="Times New Roman" w:eastAsia="宋体" w:cs="Times New Roman"/>
                <w:b/>
                <w:color w:val="auto"/>
                <w:sz w:val="24"/>
                <w:highlight w:val="none"/>
              </w:rPr>
              <w:t>、</w:t>
            </w:r>
            <w:r>
              <w:rPr>
                <w:rFonts w:hint="default" w:ascii="Times New Roman" w:hAnsi="Times New Roman" w:eastAsia="宋体" w:cs="Times New Roman"/>
                <w:b/>
                <w:color w:val="auto"/>
                <w:sz w:val="24"/>
                <w:highlight w:val="none"/>
                <w:lang w:val="en-US" w:eastAsia="zh-CN"/>
              </w:rPr>
              <w:t>生态环境分区管控</w:t>
            </w:r>
            <w:r>
              <w:rPr>
                <w:rFonts w:hint="eastAsia" w:cs="Times New Roman"/>
                <w:b/>
                <w:color w:val="auto"/>
                <w:sz w:val="24"/>
                <w:highlight w:val="none"/>
                <w:lang w:val="en-US" w:eastAsia="zh-CN"/>
              </w:rPr>
              <w:t>要求</w:t>
            </w:r>
            <w:r>
              <w:rPr>
                <w:rFonts w:hint="default" w:ascii="Times New Roman" w:hAnsi="Times New Roman" w:eastAsia="宋体" w:cs="Times New Roman"/>
                <w:b/>
                <w:color w:val="auto"/>
                <w:sz w:val="24"/>
                <w:highlight w:val="none"/>
              </w:rPr>
              <w:t>相符性分析</w:t>
            </w:r>
          </w:p>
          <w:p w14:paraId="696B9031">
            <w:pPr>
              <w:keepNext w:val="0"/>
              <w:keepLines w:val="0"/>
              <w:pageBreakBefore w:val="0"/>
              <w:widowControl w:val="0"/>
              <w:kinsoku/>
              <w:wordWrap/>
              <w:overflowPunct/>
              <w:topLinePunct w:val="0"/>
              <w:bidi w:val="0"/>
              <w:spacing w:line="440" w:lineRule="exact"/>
              <w:ind w:firstLine="482"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rPr>
              <w:t>生态保护红线</w:t>
            </w:r>
          </w:p>
          <w:p w14:paraId="5DC13837">
            <w:pPr>
              <w:pStyle w:val="54"/>
              <w:keepNext w:val="0"/>
              <w:keepLines w:val="0"/>
              <w:pageBreakBefore w:val="0"/>
              <w:widowControl w:val="0"/>
              <w:kinsoku/>
              <w:wordWrap/>
              <w:overflowPunct/>
              <w:topLinePunct w:val="0"/>
              <w:autoSpaceDE/>
              <w:autoSpaceDN/>
              <w:bidi w:val="0"/>
              <w:adjustRightInd/>
              <w:snapToGrid/>
              <w:spacing w:line="440" w:lineRule="exact"/>
              <w:ind w:left="18" w:firstLine="472"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2"/>
                <w:sz w:val="24"/>
                <w:szCs w:val="24"/>
                <w:highlight w:val="none"/>
              </w:rPr>
              <w:t>根据巴彦淖尔市人民政府《关于巴彦淖尔市</w:t>
            </w:r>
            <w:r>
              <w:rPr>
                <w:rFonts w:hint="default" w:ascii="Times New Roman" w:hAnsi="Times New Roman" w:eastAsia="宋体" w:cs="Times New Roman"/>
                <w:color w:val="auto"/>
                <w:spacing w:val="-42"/>
                <w:sz w:val="24"/>
                <w:szCs w:val="24"/>
                <w:highlight w:val="none"/>
              </w:rPr>
              <w:t xml:space="preserve"> </w:t>
            </w:r>
            <w:r>
              <w:rPr>
                <w:rFonts w:hint="default" w:ascii="Times New Roman" w:hAnsi="Times New Roman" w:eastAsia="宋体" w:cs="Times New Roman"/>
                <w:color w:val="auto"/>
                <w:spacing w:val="-2"/>
                <w:sz w:val="24"/>
                <w:szCs w:val="24"/>
                <w:highlight w:val="none"/>
              </w:rPr>
              <w:t>2023 年生态环境分区</w:t>
            </w:r>
            <w:r>
              <w:rPr>
                <w:rFonts w:hint="default" w:ascii="Times New Roman" w:hAnsi="Times New Roman" w:eastAsia="宋体" w:cs="Times New Roman"/>
                <w:color w:val="auto"/>
                <w:spacing w:val="-4"/>
                <w:sz w:val="24"/>
                <w:szCs w:val="24"/>
                <w:highlight w:val="none"/>
              </w:rPr>
              <w:t>管控成果动态更新情况的通知》（巴政发〔2023〕106号</w:t>
            </w:r>
            <w:r>
              <w:rPr>
                <w:rFonts w:hint="default" w:ascii="Times New Roman" w:hAnsi="Times New Roman" w:eastAsia="宋体" w:cs="Times New Roman"/>
                <w:color w:val="auto"/>
                <w:sz w:val="24"/>
                <w:szCs w:val="24"/>
                <w:highlight w:val="none"/>
              </w:rPr>
              <w:t>）</w:t>
            </w:r>
            <w:r>
              <w:rPr>
                <w:rFonts w:hint="eastAsia" w:ascii="Times New Roman" w:hAnsi="Times New Roman" w:cs="Times New Roman"/>
                <w:b w:val="0"/>
                <w:bCs/>
                <w:color w:val="auto"/>
                <w:sz w:val="24"/>
                <w:szCs w:val="24"/>
                <w:highlight w:val="none"/>
                <w:lang w:val="en-US" w:eastAsia="zh-CN"/>
              </w:rPr>
              <w:t>及</w:t>
            </w:r>
            <w:r>
              <w:rPr>
                <w:rFonts w:hint="eastAsia" w:ascii="Times New Roman" w:hAnsi="Times New Roman" w:eastAsia="宋体" w:cs="Times New Roman"/>
                <w:b w:val="0"/>
                <w:bCs/>
                <w:color w:val="auto"/>
                <w:sz w:val="24"/>
                <w:szCs w:val="24"/>
                <w:highlight w:val="none"/>
              </w:rPr>
              <w:t>内蒙古自治区</w:t>
            </w:r>
            <w:r>
              <w:rPr>
                <w:rFonts w:hint="eastAsia" w:ascii="Times New Roman" w:hAnsi="Times New Roman"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rPr>
              <w:t>三线一单</w:t>
            </w:r>
            <w:r>
              <w:rPr>
                <w:rFonts w:hint="eastAsia" w:ascii="Times New Roman" w:hAnsi="Times New Roman"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rPr>
              <w:t>公众端应用平台</w:t>
            </w:r>
            <w:r>
              <w:rPr>
                <w:rFonts w:hint="eastAsia" w:ascii="Times New Roman" w:hAnsi="Times New Roman" w:cs="Times New Roman"/>
                <w:color w:val="auto"/>
                <w:sz w:val="24"/>
                <w:szCs w:val="24"/>
                <w:highlight w:val="none"/>
                <w:lang w:val="en-US" w:eastAsia="zh-CN"/>
              </w:rPr>
              <w:t>查询结果，</w:t>
            </w:r>
            <w:r>
              <w:rPr>
                <w:rFonts w:hint="default" w:ascii="Times New Roman" w:hAnsi="Times New Roman" w:eastAsia="宋体" w:cs="Times New Roman"/>
                <w:color w:val="auto"/>
                <w:sz w:val="24"/>
                <w:szCs w:val="24"/>
                <w:highlight w:val="none"/>
              </w:rPr>
              <w:t>本项目位于</w:t>
            </w:r>
            <w:r>
              <w:rPr>
                <w:rFonts w:hint="eastAsia" w:cs="Times New Roman"/>
                <w:color w:val="auto"/>
                <w:sz w:val="24"/>
                <w:szCs w:val="24"/>
                <w:highlight w:val="none"/>
                <w:lang w:eastAsia="zh-CN"/>
              </w:rPr>
              <w:t>“</w:t>
            </w:r>
            <w:r>
              <w:rPr>
                <w:rFonts w:hint="eastAsia" w:ascii="Times New Roman" w:hAnsi="Times New Roman" w:cs="Times New Roman"/>
                <w:color w:val="auto"/>
                <w:sz w:val="24"/>
                <w:szCs w:val="24"/>
                <w:highlight w:val="none"/>
                <w:lang w:eastAsia="zh-CN"/>
              </w:rPr>
              <w:t>磴口县城镇空间</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管控单元</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pacing w:val="-5"/>
                <w:sz w:val="24"/>
                <w:szCs w:val="24"/>
                <w:highlight w:val="none"/>
              </w:rPr>
              <w:t>根据</w:t>
            </w:r>
            <w:r>
              <w:rPr>
                <w:rFonts w:hint="default" w:ascii="Times New Roman" w:hAnsi="Times New Roman" w:eastAsia="宋体" w:cs="Times New Roman"/>
                <w:color w:val="auto"/>
                <w:spacing w:val="-5"/>
                <w:sz w:val="24"/>
                <w:szCs w:val="24"/>
                <w:highlight w:val="none"/>
                <w:lang w:val="en-US" w:eastAsia="zh-CN"/>
              </w:rPr>
              <w:t>本项目与</w:t>
            </w:r>
            <w:r>
              <w:rPr>
                <w:rFonts w:hint="eastAsia" w:ascii="Times New Roman" w:hAnsi="Times New Roman" w:cs="Times New Roman"/>
                <w:color w:val="auto"/>
                <w:spacing w:val="-5"/>
                <w:sz w:val="24"/>
                <w:szCs w:val="24"/>
                <w:highlight w:val="none"/>
                <w:lang w:val="en-US" w:eastAsia="zh-CN"/>
              </w:rPr>
              <w:t>生态环境分区管控</w:t>
            </w:r>
            <w:r>
              <w:rPr>
                <w:rFonts w:hint="default" w:ascii="Times New Roman" w:hAnsi="Times New Roman" w:eastAsia="宋体" w:cs="Times New Roman"/>
                <w:color w:val="auto"/>
                <w:spacing w:val="-5"/>
                <w:sz w:val="24"/>
                <w:szCs w:val="24"/>
                <w:highlight w:val="none"/>
                <w:lang w:val="en-US" w:eastAsia="zh-CN"/>
              </w:rPr>
              <w:t>位置关系</w:t>
            </w:r>
            <w:r>
              <w:rPr>
                <w:rFonts w:hint="default" w:ascii="Times New Roman" w:hAnsi="Times New Roman" w:eastAsia="宋体" w:cs="Times New Roman"/>
                <w:color w:val="auto"/>
                <w:spacing w:val="-5"/>
                <w:sz w:val="24"/>
                <w:szCs w:val="24"/>
                <w:highlight w:val="none"/>
              </w:rPr>
              <w:t>图</w:t>
            </w:r>
            <w:r>
              <w:rPr>
                <w:rFonts w:hint="default" w:ascii="Times New Roman" w:hAnsi="Times New Roman" w:eastAsia="宋体" w:cs="Times New Roman"/>
                <w:color w:val="auto"/>
                <w:spacing w:val="-6"/>
                <w:sz w:val="24"/>
                <w:szCs w:val="24"/>
                <w:highlight w:val="none"/>
              </w:rPr>
              <w:t>（图</w:t>
            </w:r>
            <w:r>
              <w:rPr>
                <w:rFonts w:hint="default" w:ascii="Times New Roman" w:hAnsi="Times New Roman" w:eastAsia="宋体" w:cs="Times New Roman"/>
                <w:color w:val="auto"/>
                <w:spacing w:val="-34"/>
                <w:sz w:val="24"/>
                <w:szCs w:val="24"/>
                <w:highlight w:val="none"/>
              </w:rPr>
              <w:t xml:space="preserve"> </w:t>
            </w:r>
            <w:r>
              <w:rPr>
                <w:rFonts w:hint="default" w:ascii="Times New Roman" w:hAnsi="Times New Roman" w:eastAsia="宋体" w:cs="Times New Roman"/>
                <w:color w:val="auto"/>
                <w:spacing w:val="-6"/>
                <w:sz w:val="24"/>
                <w:szCs w:val="24"/>
                <w:highlight w:val="none"/>
              </w:rPr>
              <w:t>1-1</w:t>
            </w:r>
            <w:r>
              <w:rPr>
                <w:rFonts w:hint="default" w:ascii="Times New Roman" w:hAnsi="Times New Roman" w:eastAsia="宋体" w:cs="Times New Roman"/>
                <w:color w:val="auto"/>
                <w:spacing w:val="-4"/>
                <w:sz w:val="24"/>
                <w:szCs w:val="24"/>
                <w:highlight w:val="none"/>
              </w:rPr>
              <w:t>），</w:t>
            </w:r>
            <w:r>
              <w:rPr>
                <w:rFonts w:hint="default" w:ascii="Times New Roman" w:hAnsi="Times New Roman" w:eastAsia="宋体" w:cs="Times New Roman"/>
                <w:color w:val="auto"/>
                <w:spacing w:val="-6"/>
                <w:sz w:val="24"/>
                <w:szCs w:val="24"/>
                <w:highlight w:val="none"/>
              </w:rPr>
              <w:t>本项目位置不在生态保护红线范围内，</w:t>
            </w:r>
            <w:r>
              <w:rPr>
                <w:rFonts w:hint="default" w:ascii="Times New Roman" w:hAnsi="Times New Roman" w:eastAsia="宋体" w:cs="Times New Roman"/>
                <w:color w:val="auto"/>
                <w:sz w:val="24"/>
                <w:szCs w:val="24"/>
                <w:highlight w:val="none"/>
              </w:rPr>
              <w:t>属于重点管控单元，</w:t>
            </w:r>
            <w:r>
              <w:rPr>
                <w:rFonts w:hint="default" w:ascii="Times New Roman" w:hAnsi="Times New Roman" w:eastAsia="宋体" w:cs="Times New Roman"/>
                <w:color w:val="auto"/>
                <w:spacing w:val="-2"/>
                <w:sz w:val="24"/>
                <w:szCs w:val="24"/>
                <w:highlight w:val="none"/>
              </w:rPr>
              <w:t>不涉及生态保护红</w:t>
            </w:r>
            <w:r>
              <w:rPr>
                <w:rFonts w:hint="default" w:ascii="Times New Roman" w:hAnsi="Times New Roman" w:eastAsia="宋体" w:cs="Times New Roman"/>
                <w:color w:val="auto"/>
                <w:spacing w:val="-4"/>
                <w:sz w:val="24"/>
                <w:szCs w:val="24"/>
                <w:highlight w:val="none"/>
              </w:rPr>
              <w:t>线</w:t>
            </w:r>
            <w:r>
              <w:rPr>
                <w:rFonts w:hint="eastAsia" w:ascii="Times New Roman" w:hAnsi="Times New Roman" w:cs="Times New Roman"/>
                <w:color w:val="auto"/>
                <w:spacing w:val="-4"/>
                <w:sz w:val="24"/>
                <w:szCs w:val="24"/>
                <w:highlight w:val="none"/>
                <w:lang w:eastAsia="zh-CN"/>
              </w:rPr>
              <w:t>、</w:t>
            </w:r>
            <w:r>
              <w:rPr>
                <w:rFonts w:hint="eastAsia" w:ascii="Times New Roman" w:hAnsi="Times New Roman" w:cs="Times New Roman"/>
                <w:color w:val="auto"/>
                <w:spacing w:val="-4"/>
                <w:sz w:val="24"/>
                <w:szCs w:val="24"/>
                <w:highlight w:val="none"/>
                <w:lang w:val="en-US" w:eastAsia="zh-CN"/>
              </w:rPr>
              <w:t>本项目生产不涉及矿产资源开采</w:t>
            </w:r>
            <w:r>
              <w:rPr>
                <w:rFonts w:hint="default" w:ascii="Times New Roman" w:hAnsi="Times New Roman" w:eastAsia="宋体" w:cs="Times New Roman"/>
                <w:color w:val="auto"/>
                <w:spacing w:val="-1"/>
                <w:sz w:val="24"/>
                <w:szCs w:val="24"/>
                <w:highlight w:val="none"/>
              </w:rPr>
              <w:t>。</w:t>
            </w:r>
          </w:p>
          <w:p w14:paraId="424346EC">
            <w:pPr>
              <w:pStyle w:val="54"/>
              <w:keepNext w:val="0"/>
              <w:keepLines w:val="0"/>
              <w:pageBreakBefore w:val="0"/>
              <w:widowControl w:val="0"/>
              <w:kinsoku/>
              <w:wordWrap/>
              <w:overflowPunct/>
              <w:topLinePunct w:val="0"/>
              <w:bidi w:val="0"/>
              <w:spacing w:before="176" w:line="227" w:lineRule="auto"/>
              <w:jc w:val="center"/>
              <w:textAlignment w:val="auto"/>
              <w:rPr>
                <w:rFonts w:hint="default" w:ascii="Times New Roman" w:hAnsi="Times New Roman" w:eastAsia="宋体" w:cs="Times New Roman"/>
                <w:b/>
                <w:bCs/>
                <w:color w:val="auto"/>
                <w:spacing w:val="4"/>
                <w:sz w:val="24"/>
                <w:szCs w:val="24"/>
                <w:highlight w:val="none"/>
                <w:lang w:val="en-US" w:eastAsia="zh-CN"/>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2336" behindDoc="0" locked="0" layoutInCell="1" allowOverlap="1">
                      <wp:simplePos x="0" y="0"/>
                      <wp:positionH relativeFrom="column">
                        <wp:posOffset>2526665</wp:posOffset>
                      </wp:positionH>
                      <wp:positionV relativeFrom="paragraph">
                        <wp:posOffset>911860</wp:posOffset>
                      </wp:positionV>
                      <wp:extent cx="733425" cy="275590"/>
                      <wp:effectExtent l="99695" t="6350" r="24130" b="289560"/>
                      <wp:wrapNone/>
                      <wp:docPr id="13" name="矩形标注 13"/>
                      <wp:cNvGraphicFramePr/>
                      <a:graphic xmlns:a="http://schemas.openxmlformats.org/drawingml/2006/main">
                        <a:graphicData uri="http://schemas.microsoft.com/office/word/2010/wordprocessingShape">
                          <wps:wsp>
                            <wps:cNvSpPr/>
                            <wps:spPr>
                              <a:xfrm>
                                <a:off x="4002405" y="7540625"/>
                                <a:ext cx="733425" cy="275590"/>
                              </a:xfrm>
                              <a:prstGeom prst="wedgeRectCallout">
                                <a:avLst>
                                  <a:gd name="adj1" fmla="val -59696"/>
                                  <a:gd name="adj2" fmla="val 14285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E7FEEE7">
                                  <w:pPr>
                                    <w:jc w:val="cente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8.95pt;margin-top:71.8pt;height:21.7pt;width:57.75pt;z-index:251662336;v-text-anchor:middle;mso-width-relative:page;mso-height-relative:page;" fillcolor="#FFFFFF [3212]" filled="t" stroked="t" coordsize="21600,21600" o:gfxdata="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iPvKG9oAAAALAQAADwAAAAAA&#10;AAABACAAAAAiAAAAZHJzL2Rvd25yZXYueG1sUEsBAhQAFAAAAAgAh07iQN8EdtO8AgAAcQUAAA4A&#10;AAAAAAAAAQAgAAAAKQEAAGRycy9lMm9Eb2MueG1sUEsFBgAAAAAGAAYAWQEAAFcGAAAAAA==&#10;" adj="-2094,41657">
                      <v:fill on="t" focussize="0,0"/>
                      <v:stroke weight="1pt" color="#000000 [3213]" miterlimit="8" joinstyle="miter"/>
                      <v:imagedata o:title=""/>
                      <o:lock v:ext="edit" aspectratio="f"/>
                      <v:textbox>
                        <w:txbxContent>
                          <w:p w14:paraId="4E7FEEE7">
                            <w:pPr>
                              <w:jc w:val="cente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v:textbox>
                    </v:shape>
                  </w:pict>
                </mc:Fallback>
              </mc:AlternateContent>
            </w:r>
            <w:r>
              <w:rPr>
                <w:color w:val="auto"/>
                <w:sz w:val="24"/>
                <w:highlight w:val="none"/>
              </w:rPr>
              <mc:AlternateContent>
                <mc:Choice Requires="wps">
                  <w:drawing>
                    <wp:anchor distT="0" distB="0" distL="114300" distR="114300" simplePos="0" relativeHeight="251664384" behindDoc="0" locked="0" layoutInCell="1" allowOverlap="1">
                      <wp:simplePos x="0" y="0"/>
                      <wp:positionH relativeFrom="column">
                        <wp:posOffset>2315845</wp:posOffset>
                      </wp:positionH>
                      <wp:positionV relativeFrom="paragraph">
                        <wp:posOffset>1397000</wp:posOffset>
                      </wp:positionV>
                      <wp:extent cx="219075" cy="180975"/>
                      <wp:effectExtent l="19050" t="19050" r="28575" b="28575"/>
                      <wp:wrapNone/>
                      <wp:docPr id="12" name="椭圆 12"/>
                      <wp:cNvGraphicFramePr/>
                      <a:graphic xmlns:a="http://schemas.openxmlformats.org/drawingml/2006/main">
                        <a:graphicData uri="http://schemas.microsoft.com/office/word/2010/wordprocessingShape">
                          <wps:wsp>
                            <wps:cNvSpPr/>
                            <wps:spPr>
                              <a:xfrm>
                                <a:off x="4182110" y="1911985"/>
                                <a:ext cx="219075" cy="180975"/>
                              </a:xfrm>
                              <a:prstGeom prst="ellipse">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2.35pt;margin-top:110pt;height:14.25pt;width:17.25pt;z-index:251664384;v-text-anchor:middle;mso-width-relative:page;mso-height-relative:page;" filled="f" stroked="t" coordsize="21600,21600" o:gfxdata="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JkL822AAAAAsBAAAPAAAAAAAAAAEAIAAAACIAAABk&#10;cnMvZG93bnJldi54bWxQSwECFAAUAAAACACHTuJAAcrqnXgCAADbBAAADgAAAAAAAAABACAAAAAn&#10;AQAAZHJzL2Uyb0RvYy54bWxQSwUGAAAAAAYABgBZAQAAEQYAAAAA&#10;">
                      <v:fill on="f" focussize="0,0"/>
                      <v:stroke weight="3pt" color="#FF0000 [2404]"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w:drawing>
                <wp:inline distT="0" distB="0" distL="114300" distR="114300">
                  <wp:extent cx="5343525" cy="2657475"/>
                  <wp:effectExtent l="0" t="0" r="9525" b="9525"/>
                  <wp:docPr id="43" name="图片 43" descr="ab38ca9a7027ca7e6672bb5da926b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ab38ca9a7027ca7e6672bb5da926b982"/>
                          <pic:cNvPicPr>
                            <a:picLocks noChangeAspect="1"/>
                          </pic:cNvPicPr>
                        </pic:nvPicPr>
                        <pic:blipFill>
                          <a:blip r:embed="rId8"/>
                          <a:stretch>
                            <a:fillRect/>
                          </a:stretch>
                        </pic:blipFill>
                        <pic:spPr>
                          <a:xfrm>
                            <a:off x="0" y="0"/>
                            <a:ext cx="5343525" cy="2657475"/>
                          </a:xfrm>
                          <a:prstGeom prst="rect">
                            <a:avLst/>
                          </a:prstGeom>
                        </pic:spPr>
                      </pic:pic>
                    </a:graphicData>
                  </a:graphic>
                </wp:inline>
              </w:drawing>
            </w:r>
            <w:r>
              <w:rPr>
                <w:rFonts w:hint="default" w:ascii="Times New Roman" w:hAnsi="Times New Roman" w:eastAsia="宋体" w:cs="Times New Roman"/>
                <w:b/>
                <w:bCs/>
                <w:color w:val="auto"/>
                <w:spacing w:val="4"/>
                <w:sz w:val="24"/>
                <w:szCs w:val="24"/>
                <w:highlight w:val="none"/>
                <w:lang w:eastAsia="zh-CN"/>
              </w:rPr>
              <w:br w:type="textWrapping"/>
            </w:r>
            <w:r>
              <w:rPr>
                <w:rFonts w:hint="default" w:ascii="Times New Roman" w:hAnsi="Times New Roman" w:eastAsia="宋体" w:cs="Times New Roman"/>
                <w:b/>
                <w:bCs/>
                <w:color w:val="auto"/>
                <w:spacing w:val="5"/>
                <w:sz w:val="24"/>
                <w:szCs w:val="24"/>
                <w:highlight w:val="none"/>
              </w:rPr>
              <w:t>图1</w:t>
            </w:r>
            <w:r>
              <w:rPr>
                <w:rFonts w:hint="eastAsia" w:ascii="Times New Roman" w:hAnsi="Times New Roman" w:cs="Times New Roman"/>
                <w:b/>
                <w:bCs/>
                <w:color w:val="auto"/>
                <w:spacing w:val="5"/>
                <w:sz w:val="24"/>
                <w:szCs w:val="24"/>
                <w:highlight w:val="none"/>
                <w:lang w:val="en-US" w:eastAsia="zh-CN"/>
              </w:rPr>
              <w:t>-1</w:t>
            </w:r>
            <w:r>
              <w:rPr>
                <w:rFonts w:hint="default" w:ascii="Times New Roman" w:hAnsi="Times New Roman" w:eastAsia="宋体" w:cs="Times New Roman"/>
                <w:b/>
                <w:bCs/>
                <w:color w:val="auto"/>
                <w:spacing w:val="5"/>
                <w:sz w:val="24"/>
                <w:szCs w:val="24"/>
                <w:highlight w:val="none"/>
              </w:rPr>
              <w:t xml:space="preserve"> 本项目</w:t>
            </w:r>
            <w:r>
              <w:rPr>
                <w:rFonts w:hint="default" w:ascii="Times New Roman" w:hAnsi="Times New Roman" w:eastAsia="宋体" w:cs="Times New Roman"/>
                <w:b/>
                <w:bCs/>
                <w:color w:val="auto"/>
                <w:spacing w:val="5"/>
                <w:sz w:val="24"/>
                <w:szCs w:val="24"/>
                <w:highlight w:val="none"/>
                <w:lang w:val="en-US" w:eastAsia="zh-CN"/>
              </w:rPr>
              <w:t>与</w:t>
            </w:r>
            <w:r>
              <w:rPr>
                <w:rFonts w:hint="eastAsia" w:ascii="Times New Roman" w:hAnsi="Times New Roman" w:cs="Times New Roman"/>
                <w:b/>
                <w:bCs/>
                <w:color w:val="auto"/>
                <w:spacing w:val="5"/>
                <w:sz w:val="24"/>
                <w:szCs w:val="24"/>
                <w:highlight w:val="none"/>
                <w:lang w:val="en-US" w:eastAsia="zh-CN"/>
              </w:rPr>
              <w:t>生态环境分区管控</w:t>
            </w:r>
            <w:r>
              <w:rPr>
                <w:rFonts w:hint="default" w:ascii="Times New Roman" w:hAnsi="Times New Roman" w:eastAsia="宋体" w:cs="Times New Roman"/>
                <w:b/>
                <w:bCs/>
                <w:color w:val="auto"/>
                <w:spacing w:val="4"/>
                <w:sz w:val="24"/>
                <w:szCs w:val="24"/>
                <w:highlight w:val="none"/>
              </w:rPr>
              <w:t>位置</w:t>
            </w:r>
            <w:r>
              <w:rPr>
                <w:rFonts w:hint="default" w:ascii="Times New Roman" w:hAnsi="Times New Roman" w:eastAsia="宋体" w:cs="Times New Roman"/>
                <w:b/>
                <w:bCs/>
                <w:color w:val="auto"/>
                <w:spacing w:val="4"/>
                <w:sz w:val="24"/>
                <w:szCs w:val="24"/>
                <w:highlight w:val="none"/>
                <w:lang w:val="en-US" w:eastAsia="zh-CN"/>
              </w:rPr>
              <w:t>关系图</w:t>
            </w:r>
          </w:p>
          <w:p w14:paraId="1C1FDFBB">
            <w:pPr>
              <w:keepNext w:val="0"/>
              <w:keepLines w:val="0"/>
              <w:pageBreakBefore w:val="0"/>
              <w:widowControl w:val="0"/>
              <w:kinsoku/>
              <w:wordWrap/>
              <w:overflowPunct/>
              <w:topLinePunct w:val="0"/>
              <w:bidi w:val="0"/>
              <w:spacing w:line="440" w:lineRule="exact"/>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环境质量底线</w:t>
            </w:r>
          </w:p>
          <w:p w14:paraId="3EE99CCC">
            <w:pPr>
              <w:keepNext w:val="0"/>
              <w:keepLines w:val="0"/>
              <w:pageBreakBefore w:val="0"/>
              <w:widowControl w:val="0"/>
              <w:kinsoku/>
              <w:wordWrap/>
              <w:overflowPunct/>
              <w:topLinePunct w:val="0"/>
              <w:autoSpaceDE w:val="0"/>
              <w:autoSpaceDN w:val="0"/>
              <w:bidi w:val="0"/>
              <w:adjustRightInd w:val="0"/>
              <w:snapToGrid w:val="0"/>
              <w:spacing w:line="44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（1）大气环境质量底线</w:t>
            </w:r>
          </w:p>
          <w:p w14:paraId="2DA03765">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highlight w:val="none"/>
              </w:rPr>
              <w:t>根据《巴彦淖尔市</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三线一单</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文本》，巴彦淖尔市将</w:t>
            </w:r>
            <w:r>
              <w:rPr>
                <w:rFonts w:hint="eastAsia" w:cs="Times New Roman"/>
                <w:color w:val="auto"/>
                <w:sz w:val="24"/>
                <w:highlight w:val="none"/>
                <w:lang w:val="en-US" w:eastAsia="zh-CN"/>
              </w:rPr>
              <w:t>大气</w:t>
            </w:r>
            <w:r>
              <w:rPr>
                <w:rFonts w:hint="default" w:ascii="Times New Roman" w:hAnsi="Times New Roman" w:cs="Times New Roman"/>
                <w:color w:val="auto"/>
                <w:sz w:val="24"/>
                <w:highlight w:val="none"/>
              </w:rPr>
              <w:t>环境分为</w:t>
            </w:r>
            <w:r>
              <w:rPr>
                <w:rFonts w:hint="eastAsia" w:cs="Times New Roman"/>
                <w:color w:val="auto"/>
                <w:sz w:val="24"/>
                <w:highlight w:val="none"/>
                <w:lang w:val="en-US" w:eastAsia="zh-CN"/>
              </w:rPr>
              <w:t>大气环境</w:t>
            </w:r>
            <w:r>
              <w:rPr>
                <w:rFonts w:hint="default" w:ascii="Times New Roman" w:hAnsi="Times New Roman" w:cs="Times New Roman"/>
                <w:color w:val="auto"/>
                <w:sz w:val="24"/>
                <w:highlight w:val="none"/>
              </w:rPr>
              <w:t>优先保护区、</w:t>
            </w:r>
            <w:r>
              <w:rPr>
                <w:rFonts w:hint="eastAsia" w:cs="Times New Roman"/>
                <w:color w:val="auto"/>
                <w:sz w:val="24"/>
                <w:highlight w:val="none"/>
                <w:lang w:val="en-US" w:eastAsia="zh-CN"/>
              </w:rPr>
              <w:t>大气环境</w:t>
            </w:r>
            <w:r>
              <w:rPr>
                <w:rFonts w:hint="default" w:ascii="Times New Roman" w:hAnsi="Times New Roman" w:cs="Times New Roman"/>
                <w:color w:val="auto"/>
                <w:sz w:val="24"/>
                <w:highlight w:val="none"/>
              </w:rPr>
              <w:t>重点管控区和</w:t>
            </w:r>
            <w:r>
              <w:rPr>
                <w:rFonts w:hint="eastAsia" w:cs="Times New Roman"/>
                <w:color w:val="auto"/>
                <w:sz w:val="24"/>
                <w:highlight w:val="none"/>
                <w:lang w:val="en-US" w:eastAsia="zh-CN"/>
              </w:rPr>
              <w:t>大气环境</w:t>
            </w:r>
            <w:r>
              <w:rPr>
                <w:rFonts w:hint="default" w:ascii="Times New Roman" w:hAnsi="Times New Roman" w:cs="Times New Roman"/>
                <w:color w:val="auto"/>
                <w:sz w:val="24"/>
                <w:highlight w:val="none"/>
              </w:rPr>
              <w:t>一般管控区。</w:t>
            </w:r>
            <w:r>
              <w:rPr>
                <w:rFonts w:hint="default" w:ascii="Times New Roman" w:hAnsi="Times New Roman" w:cs="Times New Roman"/>
                <w:color w:val="auto"/>
                <w:sz w:val="24"/>
                <w:highlight w:val="none"/>
                <w:lang w:val="en-US" w:eastAsia="zh-CN"/>
              </w:rPr>
              <w:t>本项目所在地属于一般管控区</w:t>
            </w:r>
            <w:r>
              <w:rPr>
                <w:rFonts w:hint="eastAsia" w:cs="Times New Roman"/>
                <w:color w:val="auto"/>
                <w:sz w:val="24"/>
                <w:highlight w:val="none"/>
                <w:lang w:val="en-US" w:eastAsia="zh-CN"/>
              </w:rPr>
              <w:t>“</w:t>
            </w:r>
            <w:r>
              <w:rPr>
                <w:rFonts w:ascii="宋体" w:hAnsi="宋体" w:eastAsia="宋体" w:cs="宋体"/>
                <w:color w:val="auto"/>
                <w:sz w:val="24"/>
                <w:szCs w:val="24"/>
                <w:highlight w:val="none"/>
              </w:rPr>
              <w:t xml:space="preserve">严格执行国家、自治区、巴彦淖尔市下达的相关大气污染防治要 求，满足产业准入、总量控制、排放标准等管理制度要求。 </w:t>
            </w:r>
            <w:r>
              <w:rPr>
                <w:rFonts w:hint="eastAsia" w:cs="Times New Roman"/>
                <w:color w:val="auto"/>
                <w:sz w:val="24"/>
                <w:highlight w:val="none"/>
                <w:lang w:val="en-US" w:eastAsia="zh-CN"/>
              </w:rPr>
              <w:t>”</w:t>
            </w:r>
          </w:p>
          <w:p w14:paraId="15EFE643">
            <w:pPr>
              <w:keepNext w:val="0"/>
              <w:keepLines w:val="0"/>
              <w:pageBreakBefore w:val="0"/>
              <w:widowControl w:val="0"/>
              <w:kinsoku/>
              <w:wordWrap/>
              <w:overflowPunct/>
              <w:topLinePunct w:val="0"/>
              <w:autoSpaceDE w:val="0"/>
              <w:autoSpaceDN w:val="0"/>
              <w:bidi w:val="0"/>
              <w:adjustRightInd w:val="0"/>
              <w:snapToGrid w:val="0"/>
              <w:spacing w:line="440" w:lineRule="exact"/>
              <w:ind w:firstLine="480" w:firstLineChars="200"/>
              <w:textAlignment w:val="auto"/>
              <w:rPr>
                <w:rFonts w:hint="eastAsia" w:ascii="宋体" w:hAnsi="宋体" w:cs="宋体"/>
                <w:color w:val="auto"/>
                <w:sz w:val="24"/>
                <w:szCs w:val="24"/>
                <w:highlight w:val="none"/>
                <w:lang w:eastAsia="zh-CN"/>
              </w:rPr>
            </w:pPr>
            <w:r>
              <w:rPr>
                <w:rFonts w:hint="default" w:ascii="Times New Roman" w:hAnsi="Times New Roman" w:eastAsia="宋体" w:cs="Times New Roman"/>
                <w:color w:val="auto"/>
                <w:sz w:val="24"/>
                <w:highlight w:val="none"/>
              </w:rPr>
              <w:t>本项目区域环境空气属于《环境空气质量标准》（GB3095-20</w:t>
            </w:r>
            <w:r>
              <w:rPr>
                <w:rFonts w:hint="eastAsia" w:cs="Times New Roman"/>
                <w:color w:val="auto"/>
                <w:sz w:val="24"/>
                <w:highlight w:val="none"/>
                <w:lang w:val="en-US" w:eastAsia="zh-CN"/>
              </w:rPr>
              <w:t xml:space="preserve">26 </w:t>
            </w:r>
            <w:r>
              <w:rPr>
                <w:rFonts w:hint="default" w:ascii="Times New Roman" w:hAnsi="Times New Roman" w:eastAsia="宋体" w:cs="Times New Roman"/>
                <w:color w:val="auto"/>
                <w:sz w:val="24"/>
                <w:highlight w:val="none"/>
              </w:rPr>
              <w:t>）中二类功能区，根据</w:t>
            </w:r>
            <w:r>
              <w:rPr>
                <w:rFonts w:hint="default" w:ascii="Times New Roman" w:hAnsi="Times New Roman" w:eastAsia="宋体" w:cs="Times New Roman"/>
                <w:bCs/>
                <w:color w:val="auto"/>
                <w:sz w:val="24"/>
                <w:szCs w:val="24"/>
                <w:highlight w:val="none"/>
              </w:rPr>
              <w:t>202</w:t>
            </w:r>
            <w:r>
              <w:rPr>
                <w:rFonts w:hint="eastAsia"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rPr>
              <w:t>年</w:t>
            </w:r>
            <w:r>
              <w:rPr>
                <w:rFonts w:hint="eastAsia"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rPr>
              <w:t>月发布的《</w:t>
            </w:r>
            <w:r>
              <w:rPr>
                <w:rFonts w:hint="default" w:ascii="Times New Roman" w:hAnsi="Times New Roman" w:eastAsia="宋体" w:cs="Times New Roman"/>
                <w:bCs/>
                <w:color w:val="auto"/>
                <w:sz w:val="24"/>
                <w:szCs w:val="24"/>
                <w:highlight w:val="none"/>
                <w:lang w:val="en-US" w:eastAsia="zh-CN"/>
              </w:rPr>
              <w:t>巴彦淖尔市环境质量状况公报</w:t>
            </w:r>
            <w:r>
              <w:rPr>
                <w:rFonts w:hint="default" w:ascii="Times New Roman" w:hAnsi="Times New Roman" w:eastAsia="宋体" w:cs="Times New Roman"/>
                <w:bCs/>
                <w:color w:val="auto"/>
                <w:sz w:val="24"/>
                <w:szCs w:val="24"/>
                <w:highlight w:val="none"/>
              </w:rPr>
              <w:t>》（202</w:t>
            </w:r>
            <w:r>
              <w:rPr>
                <w:rFonts w:hint="eastAsia"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rPr>
              <w:t>年）</w:t>
            </w:r>
            <w:r>
              <w:rPr>
                <w:rFonts w:hint="default" w:ascii="Times New Roman" w:hAnsi="Times New Roman" w:eastAsia="宋体" w:cs="Times New Roman"/>
                <w:color w:val="auto"/>
                <w:sz w:val="24"/>
                <w:highlight w:val="none"/>
              </w:rPr>
              <w:t>，</w:t>
            </w:r>
            <w:r>
              <w:rPr>
                <w:rFonts w:hint="eastAsia" w:cs="Times New Roman"/>
                <w:color w:val="auto"/>
                <w:sz w:val="24"/>
                <w:highlight w:val="none"/>
                <w:lang w:val="en-US" w:eastAsia="zh-CN"/>
              </w:rPr>
              <w:t>磴口县在</w:t>
            </w:r>
            <w:r>
              <w:rPr>
                <w:rFonts w:hint="default" w:ascii="Times New Roman" w:hAnsi="Times New Roman" w:eastAsia="宋体" w:cs="Times New Roman"/>
                <w:color w:val="auto"/>
                <w:sz w:val="24"/>
                <w:highlight w:val="none"/>
              </w:rPr>
              <w:t>基准年（202</w:t>
            </w:r>
            <w:r>
              <w:rPr>
                <w:rFonts w:hint="eastAsia" w:cs="Times New Roman"/>
                <w:color w:val="auto"/>
                <w:sz w:val="24"/>
                <w:highlight w:val="none"/>
                <w:lang w:val="en-US" w:eastAsia="zh-CN"/>
              </w:rPr>
              <w:t>4</w:t>
            </w:r>
            <w:r>
              <w:rPr>
                <w:rFonts w:hint="default" w:ascii="Times New Roman" w:hAnsi="Times New Roman" w:eastAsia="宋体" w:cs="Times New Roman"/>
                <w:color w:val="auto"/>
                <w:sz w:val="24"/>
                <w:highlight w:val="none"/>
              </w:rPr>
              <w:t>年）属于环境空气质量达标区</w:t>
            </w:r>
            <w:r>
              <w:rPr>
                <w:rFonts w:hint="eastAsia" w:cs="Times New Roman"/>
                <w:color w:val="auto"/>
                <w:sz w:val="24"/>
                <w:highlight w:val="none"/>
                <w:lang w:eastAsia="zh-CN"/>
              </w:rPr>
              <w:t>；</w:t>
            </w:r>
            <w:r>
              <w:rPr>
                <w:rFonts w:hint="eastAsia" w:cs="Times New Roman"/>
                <w:color w:val="auto"/>
                <w:sz w:val="24"/>
                <w:highlight w:val="none"/>
                <w:lang w:val="en-US" w:eastAsia="zh-CN"/>
              </w:rPr>
              <w:t>本项目运营期废气均经环保设施处理后排放符合</w:t>
            </w:r>
            <w:r>
              <w:rPr>
                <w:rFonts w:ascii="宋体" w:hAnsi="宋体" w:eastAsia="宋体" w:cs="宋体"/>
                <w:color w:val="auto"/>
                <w:sz w:val="24"/>
                <w:szCs w:val="24"/>
                <w:highlight w:val="none"/>
              </w:rPr>
              <w:t>巴彦淖尔市下达的相关大气污染防治要求</w:t>
            </w:r>
            <w:r>
              <w:rPr>
                <w:rFonts w:hint="eastAsia" w:ascii="宋体" w:hAnsi="宋体" w:cs="宋体"/>
                <w:color w:val="auto"/>
                <w:sz w:val="24"/>
                <w:szCs w:val="24"/>
                <w:highlight w:val="none"/>
                <w:lang w:eastAsia="zh-CN"/>
              </w:rPr>
              <w:t>。</w:t>
            </w:r>
          </w:p>
          <w:p w14:paraId="6D071379">
            <w:pPr>
              <w:keepNext w:val="0"/>
              <w:keepLines w:val="0"/>
              <w:pageBreakBefore w:val="0"/>
              <w:widowControl w:val="0"/>
              <w:kinsoku/>
              <w:wordWrap/>
              <w:overflowPunct/>
              <w:topLinePunct w:val="0"/>
              <w:autoSpaceDE w:val="0"/>
              <w:autoSpaceDN w:val="0"/>
              <w:bidi w:val="0"/>
              <w:adjustRightInd w:val="0"/>
              <w:snapToGrid w:val="0"/>
              <w:spacing w:line="44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（2）水环境质量底线</w:t>
            </w:r>
          </w:p>
          <w:p w14:paraId="35F1D4C9">
            <w:pPr>
              <w:pStyle w:val="2"/>
              <w:keepNext w:val="0"/>
              <w:keepLines w:val="0"/>
              <w:pageBreakBefore w:val="0"/>
              <w:widowControl w:val="0"/>
              <w:kinsoku/>
              <w:wordWrap/>
              <w:overflowPunct/>
              <w:topLinePunct w:val="0"/>
              <w:bidi w:val="0"/>
              <w:spacing w:after="0" w:line="440" w:lineRule="exact"/>
              <w:ind w:left="0" w:leftChars="0" w:firstLine="480"/>
              <w:jc w:val="left"/>
              <w:rPr>
                <w:rFonts w:hint="default" w:ascii="Times New Roman" w:hAnsi="Times New Roman" w:cs="Times New Roman"/>
                <w:color w:val="auto"/>
                <w:szCs w:val="24"/>
                <w:highlight w:val="none"/>
                <w:lang w:val="en-US"/>
              </w:rPr>
            </w:pPr>
            <w:r>
              <w:rPr>
                <w:rFonts w:hint="eastAsia" w:ascii="Times New Roman" w:hAnsi="Times New Roman" w:eastAsia="宋体" w:cs="Times New Roman"/>
                <w:b w:val="0"/>
                <w:bCs/>
                <w:color w:val="auto"/>
                <w:sz w:val="24"/>
                <w:szCs w:val="24"/>
                <w:highlight w:val="none"/>
              </w:rPr>
              <w:t>经查询内蒙古自治区</w:t>
            </w:r>
            <w:r>
              <w:rPr>
                <w:rFonts w:hint="eastAsia"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rPr>
              <w:t>三线一单</w:t>
            </w:r>
            <w:r>
              <w:rPr>
                <w:rFonts w:hint="eastAsia"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rPr>
              <w:t>公众端应用平台</w:t>
            </w:r>
            <w:r>
              <w:rPr>
                <w:rFonts w:hint="eastAsia" w:ascii="Times New Roman" w:hAnsi="Times New Roman" w:eastAsia="宋体" w:cs="Times New Roman"/>
                <w:b w:val="0"/>
                <w:bCs/>
                <w:color w:val="auto"/>
                <w:sz w:val="24"/>
                <w:szCs w:val="24"/>
                <w:highlight w:val="none"/>
                <w:lang w:val="en-US" w:eastAsia="zh-CN"/>
              </w:rPr>
              <w:t>及</w:t>
            </w:r>
            <w:r>
              <w:rPr>
                <w:rFonts w:hint="eastAsia" w:cs="Times New Roman"/>
                <w:b w:val="0"/>
                <w:bCs/>
                <w:color w:val="auto"/>
                <w:kern w:val="0"/>
                <w:sz w:val="24"/>
                <w:szCs w:val="24"/>
                <w:highlight w:val="none"/>
                <w:lang w:eastAsia="zh-CN" w:bidi="ar"/>
              </w:rPr>
              <w:t>《巴 彦 淖 尔 市 生 态 环 境 准 入 清单》</w:t>
            </w:r>
            <w:r>
              <w:rPr>
                <w:rFonts w:hint="default" w:ascii="Times New Roman" w:hAnsi="Times New Roman" w:eastAsia="宋体" w:cs="Times New Roman"/>
                <w:b w:val="0"/>
                <w:bCs/>
                <w:color w:val="auto"/>
                <w:kern w:val="0"/>
                <w:sz w:val="24"/>
                <w:szCs w:val="24"/>
                <w:highlight w:val="none"/>
                <w:lang w:bidi="ar"/>
              </w:rPr>
              <w:t>（2023版）</w:t>
            </w:r>
            <w:r>
              <w:rPr>
                <w:rFonts w:hint="default" w:ascii="Times New Roman" w:hAnsi="Times New Roman" w:cs="Times New Roman"/>
                <w:b w:val="0"/>
                <w:bCs w:val="0"/>
                <w:color w:val="auto"/>
                <w:kern w:val="0"/>
                <w:sz w:val="24"/>
                <w:highlight w:val="none"/>
                <w:lang w:eastAsia="zh-CN" w:bidi="ar"/>
              </w:rPr>
              <w:t>，</w:t>
            </w:r>
            <w:r>
              <w:rPr>
                <w:rFonts w:hint="default" w:ascii="Times New Roman" w:hAnsi="Times New Roman" w:cs="Times New Roman"/>
                <w:b w:val="0"/>
                <w:bCs w:val="0"/>
                <w:color w:val="auto"/>
                <w:kern w:val="0"/>
                <w:sz w:val="24"/>
                <w:highlight w:val="none"/>
                <w:lang w:val="en-US" w:eastAsia="zh-CN" w:bidi="ar"/>
              </w:rPr>
              <w:t>本项目在水环境</w:t>
            </w:r>
            <w:r>
              <w:rPr>
                <w:rFonts w:hint="eastAsia" w:cs="Times New Roman"/>
                <w:b w:val="0"/>
                <w:bCs w:val="0"/>
                <w:color w:val="auto"/>
                <w:kern w:val="0"/>
                <w:sz w:val="24"/>
                <w:highlight w:val="none"/>
                <w:lang w:val="en-US" w:eastAsia="zh-CN" w:bidi="ar"/>
              </w:rPr>
              <w:t>农业</w:t>
            </w:r>
            <w:r>
              <w:rPr>
                <w:rFonts w:hint="default" w:ascii="Times New Roman" w:hAnsi="Times New Roman" w:cs="Times New Roman"/>
                <w:b w:val="0"/>
                <w:bCs w:val="0"/>
                <w:color w:val="auto"/>
                <w:kern w:val="0"/>
                <w:sz w:val="24"/>
                <w:highlight w:val="none"/>
                <w:lang w:val="en-US" w:eastAsia="zh-CN" w:bidi="ar"/>
              </w:rPr>
              <w:t>污染重点管控区</w:t>
            </w:r>
            <w:r>
              <w:rPr>
                <w:rFonts w:hint="default" w:ascii="Times New Roman" w:hAnsi="Times New Roman" w:cs="Times New Roman"/>
                <w:b w:val="0"/>
                <w:bCs w:val="0"/>
                <w:color w:val="auto"/>
                <w:sz w:val="24"/>
                <w:highlight w:val="none"/>
                <w:lang w:val="en-US" w:eastAsia="zh-CN"/>
              </w:rPr>
              <w:t>范围内，本项目与该重点管控区域的管控要求符合性见表1-2。</w:t>
            </w:r>
          </w:p>
          <w:p w14:paraId="2DD05743">
            <w:pPr>
              <w:pStyle w:val="2"/>
              <w:keepNext w:val="0"/>
              <w:keepLines w:val="0"/>
              <w:pageBreakBefore w:val="0"/>
              <w:widowControl w:val="0"/>
              <w:kinsoku/>
              <w:wordWrap/>
              <w:overflowPunct/>
              <w:topLinePunct w:val="0"/>
              <w:bidi w:val="0"/>
              <w:spacing w:after="0" w:line="440" w:lineRule="exact"/>
              <w:ind w:left="0" w:leftChars="0" w:firstLine="480"/>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表1-2 本项目与水环境</w:t>
            </w:r>
            <w:r>
              <w:rPr>
                <w:rFonts w:hint="eastAsia" w:cs="Times New Roman"/>
                <w:b/>
                <w:bCs/>
                <w:color w:val="auto"/>
                <w:sz w:val="24"/>
                <w:szCs w:val="24"/>
                <w:highlight w:val="none"/>
                <w:lang w:val="en-US" w:eastAsia="zh-CN"/>
              </w:rPr>
              <w:t>农业</w:t>
            </w:r>
            <w:r>
              <w:rPr>
                <w:rFonts w:hint="default" w:ascii="Times New Roman" w:hAnsi="Times New Roman" w:cs="Times New Roman"/>
                <w:b/>
                <w:bCs/>
                <w:color w:val="auto"/>
                <w:sz w:val="24"/>
                <w:szCs w:val="24"/>
                <w:highlight w:val="none"/>
                <w:lang w:val="en-US" w:eastAsia="zh-CN"/>
              </w:rPr>
              <w:t>污染重点管控区管控要求符合性分析一览表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8"/>
              <w:gridCol w:w="4023"/>
              <w:gridCol w:w="3002"/>
              <w:gridCol w:w="736"/>
            </w:tblGrid>
            <w:tr w14:paraId="66CB1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17" w:hRule="atLeast"/>
              </w:trPr>
              <w:tc>
                <w:tcPr>
                  <w:tcW w:w="402" w:type="pct"/>
                  <w:tcBorders>
                    <w:tl2br w:val="nil"/>
                    <w:tr2bl w:val="nil"/>
                  </w:tcBorders>
                  <w:noWrap w:val="0"/>
                  <w:vAlign w:val="center"/>
                </w:tcPr>
                <w:p w14:paraId="190205EC">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序号</w:t>
                  </w:r>
                </w:p>
              </w:tc>
              <w:tc>
                <w:tcPr>
                  <w:tcW w:w="2383" w:type="pct"/>
                  <w:tcBorders>
                    <w:tl2br w:val="nil"/>
                    <w:tr2bl w:val="nil"/>
                  </w:tcBorders>
                  <w:noWrap w:val="0"/>
                  <w:vAlign w:val="center"/>
                </w:tcPr>
                <w:p w14:paraId="57676753">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管控要求</w:t>
                  </w:r>
                </w:p>
              </w:tc>
              <w:tc>
                <w:tcPr>
                  <w:tcW w:w="1778" w:type="pct"/>
                  <w:tcBorders>
                    <w:tl2br w:val="nil"/>
                    <w:tr2bl w:val="nil"/>
                  </w:tcBorders>
                  <w:noWrap w:val="0"/>
                  <w:vAlign w:val="center"/>
                </w:tcPr>
                <w:p w14:paraId="1D711DFF">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lang w:val="en-US" w:eastAsia="zh-CN"/>
                    </w:rPr>
                    <w:t>建设项目情况</w:t>
                  </w:r>
                </w:p>
              </w:tc>
              <w:tc>
                <w:tcPr>
                  <w:tcW w:w="436" w:type="pct"/>
                  <w:tcBorders>
                    <w:tl2br w:val="nil"/>
                    <w:tr2bl w:val="nil"/>
                  </w:tcBorders>
                  <w:noWrap w:val="0"/>
                  <w:vAlign w:val="center"/>
                </w:tcPr>
                <w:p w14:paraId="68C99673">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lang w:val="en-US" w:eastAsia="zh-CN"/>
                    </w:rPr>
                    <w:t>结论</w:t>
                  </w:r>
                </w:p>
              </w:tc>
            </w:tr>
            <w:tr w14:paraId="6227BF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349" w:hRule="atLeast"/>
              </w:trPr>
              <w:tc>
                <w:tcPr>
                  <w:tcW w:w="402" w:type="pct"/>
                  <w:tcBorders>
                    <w:tl2br w:val="nil"/>
                    <w:tr2bl w:val="nil"/>
                  </w:tcBorders>
                  <w:noWrap w:val="0"/>
                  <w:vAlign w:val="center"/>
                </w:tcPr>
                <w:p w14:paraId="08CD6FD9">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2383" w:type="pct"/>
                  <w:tcBorders>
                    <w:tl2br w:val="nil"/>
                    <w:tr2bl w:val="nil"/>
                  </w:tcBorders>
                  <w:noWrap w:val="0"/>
                  <w:vAlign w:val="center"/>
                </w:tcPr>
                <w:p w14:paraId="661F451D">
                  <w:pPr>
                    <w:keepNext w:val="0"/>
                    <w:keepLines w:val="0"/>
                    <w:widowControl/>
                    <w:suppressLineNumbers w:val="0"/>
                    <w:jc w:val="left"/>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 xml:space="preserve">鼓励和支持农业生产者优先种植需肥需药需膜量低、环境效益突出的农作物，减少化肥、农药施用量，防止造成水污染。 </w:t>
                  </w:r>
                </w:p>
              </w:tc>
              <w:tc>
                <w:tcPr>
                  <w:tcW w:w="1778" w:type="pct"/>
                  <w:tcBorders>
                    <w:tl2br w:val="nil"/>
                    <w:tr2bl w:val="nil"/>
                  </w:tcBorders>
                  <w:noWrap w:val="0"/>
                  <w:vAlign w:val="center"/>
                </w:tcPr>
                <w:p w14:paraId="2354FF9D">
                  <w:pPr>
                    <w:pStyle w:val="2"/>
                    <w:keepNext w:val="0"/>
                    <w:keepLines w:val="0"/>
                    <w:pageBreakBefore w:val="0"/>
                    <w:kinsoku/>
                    <w:wordWrap/>
                    <w:overflowPunct/>
                    <w:topLinePunct w:val="0"/>
                    <w:bidi w:val="0"/>
                    <w:spacing w:after="0" w:line="240" w:lineRule="auto"/>
                    <w:ind w:left="0" w:leftChars="0" w:firstLine="0" w:firstLineChars="0"/>
                    <w:jc w:val="both"/>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本项目为加工农产品制成</w:t>
                  </w:r>
                  <w:r>
                    <w:rPr>
                      <w:rFonts w:hint="eastAsia" w:cs="Times New Roman"/>
                      <w:b w:val="0"/>
                      <w:bCs w:val="0"/>
                      <w:color w:val="auto"/>
                      <w:sz w:val="21"/>
                      <w:szCs w:val="21"/>
                      <w:highlight w:val="none"/>
                      <w:vertAlign w:val="baseline"/>
                      <w:lang w:val="en-US" w:eastAsia="zh-CN"/>
                    </w:rPr>
                    <w:t>食用油</w:t>
                  </w:r>
                  <w:r>
                    <w:rPr>
                      <w:rFonts w:hint="eastAsia" w:ascii="Times New Roman" w:hAnsi="Times New Roman" w:eastAsia="宋体" w:cs="Times New Roman"/>
                      <w:b w:val="0"/>
                      <w:bCs w:val="0"/>
                      <w:color w:val="auto"/>
                      <w:sz w:val="21"/>
                      <w:szCs w:val="21"/>
                      <w:highlight w:val="none"/>
                      <w:vertAlign w:val="baseline"/>
                      <w:lang w:val="en-US" w:eastAsia="zh-CN"/>
                    </w:rPr>
                    <w:t>，不涉及</w:t>
                  </w:r>
                  <w:r>
                    <w:rPr>
                      <w:rFonts w:hint="eastAsia" w:cs="Times New Roman"/>
                      <w:b w:val="0"/>
                      <w:bCs w:val="0"/>
                      <w:color w:val="auto"/>
                      <w:sz w:val="21"/>
                      <w:szCs w:val="21"/>
                      <w:highlight w:val="none"/>
                      <w:vertAlign w:val="baseline"/>
                      <w:lang w:val="en-US" w:eastAsia="zh-CN"/>
                    </w:rPr>
                    <w:t>农产品种植。</w:t>
                  </w:r>
                </w:p>
              </w:tc>
              <w:tc>
                <w:tcPr>
                  <w:tcW w:w="436" w:type="pct"/>
                  <w:tcBorders>
                    <w:tl2br w:val="nil"/>
                    <w:tr2bl w:val="nil"/>
                  </w:tcBorders>
                  <w:noWrap w:val="0"/>
                  <w:vAlign w:val="center"/>
                </w:tcPr>
                <w:p w14:paraId="667A780D">
                  <w:pPr>
                    <w:pStyle w:val="2"/>
                    <w:keepNext w:val="0"/>
                    <w:keepLines w:val="0"/>
                    <w:pageBreakBefore w:val="0"/>
                    <w:kinsoku/>
                    <w:wordWrap/>
                    <w:overflowPunct/>
                    <w:topLinePunct w:val="0"/>
                    <w:bidi w:val="0"/>
                    <w:spacing w:after="0" w:line="240" w:lineRule="auto"/>
                    <w:ind w:left="0" w:leftChars="0" w:firstLine="0" w:firstLineChars="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符合</w:t>
                  </w:r>
                </w:p>
              </w:tc>
            </w:tr>
            <w:tr w14:paraId="3C9F7C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trPr>
              <w:tc>
                <w:tcPr>
                  <w:tcW w:w="402" w:type="pct"/>
                  <w:tcBorders>
                    <w:tl2br w:val="nil"/>
                    <w:tr2bl w:val="nil"/>
                  </w:tcBorders>
                  <w:noWrap w:val="0"/>
                  <w:vAlign w:val="center"/>
                </w:tcPr>
                <w:p w14:paraId="0D979533">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2383" w:type="pct"/>
                  <w:tcBorders>
                    <w:tl2br w:val="nil"/>
                    <w:tr2bl w:val="nil"/>
                  </w:tcBorders>
                  <w:noWrap w:val="0"/>
                  <w:vAlign w:val="center"/>
                </w:tcPr>
                <w:p w14:paraId="16EAD66F">
                  <w:pPr>
                    <w:keepNext w:val="0"/>
                    <w:keepLines w:val="0"/>
                    <w:widowControl/>
                    <w:suppressLineNumbers w:val="0"/>
                    <w:jc w:val="left"/>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 xml:space="preserve">根据农村牧区不同区位条件、人口集聚程度、污水产生规模等，科学确定苏木乡镇、嘎查村生活污水处理模式，推动管网向周边嘎查村延伸覆盖。 </w:t>
                  </w:r>
                </w:p>
              </w:tc>
              <w:tc>
                <w:tcPr>
                  <w:tcW w:w="1778" w:type="pct"/>
                  <w:tcBorders>
                    <w:tl2br w:val="nil"/>
                    <w:tr2bl w:val="nil"/>
                  </w:tcBorders>
                  <w:noWrap w:val="0"/>
                  <w:vAlign w:val="center"/>
                </w:tcPr>
                <w:p w14:paraId="5FD8EF51">
                  <w:pPr>
                    <w:pStyle w:val="2"/>
                    <w:keepNext w:val="0"/>
                    <w:keepLines w:val="0"/>
                    <w:pageBreakBefore w:val="0"/>
                    <w:kinsoku/>
                    <w:wordWrap/>
                    <w:overflowPunct/>
                    <w:topLinePunct w:val="0"/>
                    <w:bidi w:val="0"/>
                    <w:spacing w:after="0" w:line="240" w:lineRule="auto"/>
                    <w:ind w:left="0" w:leftChars="0" w:firstLine="0" w:firstLineChars="0"/>
                    <w:jc w:val="both"/>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本项目</w:t>
                  </w:r>
                  <w:r>
                    <w:rPr>
                      <w:rFonts w:hint="eastAsia" w:cs="Times New Roman"/>
                      <w:b w:val="0"/>
                      <w:bCs w:val="0"/>
                      <w:color w:val="auto"/>
                      <w:sz w:val="21"/>
                      <w:szCs w:val="21"/>
                      <w:highlight w:val="none"/>
                      <w:vertAlign w:val="baseline"/>
                      <w:lang w:val="en-US" w:eastAsia="zh-CN"/>
                    </w:rPr>
                    <w:t>生产废水主要为依托厂区现有的污水处理站处理后排入市政管网由磴口县中涵水务有限公司处理</w:t>
                  </w:r>
                  <w:r>
                    <w:rPr>
                      <w:rFonts w:hint="eastAsia" w:ascii="Times New Roman" w:hAnsi="Times New Roman" w:eastAsia="宋体" w:cs="Times New Roman"/>
                      <w:b w:val="0"/>
                      <w:bCs w:val="0"/>
                      <w:color w:val="auto"/>
                      <w:sz w:val="21"/>
                      <w:szCs w:val="21"/>
                      <w:highlight w:val="none"/>
                      <w:vertAlign w:val="baseline"/>
                      <w:lang w:val="en-US" w:eastAsia="zh-CN"/>
                    </w:rPr>
                    <w:t>。</w:t>
                  </w:r>
                </w:p>
              </w:tc>
              <w:tc>
                <w:tcPr>
                  <w:tcW w:w="436" w:type="pct"/>
                  <w:tcBorders>
                    <w:tl2br w:val="nil"/>
                    <w:tr2bl w:val="nil"/>
                  </w:tcBorders>
                  <w:noWrap w:val="0"/>
                  <w:vAlign w:val="center"/>
                </w:tcPr>
                <w:p w14:paraId="19D3A7AD">
                  <w:pPr>
                    <w:pStyle w:val="2"/>
                    <w:keepNext w:val="0"/>
                    <w:keepLines w:val="0"/>
                    <w:pageBreakBefore w:val="0"/>
                    <w:kinsoku/>
                    <w:wordWrap/>
                    <w:overflowPunct/>
                    <w:topLinePunct w:val="0"/>
                    <w:bidi w:val="0"/>
                    <w:spacing w:after="0" w:line="240" w:lineRule="auto"/>
                    <w:jc w:val="center"/>
                    <w:rPr>
                      <w:rFonts w:hint="default" w:ascii="Times New Roman" w:hAnsi="Times New Roman" w:eastAsia="宋体" w:cs="Times New Roman"/>
                      <w:b/>
                      <w:bCs/>
                      <w:color w:val="auto"/>
                      <w:sz w:val="21"/>
                      <w:szCs w:val="21"/>
                      <w:highlight w:val="none"/>
                      <w:vertAlign w:val="baseline"/>
                      <w:lang w:val="en-US" w:eastAsia="zh-CN"/>
                    </w:rPr>
                  </w:pPr>
                </w:p>
                <w:p w14:paraId="50713BE2">
                  <w:pPr>
                    <w:pStyle w:val="2"/>
                    <w:keepNext w:val="0"/>
                    <w:keepLines w:val="0"/>
                    <w:pageBreakBefore w:val="0"/>
                    <w:kinsoku/>
                    <w:wordWrap/>
                    <w:overflowPunct/>
                    <w:topLinePunct w:val="0"/>
                    <w:bidi w:val="0"/>
                    <w:spacing w:after="0" w:line="240" w:lineRule="auto"/>
                    <w:jc w:val="center"/>
                    <w:rPr>
                      <w:rFonts w:hint="default" w:ascii="Times New Roman" w:hAnsi="Times New Roman" w:eastAsia="宋体" w:cs="Times New Roman"/>
                      <w:b/>
                      <w:bCs/>
                      <w:color w:val="auto"/>
                      <w:sz w:val="21"/>
                      <w:szCs w:val="21"/>
                      <w:highlight w:val="none"/>
                      <w:vertAlign w:val="baseline"/>
                      <w:lang w:val="en-US" w:eastAsia="zh-CN"/>
                    </w:rPr>
                  </w:pPr>
                </w:p>
                <w:p w14:paraId="6061CDDB">
                  <w:pPr>
                    <w:pStyle w:val="2"/>
                    <w:keepNext w:val="0"/>
                    <w:keepLines w:val="0"/>
                    <w:pageBreakBefore w:val="0"/>
                    <w:kinsoku/>
                    <w:wordWrap/>
                    <w:overflowPunct/>
                    <w:topLinePunct w:val="0"/>
                    <w:bidi w:val="0"/>
                    <w:spacing w:after="0" w:line="240" w:lineRule="auto"/>
                    <w:jc w:val="center"/>
                    <w:rPr>
                      <w:rFonts w:hint="default" w:ascii="Times New Roman" w:hAnsi="Times New Roman" w:eastAsia="宋体" w:cs="Times New Roman"/>
                      <w:b/>
                      <w:bCs/>
                      <w:color w:val="auto"/>
                      <w:sz w:val="21"/>
                      <w:szCs w:val="21"/>
                      <w:highlight w:val="none"/>
                      <w:vertAlign w:val="baseline"/>
                      <w:lang w:val="en-US" w:eastAsia="zh-CN"/>
                    </w:rPr>
                  </w:pPr>
                </w:p>
                <w:p w14:paraId="009E603A">
                  <w:pPr>
                    <w:pStyle w:val="2"/>
                    <w:keepNext w:val="0"/>
                    <w:keepLines w:val="0"/>
                    <w:pageBreakBefore w:val="0"/>
                    <w:kinsoku/>
                    <w:wordWrap/>
                    <w:overflowPunct/>
                    <w:topLinePunct w:val="0"/>
                    <w:bidi w:val="0"/>
                    <w:spacing w:after="0" w:line="240" w:lineRule="auto"/>
                    <w:ind w:left="0" w:leftChars="0" w:firstLine="0" w:firstLine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符合</w:t>
                  </w:r>
                </w:p>
                <w:p w14:paraId="5C66ECC2">
                  <w:pPr>
                    <w:pStyle w:val="2"/>
                    <w:keepNext w:val="0"/>
                    <w:keepLines w:val="0"/>
                    <w:pageBreakBefore w:val="0"/>
                    <w:kinsoku/>
                    <w:wordWrap/>
                    <w:overflowPunct/>
                    <w:topLinePunct w:val="0"/>
                    <w:bidi w:val="0"/>
                    <w:spacing w:after="0" w:line="240" w:lineRule="auto"/>
                    <w:jc w:val="center"/>
                    <w:rPr>
                      <w:rFonts w:hint="default" w:ascii="Times New Roman" w:hAnsi="Times New Roman" w:eastAsia="宋体" w:cs="Times New Roman"/>
                      <w:b/>
                      <w:bCs/>
                      <w:color w:val="auto"/>
                      <w:sz w:val="21"/>
                      <w:szCs w:val="21"/>
                      <w:highlight w:val="none"/>
                      <w:vertAlign w:val="baseline"/>
                      <w:lang w:val="en-US" w:eastAsia="zh-CN"/>
                    </w:rPr>
                  </w:pPr>
                </w:p>
              </w:tc>
            </w:tr>
            <w:tr w14:paraId="24878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trPr>
              <w:tc>
                <w:tcPr>
                  <w:tcW w:w="402" w:type="pct"/>
                  <w:tcBorders>
                    <w:tl2br w:val="nil"/>
                    <w:tr2bl w:val="nil"/>
                  </w:tcBorders>
                  <w:noWrap w:val="0"/>
                  <w:vAlign w:val="center"/>
                </w:tcPr>
                <w:p w14:paraId="26D79F24">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383" w:type="pct"/>
                  <w:tcBorders>
                    <w:tl2br w:val="nil"/>
                    <w:tr2bl w:val="nil"/>
                  </w:tcBorders>
                  <w:noWrap w:val="0"/>
                  <w:vAlign w:val="center"/>
                </w:tcPr>
                <w:p w14:paraId="274424E4">
                  <w:pPr>
                    <w:keepNext w:val="0"/>
                    <w:keepLines w:val="0"/>
                    <w:widowControl/>
                    <w:suppressLineNumbers w:val="0"/>
                    <w:jc w:val="left"/>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 xml:space="preserve">推动农村牧区环境连片治理，因地制宜推广生活垃圾处理模式，合理规划建设防流失、防扬散、防渗漏生活垃圾集中堆存场，不得将垃圾堆存于泄洪沟、沟渠、干涸河道，防止污染水环境。 </w:t>
                  </w:r>
                </w:p>
              </w:tc>
              <w:tc>
                <w:tcPr>
                  <w:tcW w:w="1778" w:type="pct"/>
                  <w:tcBorders>
                    <w:tl2br w:val="nil"/>
                    <w:tr2bl w:val="nil"/>
                  </w:tcBorders>
                  <w:noWrap w:val="0"/>
                  <w:vAlign w:val="center"/>
                </w:tcPr>
                <w:p w14:paraId="62C23BED">
                  <w:pPr>
                    <w:pStyle w:val="2"/>
                    <w:keepNext w:val="0"/>
                    <w:keepLines w:val="0"/>
                    <w:pageBreakBefore w:val="0"/>
                    <w:kinsoku/>
                    <w:wordWrap/>
                    <w:overflowPunct/>
                    <w:topLinePunct w:val="0"/>
                    <w:bidi w:val="0"/>
                    <w:spacing w:after="0" w:line="240" w:lineRule="auto"/>
                    <w:ind w:left="0" w:leftChars="0" w:firstLine="0" w:firstLineChars="0"/>
                    <w:jc w:val="both"/>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本项目产生</w:t>
                  </w:r>
                  <w:r>
                    <w:rPr>
                      <w:rFonts w:hint="eastAsia" w:cs="Times New Roman"/>
                      <w:b w:val="0"/>
                      <w:bCs w:val="0"/>
                      <w:color w:val="auto"/>
                      <w:sz w:val="21"/>
                      <w:szCs w:val="21"/>
                      <w:highlight w:val="none"/>
                      <w:vertAlign w:val="baseline"/>
                      <w:lang w:val="en-US" w:eastAsia="zh-CN"/>
                    </w:rPr>
                    <w:t>的</w:t>
                  </w:r>
                  <w:r>
                    <w:rPr>
                      <w:rFonts w:hint="eastAsia" w:ascii="Times New Roman" w:hAnsi="Times New Roman" w:eastAsia="宋体" w:cs="Times New Roman"/>
                      <w:b w:val="0"/>
                      <w:bCs w:val="0"/>
                      <w:color w:val="auto"/>
                      <w:sz w:val="21"/>
                      <w:szCs w:val="21"/>
                      <w:highlight w:val="none"/>
                      <w:vertAlign w:val="baseline"/>
                      <w:lang w:val="en-US" w:eastAsia="zh-CN"/>
                    </w:rPr>
                    <w:t>生活垃圾于厂区设置垃圾桶，</w:t>
                  </w:r>
                  <w:r>
                    <w:rPr>
                      <w:rFonts w:hint="eastAsia" w:cs="Times New Roman"/>
                      <w:b w:val="0"/>
                      <w:bCs w:val="0"/>
                      <w:color w:val="auto"/>
                      <w:sz w:val="21"/>
                      <w:szCs w:val="21"/>
                      <w:highlight w:val="none"/>
                      <w:vertAlign w:val="baseline"/>
                      <w:lang w:val="en-US" w:eastAsia="zh-CN"/>
                    </w:rPr>
                    <w:t>由环卫部门统一清运处理</w:t>
                  </w:r>
                  <w:r>
                    <w:rPr>
                      <w:rFonts w:hint="eastAsia" w:ascii="Times New Roman" w:hAnsi="Times New Roman" w:eastAsia="宋体" w:cs="Times New Roman"/>
                      <w:b w:val="0"/>
                      <w:bCs w:val="0"/>
                      <w:color w:val="auto"/>
                      <w:sz w:val="21"/>
                      <w:szCs w:val="21"/>
                      <w:highlight w:val="none"/>
                      <w:vertAlign w:val="baseline"/>
                      <w:lang w:val="en-US" w:eastAsia="zh-CN"/>
                    </w:rPr>
                    <w:t>，不将</w:t>
                  </w:r>
                  <w:r>
                    <w:rPr>
                      <w:rFonts w:hint="default" w:ascii="Times New Roman" w:hAnsi="Times New Roman" w:eastAsia="宋体" w:cs="Times New Roman"/>
                      <w:b w:val="0"/>
                      <w:bCs w:val="0"/>
                      <w:color w:val="auto"/>
                      <w:kern w:val="0"/>
                      <w:sz w:val="21"/>
                      <w:szCs w:val="21"/>
                      <w:highlight w:val="none"/>
                      <w:lang w:val="en-US" w:eastAsia="zh-CN" w:bidi="ar"/>
                    </w:rPr>
                    <w:t>垃圾堆存于泄洪沟、沟渠、干涸河道</w:t>
                  </w:r>
                  <w:r>
                    <w:rPr>
                      <w:rFonts w:hint="eastAsia" w:ascii="Times New Roman" w:hAnsi="Times New Roman" w:eastAsia="宋体" w:cs="Times New Roman"/>
                      <w:b w:val="0"/>
                      <w:bCs w:val="0"/>
                      <w:color w:val="auto"/>
                      <w:kern w:val="0"/>
                      <w:sz w:val="21"/>
                      <w:szCs w:val="21"/>
                      <w:highlight w:val="none"/>
                      <w:lang w:val="en-US" w:eastAsia="zh-CN" w:bidi="ar"/>
                    </w:rPr>
                    <w:t>。</w:t>
                  </w:r>
                </w:p>
              </w:tc>
              <w:tc>
                <w:tcPr>
                  <w:tcW w:w="436" w:type="pct"/>
                  <w:tcBorders>
                    <w:tl2br w:val="nil"/>
                    <w:tr2bl w:val="nil"/>
                  </w:tcBorders>
                  <w:noWrap w:val="0"/>
                  <w:vAlign w:val="center"/>
                </w:tcPr>
                <w:p w14:paraId="146B03C9">
                  <w:pPr>
                    <w:pStyle w:val="2"/>
                    <w:keepNext w:val="0"/>
                    <w:keepLines w:val="0"/>
                    <w:pageBreakBefore w:val="0"/>
                    <w:kinsoku/>
                    <w:wordWrap/>
                    <w:overflowPunct/>
                    <w:topLinePunct w:val="0"/>
                    <w:bidi w:val="0"/>
                    <w:spacing w:after="0" w:line="240" w:lineRule="auto"/>
                    <w:ind w:left="0" w:leftChars="0" w:firstLine="0" w:firstLine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符合</w:t>
                  </w:r>
                </w:p>
              </w:tc>
            </w:tr>
            <w:tr w14:paraId="7E6F9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trPr>
              <w:tc>
                <w:tcPr>
                  <w:tcW w:w="402" w:type="pct"/>
                  <w:tcBorders>
                    <w:tl2br w:val="nil"/>
                    <w:tr2bl w:val="nil"/>
                  </w:tcBorders>
                  <w:noWrap w:val="0"/>
                  <w:vAlign w:val="center"/>
                </w:tcPr>
                <w:p w14:paraId="6963E653">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2383" w:type="pct"/>
                  <w:tcBorders>
                    <w:tl2br w:val="nil"/>
                    <w:tr2bl w:val="nil"/>
                  </w:tcBorders>
                  <w:noWrap w:val="0"/>
                  <w:vAlign w:val="center"/>
                </w:tcPr>
                <w:p w14:paraId="1B2B4C70">
                  <w:pPr>
                    <w:keepNext w:val="0"/>
                    <w:keepLines w:val="0"/>
                    <w:widowControl/>
                    <w:suppressLineNumbers w:val="0"/>
                    <w:jc w:val="left"/>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畜禽养殖场、养殖小区应当配套建设粪便污水贮存、处理、利用设施，实施雨污分流和粪便污水资源化利用。养殖专业户应当建设防雨、防渗漏、防外溢的粪便污水收集贮存设施，采用堆肥处理等措施实现粪便污水综合利用。遵循不降低水环境质量的原则，合理规划、开发和利用水产资源，科学划定水产养殖禁养区和限养区，推广标准化水产养殖技术，预防和减少水产养殖污染水环境。</w:t>
                  </w:r>
                </w:p>
              </w:tc>
              <w:tc>
                <w:tcPr>
                  <w:tcW w:w="1778" w:type="pct"/>
                  <w:tcBorders>
                    <w:tl2br w:val="nil"/>
                    <w:tr2bl w:val="nil"/>
                  </w:tcBorders>
                  <w:shd w:val="clear" w:color="auto" w:fill="auto"/>
                  <w:noWrap w:val="0"/>
                  <w:vAlign w:val="center"/>
                </w:tcPr>
                <w:p w14:paraId="6A2BFF67">
                  <w:pPr>
                    <w:pStyle w:val="2"/>
                    <w:keepNext w:val="0"/>
                    <w:keepLines w:val="0"/>
                    <w:pageBreakBefore w:val="0"/>
                    <w:kinsoku/>
                    <w:wordWrap/>
                    <w:overflowPunct/>
                    <w:topLinePunct w:val="0"/>
                    <w:bidi w:val="0"/>
                    <w:spacing w:after="0" w:line="240" w:lineRule="auto"/>
                    <w:ind w:left="0" w:leftChars="0" w:firstLine="0" w:firstLineChars="0"/>
                    <w:jc w:val="both"/>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本项目属于</w:t>
                  </w:r>
                  <w:r>
                    <w:rPr>
                      <w:rFonts w:hint="eastAsia" w:cs="Times New Roman"/>
                      <w:b w:val="0"/>
                      <w:bCs w:val="0"/>
                      <w:color w:val="auto"/>
                      <w:sz w:val="21"/>
                      <w:szCs w:val="21"/>
                      <w:highlight w:val="none"/>
                      <w:vertAlign w:val="baseline"/>
                      <w:lang w:val="en-US" w:eastAsia="zh-CN"/>
                    </w:rPr>
                    <w:t>食用植物油加工</w:t>
                  </w:r>
                  <w:r>
                    <w:rPr>
                      <w:rFonts w:hint="eastAsia" w:ascii="Times New Roman" w:hAnsi="Times New Roman" w:eastAsia="宋体" w:cs="Times New Roman"/>
                      <w:b w:val="0"/>
                      <w:bCs w:val="0"/>
                      <w:color w:val="auto"/>
                      <w:sz w:val="21"/>
                      <w:szCs w:val="21"/>
                      <w:highlight w:val="none"/>
                      <w:vertAlign w:val="baseline"/>
                      <w:lang w:val="en-US" w:eastAsia="zh-CN"/>
                    </w:rPr>
                    <w:t>制造业，不涉及畜禽养殖。</w:t>
                  </w:r>
                </w:p>
              </w:tc>
              <w:tc>
                <w:tcPr>
                  <w:tcW w:w="436" w:type="pct"/>
                  <w:tcBorders>
                    <w:tl2br w:val="nil"/>
                    <w:tr2bl w:val="nil"/>
                  </w:tcBorders>
                  <w:noWrap w:val="0"/>
                  <w:vAlign w:val="center"/>
                </w:tcPr>
                <w:p w14:paraId="2787636E">
                  <w:pPr>
                    <w:pStyle w:val="2"/>
                    <w:keepNext w:val="0"/>
                    <w:keepLines w:val="0"/>
                    <w:pageBreakBefore w:val="0"/>
                    <w:kinsoku/>
                    <w:wordWrap/>
                    <w:overflowPunct/>
                    <w:topLinePunct w:val="0"/>
                    <w:bidi w:val="0"/>
                    <w:spacing w:after="0" w:line="240" w:lineRule="auto"/>
                    <w:ind w:left="0" w:leftChars="0" w:firstLine="0" w:firstLine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符合</w:t>
                  </w:r>
                </w:p>
              </w:tc>
            </w:tr>
          </w:tbl>
          <w:p w14:paraId="4656DB0B">
            <w:pPr>
              <w:pStyle w:val="2"/>
              <w:keepNext w:val="0"/>
              <w:keepLines w:val="0"/>
              <w:pageBreakBefore w:val="0"/>
              <w:kinsoku/>
              <w:wordWrap/>
              <w:overflowPunct/>
              <w:topLinePunct w:val="0"/>
              <w:autoSpaceDE/>
              <w:autoSpaceDN/>
              <w:bidi w:val="0"/>
              <w:snapToGrid/>
              <w:spacing w:after="0" w:line="440" w:lineRule="exact"/>
              <w:ind w:left="0" w:leftChars="0" w:firstLine="480" w:firstLineChars="200"/>
              <w:jc w:val="left"/>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（3）土壤环境质量底线</w:t>
            </w:r>
          </w:p>
          <w:p w14:paraId="64C7C607">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根据《巴彦淖尔市</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三线一单</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文本》，巴彦淖尔市将土壤环境分为农用地优先保护区、土壤风险重点管控区和一般管控区。</w:t>
            </w:r>
            <w:r>
              <w:rPr>
                <w:rFonts w:hint="default" w:ascii="Times New Roman" w:hAnsi="Times New Roman" w:cs="Times New Roman"/>
                <w:color w:val="auto"/>
                <w:sz w:val="24"/>
                <w:highlight w:val="none"/>
                <w:lang w:val="en-US" w:eastAsia="zh-CN"/>
              </w:rPr>
              <w:t>本项目所在地属于一般管控区，没有相关管控要求。</w:t>
            </w:r>
          </w:p>
          <w:p w14:paraId="0C1A87E2">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kern w:val="0"/>
                <w:sz w:val="24"/>
                <w:szCs w:val="24"/>
                <w:highlight w:val="none"/>
                <w:lang w:val="en-US" w:eastAsia="zh-CN" w:bidi="ar"/>
              </w:rPr>
              <w:t>本项目建设的生产车间为</w:t>
            </w:r>
            <w:r>
              <w:rPr>
                <w:rFonts w:hint="eastAsia" w:cs="Times New Roman"/>
                <w:color w:val="auto"/>
                <w:sz w:val="24"/>
                <w:highlight w:val="none"/>
                <w:lang w:val="en-US" w:eastAsia="zh-CN"/>
              </w:rPr>
              <w:t>上海佳格食品有限公司内蒙古分公司院内原有库房改造的车间已</w:t>
            </w:r>
            <w:r>
              <w:rPr>
                <w:rFonts w:hint="default" w:ascii="Times New Roman" w:hAnsi="Times New Roman" w:eastAsia="宋体" w:cs="Times New Roman"/>
                <w:color w:val="auto"/>
                <w:kern w:val="0"/>
                <w:sz w:val="24"/>
                <w:szCs w:val="24"/>
                <w:highlight w:val="none"/>
                <w:lang w:val="en-US" w:eastAsia="zh-CN" w:bidi="ar"/>
              </w:rPr>
              <w:t>采取防渗措施，</w:t>
            </w:r>
            <w:r>
              <w:rPr>
                <w:rFonts w:hint="eastAsia" w:cs="Times New Roman"/>
                <w:color w:val="auto"/>
                <w:kern w:val="0"/>
                <w:sz w:val="24"/>
                <w:szCs w:val="24"/>
                <w:highlight w:val="none"/>
                <w:lang w:val="en-US" w:eastAsia="zh-CN" w:bidi="ar"/>
              </w:rPr>
              <w:t>正常工况下不会对区域土壤环境造成大的影响，</w:t>
            </w:r>
            <w:r>
              <w:rPr>
                <w:rFonts w:hint="default" w:ascii="Times New Roman" w:hAnsi="Times New Roman" w:eastAsia="宋体" w:cs="Times New Roman"/>
                <w:color w:val="auto"/>
                <w:kern w:val="0"/>
                <w:sz w:val="24"/>
                <w:szCs w:val="24"/>
                <w:highlight w:val="none"/>
                <w:lang w:val="en-US" w:eastAsia="zh-CN" w:bidi="ar"/>
              </w:rPr>
              <w:t>满足环境质量底线要求</w:t>
            </w:r>
            <w:r>
              <w:rPr>
                <w:rFonts w:hint="eastAsia" w:cs="Times New Roman"/>
                <w:color w:val="auto"/>
                <w:kern w:val="0"/>
                <w:sz w:val="24"/>
                <w:szCs w:val="24"/>
                <w:highlight w:val="none"/>
                <w:lang w:val="en-US" w:eastAsia="zh-CN" w:bidi="ar"/>
              </w:rPr>
              <w:t>。</w:t>
            </w:r>
          </w:p>
          <w:p w14:paraId="0931F82D">
            <w:pPr>
              <w:keepNext w:val="0"/>
              <w:keepLines w:val="0"/>
              <w:pageBreakBefore w:val="0"/>
              <w:widowControl w:val="0"/>
              <w:kinsoku/>
              <w:wordWrap/>
              <w:overflowPunct/>
              <w:topLinePunct w:val="0"/>
              <w:autoSpaceDE/>
              <w:autoSpaceDN/>
              <w:bidi w:val="0"/>
              <w:snapToGrid/>
              <w:spacing w:line="440" w:lineRule="exact"/>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资源利用上线</w:t>
            </w:r>
          </w:p>
          <w:p w14:paraId="4D62BF86">
            <w:pPr>
              <w:keepNext w:val="0"/>
              <w:keepLines w:val="0"/>
              <w:pageBreakBefore w:val="0"/>
              <w:widowControl w:val="0"/>
              <w:numPr>
                <w:ilvl w:val="0"/>
                <w:numId w:val="0"/>
              </w:numPr>
              <w:kinsoku/>
              <w:wordWrap/>
              <w:overflowPunct/>
              <w:topLinePunct w:val="0"/>
              <w:autoSpaceDE/>
              <w:autoSpaceDN/>
              <w:bidi w:val="0"/>
              <w:snapToGrid/>
              <w:spacing w:line="44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（1）</w:t>
            </w:r>
            <w:r>
              <w:rPr>
                <w:rFonts w:hint="default" w:ascii="Times New Roman" w:hAnsi="Times New Roman" w:cs="Times New Roman"/>
                <w:color w:val="auto"/>
                <w:sz w:val="24"/>
                <w:highlight w:val="none"/>
              </w:rPr>
              <w:t>水资源利用上线</w:t>
            </w:r>
          </w:p>
          <w:p w14:paraId="58C6A6AB">
            <w:pPr>
              <w:keepNext w:val="0"/>
              <w:keepLines w:val="0"/>
              <w:pageBreakBefore w:val="0"/>
              <w:widowControl w:val="0"/>
              <w:numPr>
                <w:ilvl w:val="0"/>
                <w:numId w:val="0"/>
              </w:numPr>
              <w:kinsoku/>
              <w:wordWrap/>
              <w:overflowPunct/>
              <w:topLinePunct w:val="0"/>
              <w:autoSpaceDE/>
              <w:autoSpaceDN/>
              <w:bidi w:val="0"/>
              <w:snapToGrid/>
              <w:spacing w:line="440" w:lineRule="exact"/>
              <w:ind w:firstLine="480" w:firstLineChars="200"/>
              <w:textAlignment w:val="auto"/>
              <w:rPr>
                <w:rFonts w:hint="default" w:ascii="Times New Roman" w:hAnsi="Times New Roman" w:cs="Times New Roman"/>
                <w:color w:val="auto"/>
                <w:sz w:val="24"/>
                <w:highlight w:val="none"/>
              </w:rPr>
            </w:pPr>
            <w:r>
              <w:rPr>
                <w:rFonts w:hint="eastAsia" w:ascii="Times New Roman" w:hAnsi="Times New Roman" w:eastAsia="宋体" w:cs="Times New Roman"/>
                <w:b w:val="0"/>
                <w:bCs/>
                <w:color w:val="auto"/>
                <w:sz w:val="24"/>
                <w:szCs w:val="24"/>
                <w:highlight w:val="none"/>
              </w:rPr>
              <w:t>经查询内蒙古自治区</w:t>
            </w:r>
            <w:r>
              <w:rPr>
                <w:rFonts w:hint="eastAsia"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rPr>
              <w:t>三线一单</w:t>
            </w:r>
            <w:r>
              <w:rPr>
                <w:rFonts w:hint="eastAsia"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rPr>
              <w:t>公众端应用平台</w:t>
            </w:r>
            <w:r>
              <w:rPr>
                <w:rFonts w:hint="eastAsia" w:ascii="Times New Roman" w:hAnsi="Times New Roman" w:eastAsia="宋体" w:cs="Times New Roman"/>
                <w:b w:val="0"/>
                <w:bCs/>
                <w:color w:val="auto"/>
                <w:sz w:val="24"/>
                <w:szCs w:val="24"/>
                <w:highlight w:val="none"/>
                <w:lang w:val="en-US" w:eastAsia="zh-CN"/>
              </w:rPr>
              <w:t>及</w:t>
            </w:r>
            <w:r>
              <w:rPr>
                <w:rFonts w:hint="eastAsia" w:cs="Times New Roman"/>
                <w:b w:val="0"/>
                <w:bCs/>
                <w:color w:val="auto"/>
                <w:kern w:val="0"/>
                <w:sz w:val="24"/>
                <w:szCs w:val="24"/>
                <w:highlight w:val="none"/>
                <w:lang w:eastAsia="zh-CN" w:bidi="ar"/>
              </w:rPr>
              <w:t>《巴 彦 淖 尔 市 生 态 环 境 准 入 清单》</w:t>
            </w:r>
            <w:r>
              <w:rPr>
                <w:rFonts w:hint="default" w:ascii="Times New Roman" w:hAnsi="Times New Roman" w:eastAsia="宋体" w:cs="Times New Roman"/>
                <w:b w:val="0"/>
                <w:bCs/>
                <w:color w:val="auto"/>
                <w:kern w:val="0"/>
                <w:sz w:val="24"/>
                <w:szCs w:val="24"/>
                <w:highlight w:val="none"/>
                <w:lang w:bidi="ar"/>
              </w:rPr>
              <w:t>（2023版）</w:t>
            </w:r>
            <w:r>
              <w:rPr>
                <w:rFonts w:hint="default" w:ascii="Times New Roman" w:hAnsi="Times New Roman" w:cs="Times New Roman"/>
                <w:b w:val="0"/>
                <w:bCs w:val="0"/>
                <w:color w:val="auto"/>
                <w:kern w:val="0"/>
                <w:sz w:val="24"/>
                <w:highlight w:val="none"/>
                <w:lang w:eastAsia="zh-CN" w:bidi="ar"/>
              </w:rPr>
              <w:t>，</w:t>
            </w:r>
            <w:r>
              <w:rPr>
                <w:rFonts w:hint="default" w:ascii="Times New Roman" w:hAnsi="Times New Roman" w:cs="Times New Roman"/>
                <w:b w:val="0"/>
                <w:bCs w:val="0"/>
                <w:color w:val="auto"/>
                <w:kern w:val="0"/>
                <w:sz w:val="24"/>
                <w:highlight w:val="none"/>
                <w:lang w:val="en-US" w:eastAsia="zh-CN" w:bidi="ar"/>
              </w:rPr>
              <w:t>本项目在生态用水补给区</w:t>
            </w:r>
            <w:r>
              <w:rPr>
                <w:rFonts w:hint="default" w:ascii="Times New Roman" w:hAnsi="Times New Roman" w:cs="Times New Roman"/>
                <w:b w:val="0"/>
                <w:bCs w:val="0"/>
                <w:color w:val="auto"/>
                <w:sz w:val="24"/>
                <w:highlight w:val="none"/>
                <w:lang w:val="en-US" w:eastAsia="zh-CN"/>
              </w:rPr>
              <w:t>范围内。</w:t>
            </w:r>
          </w:p>
          <w:p w14:paraId="2AF93FFD">
            <w:pPr>
              <w:keepNext w:val="0"/>
              <w:keepLines w:val="0"/>
              <w:pageBreakBefore w:val="0"/>
              <w:widowControl w:val="0"/>
              <w:numPr>
                <w:ilvl w:val="0"/>
                <w:numId w:val="0"/>
              </w:numPr>
              <w:kinsoku/>
              <w:wordWrap/>
              <w:overflowPunct/>
              <w:topLinePunct w:val="0"/>
              <w:autoSpaceDE/>
              <w:autoSpaceDN/>
              <w:bidi w:val="0"/>
              <w:snapToGrid/>
              <w:spacing w:line="440" w:lineRule="exact"/>
              <w:ind w:firstLine="480" w:firstLineChars="200"/>
              <w:textAlignment w:val="auto"/>
              <w:rPr>
                <w:rFonts w:hint="eastAsia"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cs="Times New Roman"/>
                <w:color w:val="auto"/>
                <w:sz w:val="24"/>
                <w:highlight w:val="none"/>
              </w:rPr>
              <w:t>本项目运营期</w:t>
            </w:r>
            <w:r>
              <w:rPr>
                <w:rFonts w:hint="default" w:ascii="Times New Roman" w:hAnsi="Times New Roman" w:cs="Times New Roman"/>
                <w:color w:val="auto"/>
                <w:sz w:val="24"/>
                <w:highlight w:val="none"/>
                <w:lang w:eastAsia="zh-CN"/>
              </w:rPr>
              <w:t>生产</w:t>
            </w:r>
            <w:r>
              <w:rPr>
                <w:rFonts w:hint="default" w:ascii="Times New Roman" w:hAnsi="Times New Roman" w:cs="Times New Roman"/>
                <w:color w:val="auto"/>
                <w:sz w:val="24"/>
                <w:highlight w:val="none"/>
                <w:lang w:val="en-US" w:eastAsia="zh-CN"/>
              </w:rPr>
              <w:t>生活用水全部由厂区自备水井提供水源，建设单位</w:t>
            </w:r>
            <w:r>
              <w:rPr>
                <w:rFonts w:hint="eastAsia" w:cs="Times New Roman"/>
                <w:color w:val="auto"/>
                <w:sz w:val="24"/>
                <w:highlight w:val="none"/>
                <w:lang w:val="en-US" w:eastAsia="zh-CN"/>
              </w:rPr>
              <w:t>已</w:t>
            </w:r>
            <w:r>
              <w:rPr>
                <w:rFonts w:hint="default" w:ascii="Times New Roman" w:hAnsi="Times New Roman" w:cs="Times New Roman"/>
                <w:color w:val="auto"/>
                <w:sz w:val="24"/>
                <w:highlight w:val="none"/>
                <w:lang w:val="en-US" w:eastAsia="zh-CN"/>
              </w:rPr>
              <w:t>根据水利部门相关规定办理取水许可证明</w:t>
            </w:r>
            <w:r>
              <w:rPr>
                <w:rFonts w:hint="eastAsia" w:cs="Times New Roman"/>
                <w:color w:val="auto"/>
                <w:sz w:val="24"/>
                <w:highlight w:val="none"/>
                <w:lang w:val="en-US" w:eastAsia="zh-CN"/>
              </w:rPr>
              <w:t>（见附件4）</w:t>
            </w:r>
            <w:r>
              <w:rPr>
                <w:rFonts w:hint="default" w:ascii="Times New Roman" w:hAnsi="Times New Roman" w:cs="Times New Roman"/>
                <w:color w:val="auto"/>
                <w:sz w:val="24"/>
                <w:highlight w:val="none"/>
              </w:rPr>
              <w:t>。</w:t>
            </w:r>
            <w:r>
              <w:rPr>
                <w:rFonts w:hint="eastAsia" w:ascii="Times New Roman" w:hAnsi="Times New Roman" w:eastAsia="宋体" w:cs="Times New Roman"/>
                <w:b w:val="0"/>
                <w:bCs w:val="0"/>
                <w:color w:val="auto"/>
                <w:sz w:val="24"/>
                <w:szCs w:val="24"/>
                <w:highlight w:val="none"/>
                <w:vertAlign w:val="baseline"/>
                <w:lang w:val="en-US" w:eastAsia="zh-CN"/>
              </w:rPr>
              <w:t>本项目</w:t>
            </w:r>
            <w:r>
              <w:rPr>
                <w:rFonts w:hint="eastAsia" w:cs="Times New Roman"/>
                <w:b w:val="0"/>
                <w:bCs w:val="0"/>
                <w:color w:val="auto"/>
                <w:sz w:val="24"/>
                <w:szCs w:val="24"/>
                <w:highlight w:val="none"/>
                <w:vertAlign w:val="baseline"/>
                <w:lang w:val="en-US" w:eastAsia="zh-CN"/>
              </w:rPr>
              <w:t>冷却生产用水循环使用，不会突破当地水资源利用上限</w:t>
            </w:r>
            <w:r>
              <w:rPr>
                <w:rFonts w:hint="eastAsia" w:ascii="Times New Roman" w:hAnsi="Times New Roman" w:eastAsia="宋体" w:cs="Times New Roman"/>
                <w:b w:val="0"/>
                <w:bCs w:val="0"/>
                <w:color w:val="auto"/>
                <w:sz w:val="24"/>
                <w:szCs w:val="24"/>
                <w:highlight w:val="none"/>
                <w:vertAlign w:val="baseline"/>
                <w:lang w:val="en-US" w:eastAsia="zh-CN"/>
              </w:rPr>
              <w:t>。</w:t>
            </w:r>
          </w:p>
          <w:p w14:paraId="4492840E">
            <w:pPr>
              <w:keepNext w:val="0"/>
              <w:keepLines w:val="0"/>
              <w:pageBreakBefore w:val="0"/>
              <w:widowControl w:val="0"/>
              <w:numPr>
                <w:ilvl w:val="0"/>
                <w:numId w:val="0"/>
              </w:numPr>
              <w:kinsoku/>
              <w:wordWrap/>
              <w:overflowPunct/>
              <w:topLinePunct w:val="0"/>
              <w:autoSpaceDE/>
              <w:autoSpaceDN/>
              <w:bidi w:val="0"/>
              <w:snapToGrid/>
              <w:spacing w:line="44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2"/>
                <w:sz w:val="24"/>
                <w:szCs w:val="24"/>
                <w:highlight w:val="none"/>
                <w:lang w:val="en-US" w:eastAsia="zh-CN" w:bidi="ar-SA"/>
              </w:rPr>
              <w:t>（2）</w:t>
            </w:r>
            <w:r>
              <w:rPr>
                <w:rFonts w:hint="default" w:ascii="Times New Roman" w:hAnsi="Times New Roman" w:eastAsia="宋体" w:cs="Times New Roman"/>
                <w:color w:val="auto"/>
                <w:sz w:val="24"/>
                <w:highlight w:val="none"/>
              </w:rPr>
              <w:t>土地资源利用上线</w:t>
            </w:r>
          </w:p>
          <w:p w14:paraId="4656A4D9">
            <w:pPr>
              <w:keepNext w:val="0"/>
              <w:keepLines w:val="0"/>
              <w:pageBreakBefore w:val="0"/>
              <w:widowControl w:val="0"/>
              <w:kinsoku/>
              <w:wordWrap/>
              <w:overflowPunct/>
              <w:topLinePunct w:val="0"/>
              <w:autoSpaceDE/>
              <w:autoSpaceDN/>
              <w:bidi w:val="0"/>
              <w:snapToGrid/>
              <w:spacing w:line="440" w:lineRule="exact"/>
              <w:ind w:firstLine="480" w:firstLineChars="200"/>
              <w:textAlignment w:val="auto"/>
              <w:rPr>
                <w:rFonts w:hint="default" w:ascii="Times New Roman" w:hAnsi="Times New Roman" w:cs="Times New Roman"/>
                <w:color w:val="auto"/>
                <w:sz w:val="24"/>
                <w:highlight w:val="none"/>
                <w:lang w:val="en-US" w:eastAsia="zh-CN"/>
              </w:rPr>
            </w:pPr>
            <w:r>
              <w:rPr>
                <w:rFonts w:hint="eastAsia" w:ascii="Times New Roman" w:hAnsi="Times New Roman" w:eastAsia="宋体" w:cs="Times New Roman"/>
                <w:b w:val="0"/>
                <w:bCs/>
                <w:color w:val="auto"/>
                <w:sz w:val="24"/>
                <w:szCs w:val="24"/>
                <w:highlight w:val="none"/>
              </w:rPr>
              <w:t>经查询内蒙古自治区</w:t>
            </w:r>
            <w:r>
              <w:rPr>
                <w:rFonts w:hint="eastAsia"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rPr>
              <w:t>三线一单</w:t>
            </w:r>
            <w:r>
              <w:rPr>
                <w:rFonts w:hint="eastAsia"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rPr>
              <w:t>公众端应用平台</w:t>
            </w:r>
            <w:r>
              <w:rPr>
                <w:rFonts w:hint="eastAsia" w:ascii="Times New Roman" w:hAnsi="Times New Roman" w:eastAsia="宋体" w:cs="Times New Roman"/>
                <w:b w:val="0"/>
                <w:bCs/>
                <w:color w:val="auto"/>
                <w:sz w:val="24"/>
                <w:szCs w:val="24"/>
                <w:highlight w:val="none"/>
                <w:lang w:val="en-US" w:eastAsia="zh-CN"/>
              </w:rPr>
              <w:t>及</w:t>
            </w:r>
            <w:r>
              <w:rPr>
                <w:rFonts w:hint="eastAsia" w:cs="Times New Roman"/>
                <w:b w:val="0"/>
                <w:bCs/>
                <w:color w:val="auto"/>
                <w:kern w:val="0"/>
                <w:sz w:val="24"/>
                <w:szCs w:val="24"/>
                <w:highlight w:val="none"/>
                <w:lang w:eastAsia="zh-CN" w:bidi="ar"/>
              </w:rPr>
              <w:t>《巴彦</w:t>
            </w:r>
            <w:r>
              <w:rPr>
                <w:rFonts w:hint="eastAsia" w:cs="Times New Roman"/>
                <w:b w:val="0"/>
                <w:bCs/>
                <w:color w:val="auto"/>
                <w:kern w:val="0"/>
                <w:sz w:val="24"/>
                <w:szCs w:val="24"/>
                <w:highlight w:val="none"/>
                <w:lang w:val="en-US" w:eastAsia="zh-CN" w:bidi="ar"/>
              </w:rPr>
              <w:t>淖</w:t>
            </w:r>
            <w:r>
              <w:rPr>
                <w:rFonts w:hint="eastAsia" w:cs="Times New Roman"/>
                <w:b w:val="0"/>
                <w:bCs/>
                <w:color w:val="auto"/>
                <w:kern w:val="0"/>
                <w:sz w:val="24"/>
                <w:szCs w:val="24"/>
                <w:highlight w:val="none"/>
                <w:lang w:eastAsia="zh-CN" w:bidi="ar"/>
              </w:rPr>
              <w:t>尔市生态环 境准入清单》</w:t>
            </w:r>
            <w:r>
              <w:rPr>
                <w:rFonts w:hint="default" w:ascii="Times New Roman" w:hAnsi="Times New Roman" w:eastAsia="宋体" w:cs="Times New Roman"/>
                <w:b w:val="0"/>
                <w:bCs/>
                <w:color w:val="auto"/>
                <w:kern w:val="0"/>
                <w:sz w:val="24"/>
                <w:szCs w:val="24"/>
                <w:highlight w:val="none"/>
                <w:lang w:bidi="ar"/>
              </w:rPr>
              <w:t>（2023版）</w:t>
            </w:r>
            <w:r>
              <w:rPr>
                <w:rFonts w:hint="default" w:ascii="Times New Roman" w:hAnsi="Times New Roman" w:cs="Times New Roman"/>
                <w:color w:val="auto"/>
                <w:sz w:val="24"/>
                <w:highlight w:val="none"/>
                <w:lang w:val="en-US" w:eastAsia="zh-CN"/>
              </w:rPr>
              <w:t>，本项目所在区域属于土地资源</w:t>
            </w:r>
            <w:r>
              <w:rPr>
                <w:rFonts w:hint="eastAsia" w:cs="Times New Roman"/>
                <w:color w:val="auto"/>
                <w:sz w:val="24"/>
                <w:highlight w:val="none"/>
                <w:lang w:val="en-US" w:eastAsia="zh-CN"/>
              </w:rPr>
              <w:t>一般</w:t>
            </w:r>
            <w:r>
              <w:rPr>
                <w:rFonts w:hint="default" w:ascii="Times New Roman" w:hAnsi="Times New Roman" w:cs="Times New Roman"/>
                <w:color w:val="auto"/>
                <w:sz w:val="24"/>
                <w:highlight w:val="none"/>
                <w:lang w:val="en-US" w:eastAsia="zh-CN"/>
              </w:rPr>
              <w:t>管控区。</w:t>
            </w:r>
          </w:p>
          <w:p w14:paraId="2A9D151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本次</w:t>
            </w:r>
            <w:r>
              <w:rPr>
                <w:rFonts w:hint="eastAsia" w:ascii="Times New Roman" w:hAnsi="Times New Roman" w:cs="Times New Roman"/>
                <w:color w:val="auto"/>
                <w:sz w:val="24"/>
                <w:highlight w:val="none"/>
                <w:lang w:val="en-US" w:eastAsia="zh-CN"/>
              </w:rPr>
              <w:t>建设用地位于</w:t>
            </w:r>
            <w:r>
              <w:rPr>
                <w:rFonts w:hint="eastAsia" w:cs="Times New Roman"/>
                <w:color w:val="auto"/>
                <w:sz w:val="24"/>
                <w:highlight w:val="none"/>
                <w:lang w:val="en-US" w:eastAsia="zh-CN"/>
              </w:rPr>
              <w:t>上海佳格食品有限公司内蒙古分公司院内，未新增占地</w:t>
            </w:r>
            <w:r>
              <w:rPr>
                <w:rFonts w:hint="eastAsia" w:ascii="Times New Roman" w:hAnsi="Times New Roman" w:cs="Times New Roman"/>
                <w:color w:val="auto"/>
                <w:sz w:val="24"/>
                <w:highlight w:val="none"/>
                <w:lang w:val="en-US" w:eastAsia="zh-CN"/>
              </w:rPr>
              <w:t>，</w:t>
            </w:r>
            <w:r>
              <w:rPr>
                <w:rFonts w:hint="eastAsia" w:cs="Times New Roman"/>
                <w:color w:val="auto"/>
                <w:kern w:val="0"/>
                <w:sz w:val="24"/>
                <w:szCs w:val="24"/>
                <w:highlight w:val="none"/>
                <w:lang w:val="en-US" w:eastAsia="zh-CN" w:bidi="ar"/>
              </w:rPr>
              <w:t>本项目用地</w:t>
            </w:r>
            <w:r>
              <w:rPr>
                <w:rFonts w:hint="eastAsia" w:ascii="Times New Roman" w:hAnsi="Times New Roman" w:eastAsia="宋体" w:cs="Times New Roman"/>
                <w:color w:val="auto"/>
                <w:kern w:val="0"/>
                <w:sz w:val="24"/>
                <w:szCs w:val="24"/>
                <w:highlight w:val="none"/>
                <w:lang w:val="en-US" w:eastAsia="zh-CN" w:bidi="ar"/>
              </w:rPr>
              <w:t>手续齐全</w:t>
            </w:r>
            <w:r>
              <w:rPr>
                <w:rFonts w:hint="eastAsia" w:cs="Times New Roman"/>
                <w:color w:val="auto"/>
                <w:kern w:val="0"/>
                <w:sz w:val="24"/>
                <w:szCs w:val="24"/>
                <w:highlight w:val="none"/>
                <w:lang w:val="en-US" w:eastAsia="zh-CN" w:bidi="ar"/>
              </w:rPr>
              <w:t>（见附件3）</w:t>
            </w:r>
            <w:r>
              <w:rPr>
                <w:rFonts w:hint="default" w:ascii="Times New Roman" w:hAnsi="Times New Roman" w:cs="Times New Roman"/>
                <w:color w:val="auto"/>
                <w:sz w:val="24"/>
                <w:highlight w:val="none"/>
              </w:rPr>
              <w:t>，符合土地</w:t>
            </w:r>
            <w:r>
              <w:rPr>
                <w:rFonts w:hint="eastAsia" w:cs="Times New Roman"/>
                <w:color w:val="auto"/>
                <w:sz w:val="24"/>
                <w:highlight w:val="none"/>
                <w:lang w:val="en-US" w:eastAsia="zh-CN"/>
              </w:rPr>
              <w:t>利用</w:t>
            </w:r>
            <w:r>
              <w:rPr>
                <w:rFonts w:hint="default" w:ascii="Times New Roman" w:hAnsi="Times New Roman" w:cs="Times New Roman"/>
                <w:color w:val="auto"/>
                <w:sz w:val="24"/>
                <w:highlight w:val="none"/>
              </w:rPr>
              <w:t>要求。</w:t>
            </w:r>
          </w:p>
          <w:p w14:paraId="4F1391DE">
            <w:pPr>
              <w:keepNext w:val="0"/>
              <w:keepLines w:val="0"/>
              <w:pageBreakBefore w:val="0"/>
              <w:widowControl w:val="0"/>
              <w:numPr>
                <w:ilvl w:val="0"/>
                <w:numId w:val="0"/>
              </w:numPr>
              <w:kinsoku/>
              <w:wordWrap/>
              <w:overflowPunct/>
              <w:topLinePunct w:val="0"/>
              <w:autoSpaceDE/>
              <w:autoSpaceDN/>
              <w:bidi w:val="0"/>
              <w:snapToGrid/>
              <w:spacing w:line="44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2"/>
                <w:sz w:val="24"/>
                <w:szCs w:val="24"/>
                <w:highlight w:val="none"/>
                <w:lang w:val="en-US" w:eastAsia="zh-CN" w:bidi="ar-SA"/>
              </w:rPr>
              <w:t>（3）</w:t>
            </w:r>
            <w:r>
              <w:rPr>
                <w:rFonts w:hint="default" w:ascii="Times New Roman" w:hAnsi="Times New Roman" w:cs="Times New Roman"/>
                <w:color w:val="auto"/>
                <w:sz w:val="24"/>
                <w:highlight w:val="none"/>
              </w:rPr>
              <w:t>能源利用上线</w:t>
            </w:r>
          </w:p>
          <w:p w14:paraId="2EC407E1">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b w:val="0"/>
                <w:bCs/>
                <w:color w:val="auto"/>
                <w:sz w:val="24"/>
                <w:szCs w:val="24"/>
                <w:highlight w:val="none"/>
              </w:rPr>
              <w:t>经查询内蒙古自治区</w:t>
            </w:r>
            <w:r>
              <w:rPr>
                <w:rFonts w:hint="eastAsia"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rPr>
              <w:t>三线一单</w:t>
            </w:r>
            <w:r>
              <w:rPr>
                <w:rFonts w:hint="eastAsia"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rPr>
              <w:t>公众端应用平台</w:t>
            </w:r>
            <w:r>
              <w:rPr>
                <w:rFonts w:hint="eastAsia" w:ascii="Times New Roman" w:hAnsi="Times New Roman" w:eastAsia="宋体" w:cs="Times New Roman"/>
                <w:b w:val="0"/>
                <w:bCs/>
                <w:color w:val="auto"/>
                <w:sz w:val="24"/>
                <w:szCs w:val="24"/>
                <w:highlight w:val="none"/>
                <w:lang w:val="en-US" w:eastAsia="zh-CN"/>
              </w:rPr>
              <w:t>及</w:t>
            </w:r>
            <w:r>
              <w:rPr>
                <w:rFonts w:hint="eastAsia" w:cs="Times New Roman"/>
                <w:b w:val="0"/>
                <w:bCs/>
                <w:color w:val="auto"/>
                <w:kern w:val="0"/>
                <w:sz w:val="24"/>
                <w:szCs w:val="24"/>
                <w:highlight w:val="none"/>
                <w:lang w:eastAsia="zh-CN" w:bidi="ar"/>
              </w:rPr>
              <w:t>《巴 彦 淖 尔 市 生 态 环 境 准 入 清单》</w:t>
            </w:r>
            <w:r>
              <w:rPr>
                <w:rFonts w:hint="default" w:ascii="Times New Roman" w:hAnsi="Times New Roman" w:eastAsia="宋体" w:cs="Times New Roman"/>
                <w:b w:val="0"/>
                <w:bCs/>
                <w:color w:val="auto"/>
                <w:kern w:val="0"/>
                <w:sz w:val="24"/>
                <w:szCs w:val="24"/>
                <w:highlight w:val="none"/>
                <w:lang w:bidi="ar"/>
              </w:rPr>
              <w:t>（2023版）</w:t>
            </w:r>
            <w:r>
              <w:rPr>
                <w:rFonts w:hint="default" w:ascii="Times New Roman" w:hAnsi="Times New Roman" w:cs="Times New Roman"/>
                <w:color w:val="auto"/>
                <w:sz w:val="24"/>
                <w:highlight w:val="none"/>
              </w:rPr>
              <w:t>，项目所在区域在巴彦淖尔市</w:t>
            </w:r>
            <w:r>
              <w:rPr>
                <w:rFonts w:hint="eastAsia" w:cs="Times New Roman"/>
                <w:color w:val="auto"/>
                <w:sz w:val="24"/>
                <w:highlight w:val="none"/>
                <w:lang w:val="en-US" w:eastAsia="zh-CN"/>
              </w:rPr>
              <w:t>大气环境受体敏感重点管控</w:t>
            </w:r>
            <w:r>
              <w:rPr>
                <w:rFonts w:hint="default" w:ascii="Times New Roman" w:hAnsi="Times New Roman" w:cs="Times New Roman"/>
                <w:color w:val="auto"/>
                <w:sz w:val="24"/>
                <w:highlight w:val="none"/>
              </w:rPr>
              <w:t>区范围内，本项目</w:t>
            </w:r>
            <w:r>
              <w:rPr>
                <w:rFonts w:hint="eastAsia" w:ascii="Times New Roman" w:hAnsi="Times New Roman" w:cs="Times New Roman"/>
                <w:color w:val="auto"/>
                <w:sz w:val="24"/>
                <w:highlight w:val="none"/>
                <w:lang w:val="en-US" w:eastAsia="zh-CN"/>
              </w:rPr>
              <w:t>使用</w:t>
            </w:r>
            <w:r>
              <w:rPr>
                <w:rFonts w:hint="eastAsia" w:cs="Times New Roman"/>
                <w:color w:val="auto"/>
                <w:sz w:val="24"/>
                <w:highlight w:val="none"/>
                <w:lang w:val="en-US" w:eastAsia="zh-CN"/>
              </w:rPr>
              <w:t>电导热油炉</w:t>
            </w:r>
            <w:r>
              <w:rPr>
                <w:rFonts w:hint="eastAsia" w:ascii="Times New Roman" w:hAnsi="Times New Roman" w:cs="Times New Roman"/>
                <w:color w:val="auto"/>
                <w:sz w:val="24"/>
                <w:highlight w:val="none"/>
                <w:lang w:val="en-US" w:eastAsia="zh-CN"/>
              </w:rPr>
              <w:t>加热灭菌</w:t>
            </w:r>
            <w:r>
              <w:rPr>
                <w:rFonts w:hint="default" w:ascii="Times New Roman" w:hAnsi="Times New Roman" w:cs="Times New Roman"/>
                <w:color w:val="auto"/>
                <w:sz w:val="24"/>
                <w:highlight w:val="none"/>
              </w:rPr>
              <w:t>，满足能源利用的相关要求。项目运营期由</w:t>
            </w:r>
            <w:r>
              <w:rPr>
                <w:rFonts w:hint="eastAsia" w:cs="Times New Roman"/>
                <w:color w:val="auto"/>
                <w:sz w:val="24"/>
                <w:highlight w:val="none"/>
                <w:lang w:val="en-US" w:eastAsia="zh-CN"/>
              </w:rPr>
              <w:t>磴口县巴彦高勒镇供电网络</w:t>
            </w:r>
            <w:r>
              <w:rPr>
                <w:rFonts w:hint="default" w:ascii="Times New Roman" w:hAnsi="Times New Roman" w:cs="Times New Roman"/>
                <w:color w:val="auto"/>
                <w:sz w:val="24"/>
                <w:highlight w:val="none"/>
              </w:rPr>
              <w:t>提供电能</w:t>
            </w:r>
            <w:r>
              <w:rPr>
                <w:rFonts w:hint="default" w:ascii="Times New Roman" w:hAnsi="Times New Roman" w:cs="Times New Roman"/>
                <w:color w:val="auto"/>
                <w:sz w:val="24"/>
                <w:highlight w:val="none"/>
                <w:lang w:val="en-US" w:eastAsia="zh-CN"/>
              </w:rPr>
              <w:t>，生产过程</w:t>
            </w:r>
            <w:r>
              <w:rPr>
                <w:rFonts w:hint="default" w:ascii="Times New Roman" w:hAnsi="Times New Roman" w:cs="Times New Roman"/>
                <w:color w:val="auto"/>
                <w:sz w:val="24"/>
                <w:highlight w:val="none"/>
              </w:rPr>
              <w:t>消耗资源相对于区域资源利用总量较少</w:t>
            </w:r>
            <w:r>
              <w:rPr>
                <w:rFonts w:hint="eastAsia" w:cs="Times New Roman"/>
                <w:color w:val="auto"/>
                <w:sz w:val="24"/>
                <w:highlight w:val="none"/>
                <w:lang w:eastAsia="zh-CN"/>
              </w:rPr>
              <w:t>，</w:t>
            </w:r>
            <w:r>
              <w:rPr>
                <w:rFonts w:hint="eastAsia" w:cs="Times New Roman"/>
                <w:color w:val="auto"/>
                <w:sz w:val="24"/>
                <w:highlight w:val="none"/>
                <w:lang w:val="en-US" w:eastAsia="zh-CN"/>
              </w:rPr>
              <w:t>符合资源利用上限要求。</w:t>
            </w:r>
          </w:p>
          <w:p w14:paraId="4C8B2916">
            <w:pPr>
              <w:keepNext w:val="0"/>
              <w:keepLines w:val="0"/>
              <w:pageBreakBefore w:val="0"/>
              <w:kinsoku/>
              <w:wordWrap/>
              <w:overflowPunct/>
              <w:topLinePunct w:val="0"/>
              <w:autoSpaceDE/>
              <w:autoSpaceDN/>
              <w:bidi w:val="0"/>
              <w:snapToGrid/>
              <w:spacing w:line="440" w:lineRule="exact"/>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生态环境准入清单</w:t>
            </w:r>
          </w:p>
          <w:p w14:paraId="3C3A573B">
            <w:pPr>
              <w:keepNext w:val="0"/>
              <w:keepLines w:val="0"/>
              <w:pageBreakBefore w:val="0"/>
              <w:kinsoku/>
              <w:wordWrap/>
              <w:overflowPunct/>
              <w:topLinePunct w:val="0"/>
              <w:autoSpaceDE/>
              <w:autoSpaceDN/>
              <w:bidi w:val="0"/>
              <w:snapToGrid/>
              <w:spacing w:line="44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rPr>
              <w:t>本项目位于</w:t>
            </w:r>
            <w:r>
              <w:rPr>
                <w:rFonts w:hint="eastAsia" w:ascii="Times New Roman" w:hAnsi="Times New Roman" w:cs="Times New Roman"/>
                <w:color w:val="auto"/>
                <w:sz w:val="24"/>
                <w:highlight w:val="none"/>
                <w:lang w:val="en-US" w:eastAsia="zh-CN"/>
              </w:rPr>
              <w:t>内蒙古巴彦淖尔</w:t>
            </w:r>
            <w:r>
              <w:rPr>
                <w:rFonts w:hint="eastAsia" w:cs="Times New Roman"/>
                <w:color w:val="auto"/>
                <w:sz w:val="24"/>
                <w:highlight w:val="none"/>
                <w:lang w:val="en-US" w:eastAsia="zh-CN"/>
              </w:rPr>
              <w:t>市</w:t>
            </w:r>
            <w:r>
              <w:rPr>
                <w:rFonts w:hint="default" w:ascii="Times New Roman" w:hAnsi="Times New Roman" w:eastAsia="宋体" w:cs="Times New Roman"/>
                <w:color w:val="auto"/>
                <w:kern w:val="0"/>
                <w:sz w:val="24"/>
                <w:highlight w:val="none"/>
                <w:lang w:val="en-US" w:eastAsia="zh-CN"/>
              </w:rPr>
              <w:t>磴口县巴彦高勒镇</w:t>
            </w:r>
            <w:r>
              <w:rPr>
                <w:rFonts w:hint="eastAsia" w:ascii="Times New Roman" w:hAnsi="Times New Roman" w:cs="Times New Roman"/>
                <w:color w:val="auto"/>
                <w:sz w:val="24"/>
                <w:highlight w:val="none"/>
                <w:lang w:val="en-US" w:eastAsia="zh-CN"/>
              </w:rPr>
              <w:t>上海佳格食品有限公司内蒙古分公司院内</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szCs w:val="24"/>
                <w:highlight w:val="none"/>
              </w:rPr>
              <w:t>根据</w:t>
            </w:r>
            <w:r>
              <w:rPr>
                <w:rFonts w:hint="eastAsia" w:ascii="Times New Roman" w:hAnsi="Times New Roman" w:eastAsia="宋体" w:cs="Times New Roman"/>
                <w:b w:val="0"/>
                <w:bCs/>
                <w:color w:val="auto"/>
                <w:sz w:val="24"/>
                <w:szCs w:val="24"/>
                <w:highlight w:val="none"/>
              </w:rPr>
              <w:t>内蒙古自治区</w:t>
            </w:r>
            <w:r>
              <w:rPr>
                <w:rFonts w:hint="eastAsia"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rPr>
              <w:t>三线一单</w:t>
            </w:r>
            <w:r>
              <w:rPr>
                <w:rFonts w:hint="eastAsia"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rPr>
              <w:t>公众端应用平台</w:t>
            </w:r>
            <w:r>
              <w:rPr>
                <w:rFonts w:hint="eastAsia" w:ascii="Times New Roman" w:hAnsi="Times New Roman" w:eastAsia="宋体" w:cs="Times New Roman"/>
                <w:b w:val="0"/>
                <w:bCs/>
                <w:color w:val="auto"/>
                <w:sz w:val="24"/>
                <w:szCs w:val="24"/>
                <w:highlight w:val="none"/>
                <w:lang w:val="en-US" w:eastAsia="zh-CN"/>
              </w:rPr>
              <w:t>及</w:t>
            </w:r>
            <w:r>
              <w:rPr>
                <w:rFonts w:hint="eastAsia" w:cs="Times New Roman"/>
                <w:color w:val="auto"/>
                <w:kern w:val="0"/>
                <w:sz w:val="24"/>
                <w:szCs w:val="24"/>
                <w:highlight w:val="none"/>
                <w:lang w:eastAsia="zh-CN" w:bidi="ar"/>
              </w:rPr>
              <w:t>《巴 彦 淖 尔 市 生 态 环 境 准 入 清单》</w:t>
            </w:r>
            <w:r>
              <w:rPr>
                <w:rFonts w:hint="default" w:ascii="Times New Roman" w:hAnsi="Times New Roman" w:eastAsia="宋体" w:cs="Times New Roman"/>
                <w:color w:val="auto"/>
                <w:kern w:val="0"/>
                <w:sz w:val="24"/>
                <w:szCs w:val="24"/>
                <w:highlight w:val="none"/>
                <w:lang w:bidi="ar"/>
              </w:rPr>
              <w:t>（2023版）</w:t>
            </w:r>
            <w:r>
              <w:rPr>
                <w:rFonts w:hint="eastAsia" w:cs="Times New Roman"/>
                <w:color w:val="auto"/>
                <w:kern w:val="0"/>
                <w:sz w:val="24"/>
                <w:szCs w:val="24"/>
                <w:highlight w:val="none"/>
                <w:lang w:val="en-US" w:eastAsia="zh-CN" w:bidi="ar"/>
              </w:rPr>
              <w:t>查询结果</w:t>
            </w:r>
            <w:r>
              <w:rPr>
                <w:rFonts w:hint="default" w:ascii="Times New Roman" w:hAnsi="Times New Roman" w:eastAsia="宋体" w:cs="Times New Roman"/>
                <w:color w:val="auto"/>
                <w:sz w:val="24"/>
                <w:szCs w:val="24"/>
                <w:highlight w:val="none"/>
              </w:rPr>
              <w:t>，本项目位于</w:t>
            </w:r>
            <w:r>
              <w:rPr>
                <w:rFonts w:hint="eastAsia" w:cs="Times New Roman"/>
                <w:color w:val="auto"/>
                <w:sz w:val="24"/>
                <w:szCs w:val="24"/>
                <w:highlight w:val="none"/>
                <w:lang w:eastAsia="zh-CN"/>
              </w:rPr>
              <w:t>“磴口县城镇空间”</w:t>
            </w:r>
            <w:r>
              <w:rPr>
                <w:rFonts w:hint="default" w:ascii="Times New Roman" w:hAnsi="Times New Roman" w:eastAsia="宋体" w:cs="Times New Roman"/>
                <w:color w:val="auto"/>
                <w:sz w:val="24"/>
                <w:szCs w:val="24"/>
                <w:highlight w:val="none"/>
              </w:rPr>
              <w:t>管控单元，环境管控单元编码</w:t>
            </w:r>
            <w:r>
              <w:rPr>
                <w:rFonts w:hint="eastAsia" w:cs="Times New Roman"/>
                <w:color w:val="auto"/>
                <w:sz w:val="24"/>
                <w:szCs w:val="24"/>
                <w:highlight w:val="none"/>
                <w:lang w:eastAsia="zh-CN"/>
              </w:rPr>
              <w:t>ZH15082220003</w:t>
            </w:r>
            <w:r>
              <w:rPr>
                <w:rFonts w:hint="default" w:ascii="Times New Roman" w:hAnsi="Times New Roman" w:eastAsia="宋体" w:cs="Times New Roman"/>
                <w:color w:val="auto"/>
                <w:sz w:val="24"/>
                <w:szCs w:val="24"/>
                <w:highlight w:val="none"/>
              </w:rPr>
              <w:t>，属于重点管控单元，本项目建设与管控单元管控要求符合性分析如下：</w:t>
            </w:r>
          </w:p>
          <w:p w14:paraId="510BAEEE">
            <w:pPr>
              <w:spacing w:line="360" w:lineRule="auto"/>
              <w:rPr>
                <w:rFonts w:hint="eastAsia" w:ascii="Times New Roman" w:hAnsi="Times New Roman" w:eastAsia="宋体" w:cs="Times New Roman"/>
                <w:color w:val="auto"/>
                <w:kern w:val="0"/>
                <w:szCs w:val="21"/>
                <w:highlight w:val="none"/>
                <w:lang w:val="en-US" w:eastAsia="zh-CN"/>
              </w:rPr>
            </w:pPr>
          </w:p>
        </w:tc>
      </w:tr>
    </w:tbl>
    <w:p w14:paraId="4665B17A">
      <w:pPr>
        <w:spacing w:line="360" w:lineRule="auto"/>
        <w:outlineLvl w:val="0"/>
        <w:rPr>
          <w:rFonts w:hint="eastAsia" w:ascii="宋体" w:hAnsi="宋体" w:eastAsia="宋体" w:cs="宋体"/>
          <w:color w:val="auto"/>
          <w:sz w:val="30"/>
          <w:highlight w:val="none"/>
          <w:lang w:val="en-US" w:eastAsia="zh-CN"/>
        </w:rPr>
        <w:sectPr>
          <w:footerReference r:id="rId6" w:type="default"/>
          <w:pgSz w:w="11906" w:h="16838"/>
          <w:pgMar w:top="1701" w:right="1531" w:bottom="1701" w:left="1531" w:header="851" w:footer="1304" w:gutter="0"/>
          <w:pgBorders>
            <w:top w:val="none" w:sz="0" w:space="0"/>
            <w:left w:val="none" w:sz="0" w:space="0"/>
            <w:bottom w:val="none" w:sz="0" w:space="0"/>
            <w:right w:val="none" w:sz="0" w:space="0"/>
          </w:pgBorders>
          <w:pgNumType w:start="1"/>
          <w:cols w:space="720" w:num="1"/>
          <w:docGrid w:linePitch="312" w:charSpace="0"/>
        </w:sectPr>
      </w:pPr>
      <w:r>
        <w:rPr>
          <w:rFonts w:hint="eastAsia" w:ascii="宋体" w:hAnsi="宋体" w:eastAsia="宋体" w:cs="宋体"/>
          <w:color w:val="auto"/>
          <w:sz w:val="30"/>
          <w:highlight w:val="none"/>
          <w:lang w:val="en-US" w:eastAsia="zh-CN"/>
        </w:rPr>
        <w:t xml:space="preserve">     </w:t>
      </w:r>
    </w:p>
    <w:p w14:paraId="50D0F310">
      <w:pPr>
        <w:pStyle w:val="11"/>
        <w:keepNext w:val="0"/>
        <w:keepLines w:val="0"/>
        <w:pageBreakBefore w:val="0"/>
        <w:widowControl w:val="0"/>
        <w:kinsoku/>
        <w:wordWrap/>
        <w:overflowPunct/>
        <w:topLinePunct w:val="0"/>
        <w:autoSpaceDE/>
        <w:autoSpaceDN/>
        <w:bidi w:val="0"/>
        <w:adjustRightInd/>
        <w:snapToGrid/>
        <w:spacing w:line="440" w:lineRule="exact"/>
        <w:ind w:firstLine="482"/>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szCs w:val="24"/>
          <w:highlight w:val="none"/>
        </w:rPr>
        <w:t>表1-</w:t>
      </w:r>
      <w:r>
        <w:rPr>
          <w:rFonts w:hint="eastAsia"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 xml:space="preserve">  重点管控单元管控要求符合性分析</w:t>
      </w:r>
    </w:p>
    <w:tbl>
      <w:tblPr>
        <w:tblStyle w:val="21"/>
        <w:tblW w:w="612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1"/>
        <w:gridCol w:w="655"/>
        <w:gridCol w:w="540"/>
        <w:gridCol w:w="630"/>
        <w:gridCol w:w="570"/>
        <w:gridCol w:w="8430"/>
        <w:gridCol w:w="4425"/>
        <w:gridCol w:w="745"/>
      </w:tblGrid>
      <w:tr w14:paraId="24E39D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7" w:hRule="atLeast"/>
          <w:jc w:val="center"/>
        </w:trPr>
        <w:tc>
          <w:tcPr>
            <w:tcW w:w="721" w:type="dxa"/>
            <w:vAlign w:val="center"/>
          </w:tcPr>
          <w:p w14:paraId="55B93E68">
            <w:pPr>
              <w:spacing w:line="240" w:lineRule="auto"/>
              <w:ind w:left="0" w:leftChars="0" w:right="0" w:rightChars="0"/>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rPr>
              <w:t>编码</w:t>
            </w:r>
          </w:p>
        </w:tc>
        <w:tc>
          <w:tcPr>
            <w:tcW w:w="655" w:type="dxa"/>
            <w:vAlign w:val="center"/>
          </w:tcPr>
          <w:p w14:paraId="3274CDE1">
            <w:pPr>
              <w:spacing w:line="240" w:lineRule="auto"/>
              <w:ind w:left="0" w:leftChars="0" w:right="0" w:rightChars="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环境管控单元名称</w:t>
            </w:r>
          </w:p>
        </w:tc>
        <w:tc>
          <w:tcPr>
            <w:tcW w:w="540" w:type="dxa"/>
            <w:vAlign w:val="center"/>
          </w:tcPr>
          <w:p w14:paraId="73497C8D">
            <w:pPr>
              <w:spacing w:line="240" w:lineRule="auto"/>
              <w:ind w:left="0" w:leftChars="0" w:right="0" w:rightChars="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管控单元类别</w:t>
            </w:r>
          </w:p>
        </w:tc>
        <w:tc>
          <w:tcPr>
            <w:tcW w:w="630" w:type="dxa"/>
            <w:vAlign w:val="center"/>
          </w:tcPr>
          <w:p w14:paraId="3027F649">
            <w:pPr>
              <w:spacing w:line="240" w:lineRule="auto"/>
              <w:ind w:left="0" w:leftChars="0" w:right="0" w:rightChars="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生态保护重点</w:t>
            </w:r>
          </w:p>
        </w:tc>
        <w:tc>
          <w:tcPr>
            <w:tcW w:w="9000" w:type="dxa"/>
            <w:gridSpan w:val="2"/>
            <w:vAlign w:val="center"/>
          </w:tcPr>
          <w:p w14:paraId="461C9151">
            <w:pPr>
              <w:spacing w:line="240" w:lineRule="auto"/>
              <w:ind w:left="0" w:leftChars="0" w:right="0" w:rightChars="0"/>
              <w:jc w:val="center"/>
              <w:rPr>
                <w:rFonts w:hint="default" w:ascii="Times New Roman" w:hAnsi="Times New Roman" w:eastAsia="宋体" w:cs="Times New Roman"/>
                <w:b/>
                <w:bCs w:val="0"/>
                <w:color w:val="auto"/>
                <w:kern w:val="0"/>
                <w:sz w:val="21"/>
                <w:szCs w:val="21"/>
                <w:highlight w:val="none"/>
              </w:rPr>
            </w:pPr>
            <w:r>
              <w:rPr>
                <w:rFonts w:hint="default" w:ascii="Times New Roman" w:hAnsi="Times New Roman" w:eastAsia="宋体" w:cs="Times New Roman"/>
                <w:b/>
                <w:bCs w:val="0"/>
                <w:color w:val="auto"/>
                <w:sz w:val="21"/>
                <w:szCs w:val="21"/>
                <w:highlight w:val="none"/>
              </w:rPr>
              <w:t>管控要求</w:t>
            </w:r>
          </w:p>
        </w:tc>
        <w:tc>
          <w:tcPr>
            <w:tcW w:w="4425" w:type="dxa"/>
            <w:vAlign w:val="center"/>
          </w:tcPr>
          <w:p w14:paraId="47356BC5">
            <w:pPr>
              <w:spacing w:line="240" w:lineRule="auto"/>
              <w:ind w:left="0" w:leftChars="0" w:right="0" w:rightChars="0"/>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符合性分析</w:t>
            </w:r>
          </w:p>
        </w:tc>
        <w:tc>
          <w:tcPr>
            <w:tcW w:w="745" w:type="dxa"/>
            <w:vAlign w:val="center"/>
          </w:tcPr>
          <w:p w14:paraId="2C4653F6">
            <w:pPr>
              <w:spacing w:line="240" w:lineRule="auto"/>
              <w:ind w:left="0" w:leftChars="0" w:right="0" w:rightChars="0"/>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是否符合</w:t>
            </w:r>
          </w:p>
        </w:tc>
      </w:tr>
      <w:tr w14:paraId="2D6AE9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1102" w:hRule="atLeast"/>
          <w:jc w:val="center"/>
        </w:trPr>
        <w:tc>
          <w:tcPr>
            <w:tcW w:w="2546" w:type="dxa"/>
            <w:gridSpan w:val="4"/>
            <w:vAlign w:val="center"/>
          </w:tcPr>
          <w:p w14:paraId="1281A4B3">
            <w:pPr>
              <w:spacing w:line="240" w:lineRule="auto"/>
              <w:ind w:left="0" w:leftChars="0" w:right="0" w:rightChars="0"/>
              <w:jc w:val="center"/>
              <w:rPr>
                <w:rFonts w:hint="default" w:ascii="Times New Roman" w:hAnsi="Times New Roman" w:eastAsia="宋体" w:cs="Times New Roman"/>
                <w:b/>
                <w:bCs w:val="0"/>
                <w:color w:val="auto"/>
                <w:sz w:val="21"/>
                <w:szCs w:val="21"/>
                <w:highlight w:val="none"/>
              </w:rPr>
            </w:pPr>
            <w:r>
              <w:rPr>
                <w:rFonts w:hint="eastAsia" w:ascii="Times New Roman" w:hAnsi="Times New Roman" w:eastAsia="宋体" w:cs="Times New Roman"/>
                <w:color w:val="auto"/>
                <w:kern w:val="0"/>
                <w:szCs w:val="21"/>
                <w:highlight w:val="none"/>
                <w:lang w:val="en-US" w:eastAsia="zh-CN"/>
              </w:rPr>
              <w:t>巴彦淖尔市总体准入要求</w:t>
            </w:r>
          </w:p>
        </w:tc>
        <w:tc>
          <w:tcPr>
            <w:tcW w:w="9000" w:type="dxa"/>
            <w:gridSpan w:val="2"/>
            <w:vAlign w:val="center"/>
          </w:tcPr>
          <w:p w14:paraId="2A22D0E7">
            <w:pPr>
              <w:tabs>
                <w:tab w:val="left" w:pos="312"/>
              </w:tabs>
              <w:spacing w:line="240" w:lineRule="auto"/>
              <w:ind w:left="0" w:leftChars="0" w:right="0" w:rightChars="0"/>
              <w:rPr>
                <w:rFonts w:eastAsia="宋体"/>
                <w:color w:val="auto"/>
                <w:kern w:val="0"/>
                <w:szCs w:val="21"/>
                <w:highlight w:val="none"/>
              </w:rPr>
            </w:pPr>
            <w:r>
              <w:rPr>
                <w:rFonts w:eastAsia="宋体"/>
                <w:color w:val="auto"/>
                <w:kern w:val="0"/>
                <w:szCs w:val="21"/>
                <w:highlight w:val="none"/>
              </w:rPr>
              <w:t>1、根据《</w:t>
            </w:r>
            <w:r>
              <w:rPr>
                <w:rFonts w:hint="eastAsia" w:eastAsia="宋体"/>
                <w:color w:val="auto"/>
                <w:kern w:val="0"/>
                <w:szCs w:val="21"/>
                <w:highlight w:val="none"/>
              </w:rPr>
              <w:t>内蒙古自治区进一步规范化工行业项目建设的若干规定</w:t>
            </w:r>
            <w:r>
              <w:rPr>
                <w:rFonts w:eastAsia="宋体"/>
                <w:color w:val="auto"/>
                <w:kern w:val="0"/>
                <w:szCs w:val="21"/>
                <w:highlight w:val="none"/>
              </w:rPr>
              <w:t>》，</w:t>
            </w:r>
            <w:r>
              <w:rPr>
                <w:rFonts w:hint="eastAsia" w:eastAsia="宋体"/>
                <w:color w:val="auto"/>
                <w:kern w:val="0"/>
                <w:szCs w:val="21"/>
                <w:highlight w:val="none"/>
              </w:rPr>
              <w:t>现有园区扩大面积的，要与黄河中上游流域巴彦淖尔段及主要支流岸线至少保持1公里距离。</w:t>
            </w:r>
          </w:p>
          <w:p w14:paraId="624FDCA5">
            <w:pPr>
              <w:tabs>
                <w:tab w:val="left" w:pos="312"/>
              </w:tabs>
              <w:spacing w:line="240" w:lineRule="auto"/>
              <w:ind w:left="0" w:leftChars="0" w:right="0" w:rightChars="0"/>
              <w:rPr>
                <w:rFonts w:eastAsia="宋体"/>
                <w:color w:val="auto"/>
                <w:kern w:val="0"/>
                <w:szCs w:val="21"/>
                <w:highlight w:val="none"/>
              </w:rPr>
            </w:pPr>
            <w:r>
              <w:rPr>
                <w:rFonts w:eastAsia="宋体"/>
                <w:color w:val="auto"/>
                <w:kern w:val="0"/>
                <w:szCs w:val="21"/>
                <w:highlight w:val="none"/>
              </w:rPr>
              <w:t>2、新建、改建、扩建</w:t>
            </w:r>
            <w:r>
              <w:rPr>
                <w:rFonts w:hint="eastAsia" w:eastAsia="宋体"/>
                <w:color w:val="auto"/>
                <w:kern w:val="0"/>
                <w:szCs w:val="21"/>
                <w:highlight w:val="none"/>
                <w:lang w:eastAsia="zh-CN"/>
              </w:rPr>
              <w:t>“</w:t>
            </w:r>
            <w:r>
              <w:rPr>
                <w:rFonts w:eastAsia="宋体"/>
                <w:color w:val="auto"/>
                <w:kern w:val="0"/>
                <w:szCs w:val="21"/>
                <w:highlight w:val="none"/>
              </w:rPr>
              <w:t>两高</w:t>
            </w:r>
            <w:r>
              <w:rPr>
                <w:rFonts w:hint="eastAsia" w:eastAsia="宋体"/>
                <w:color w:val="auto"/>
                <w:kern w:val="0"/>
                <w:szCs w:val="21"/>
                <w:highlight w:val="none"/>
                <w:lang w:eastAsia="zh-CN"/>
              </w:rPr>
              <w:t>”</w:t>
            </w:r>
            <w:r>
              <w:rPr>
                <w:rFonts w:eastAsia="宋体"/>
                <w:color w:val="auto"/>
                <w:kern w:val="0"/>
                <w:szCs w:val="21"/>
                <w:highlight w:val="none"/>
              </w:rPr>
              <w:t>项目须符合生态环境保护法律法规和相关法定规划，满足重点污染物排放总量控制、碳排放达峰目标、生态环境准入清单、相关规划环评和相应行业建设项目环境准入条件、环评文件审批要求。新建、扩建石化、化工、焦化、有色金属冶炼、平板玻璃项目应布设在依法合规设立并经规划环评的产业园区。</w:t>
            </w:r>
            <w:r>
              <w:rPr>
                <w:rFonts w:hint="eastAsia" w:eastAsia="宋体"/>
                <w:color w:val="auto"/>
                <w:kern w:val="0"/>
                <w:szCs w:val="21"/>
                <w:highlight w:val="none"/>
              </w:rPr>
              <w:t>化工园区（集中区）外已认定为化工重点监控点的企业，在项目审批、建设和管理方面参照化工园区内企业执行。企业可按照化工项目建设管理有关规定，依法依规在厂区内或紧邻厂区新建、改扩建现有装备同类产品、产业链延链补链、循环经济利用、安全环保节能项目，但原则上不能新建上游产业。</w:t>
            </w:r>
          </w:p>
          <w:p w14:paraId="50C35A5E">
            <w:pPr>
              <w:tabs>
                <w:tab w:val="left" w:pos="312"/>
              </w:tabs>
              <w:spacing w:line="240" w:lineRule="auto"/>
              <w:ind w:left="0" w:leftChars="0" w:right="0" w:rightChars="0"/>
              <w:rPr>
                <w:rFonts w:eastAsia="宋体"/>
                <w:color w:val="auto"/>
                <w:kern w:val="0"/>
                <w:szCs w:val="21"/>
                <w:highlight w:val="none"/>
              </w:rPr>
            </w:pPr>
            <w:r>
              <w:rPr>
                <w:rFonts w:eastAsia="宋体"/>
                <w:color w:val="auto"/>
                <w:kern w:val="0"/>
                <w:szCs w:val="21"/>
                <w:highlight w:val="none"/>
              </w:rPr>
              <w:t>3、为改善区域环境质量，严格控制</w:t>
            </w:r>
            <w:r>
              <w:rPr>
                <w:rFonts w:hint="eastAsia" w:eastAsia="宋体"/>
                <w:color w:val="auto"/>
                <w:kern w:val="0"/>
                <w:szCs w:val="21"/>
                <w:highlight w:val="none"/>
                <w:lang w:eastAsia="zh-CN"/>
              </w:rPr>
              <w:t>“</w:t>
            </w:r>
            <w:r>
              <w:rPr>
                <w:rFonts w:eastAsia="宋体"/>
                <w:color w:val="auto"/>
                <w:kern w:val="0"/>
                <w:szCs w:val="21"/>
                <w:highlight w:val="none"/>
              </w:rPr>
              <w:t>两高</w:t>
            </w:r>
            <w:r>
              <w:rPr>
                <w:rFonts w:hint="eastAsia" w:eastAsia="宋体"/>
                <w:color w:val="auto"/>
                <w:kern w:val="0"/>
                <w:szCs w:val="21"/>
                <w:highlight w:val="none"/>
                <w:lang w:eastAsia="zh-CN"/>
              </w:rPr>
              <w:t>”</w:t>
            </w:r>
            <w:r>
              <w:rPr>
                <w:rFonts w:eastAsia="宋体"/>
                <w:color w:val="auto"/>
                <w:kern w:val="0"/>
                <w:szCs w:val="21"/>
                <w:highlight w:val="none"/>
              </w:rPr>
              <w:t>项目新增主要污染物排放，确保环境影响报告书及其批复文件要求的主要污染物排放量区域削减措施落实到位。建设项目应满足区域、流域控制单元环境质量改善目标管理要求。所在区域、流域控制单元环境质量未达到国家或者地方环境质量标准的，建设项目应提出有效的区域削减方案</w:t>
            </w:r>
            <w:r>
              <w:rPr>
                <w:rFonts w:hint="eastAsia" w:eastAsia="宋体"/>
                <w:color w:val="auto"/>
                <w:kern w:val="0"/>
                <w:szCs w:val="21"/>
                <w:highlight w:val="none"/>
                <w:lang w:eastAsia="zh-CN"/>
              </w:rPr>
              <w:t>，</w:t>
            </w:r>
            <w:r>
              <w:rPr>
                <w:rFonts w:eastAsia="宋体"/>
                <w:color w:val="auto"/>
                <w:kern w:val="0"/>
                <w:szCs w:val="21"/>
                <w:highlight w:val="none"/>
              </w:rPr>
              <w:t>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w:t>
            </w:r>
          </w:p>
          <w:p w14:paraId="57C2F96F">
            <w:pPr>
              <w:tabs>
                <w:tab w:val="left" w:pos="312"/>
              </w:tabs>
              <w:spacing w:line="240" w:lineRule="auto"/>
              <w:ind w:left="0" w:leftChars="0" w:right="0" w:rightChars="0"/>
              <w:rPr>
                <w:rFonts w:eastAsia="宋体"/>
                <w:color w:val="auto"/>
                <w:kern w:val="0"/>
                <w:szCs w:val="21"/>
                <w:highlight w:val="none"/>
              </w:rPr>
            </w:pPr>
            <w:r>
              <w:rPr>
                <w:rFonts w:eastAsia="宋体"/>
                <w:color w:val="auto"/>
                <w:kern w:val="0"/>
                <w:szCs w:val="21"/>
                <w:highlight w:val="none"/>
              </w:rPr>
              <w:t>4、各类园区及建设项目选址</w:t>
            </w:r>
            <w:r>
              <w:rPr>
                <w:rFonts w:hint="eastAsia" w:eastAsia="宋体"/>
                <w:color w:val="auto"/>
                <w:kern w:val="0"/>
                <w:szCs w:val="21"/>
                <w:highlight w:val="none"/>
              </w:rPr>
              <w:t>应当</w:t>
            </w:r>
            <w:r>
              <w:rPr>
                <w:rFonts w:eastAsia="宋体"/>
                <w:color w:val="auto"/>
                <w:kern w:val="0"/>
                <w:szCs w:val="21"/>
                <w:highlight w:val="none"/>
              </w:rPr>
              <w:t>符合当地国土空间规划。</w:t>
            </w:r>
          </w:p>
          <w:p w14:paraId="26B36D7F">
            <w:pPr>
              <w:tabs>
                <w:tab w:val="left" w:pos="312"/>
              </w:tabs>
              <w:spacing w:line="240" w:lineRule="auto"/>
              <w:ind w:left="0" w:leftChars="0" w:right="0" w:rightChars="0"/>
              <w:rPr>
                <w:rFonts w:eastAsia="宋体"/>
                <w:color w:val="auto"/>
                <w:kern w:val="0"/>
                <w:szCs w:val="21"/>
                <w:highlight w:val="none"/>
              </w:rPr>
            </w:pPr>
            <w:r>
              <w:rPr>
                <w:rFonts w:eastAsia="宋体"/>
                <w:color w:val="auto"/>
                <w:kern w:val="0"/>
                <w:szCs w:val="21"/>
                <w:highlight w:val="none"/>
              </w:rPr>
              <w:t>5、畜禽养殖禁养区内不得新建、扩建和改建各类畜禽养殖场，限养区内严格限制新建和扩建各类规模化畜禽养殖场。适养区内现有的各类畜禽养殖场必须落实污染防治措施，对污水、废渣和恶臭应进行定期监测，确保排放的污染物达到《畜禽养殖业污染物排放标准》（GB18596）的限值要求，并符合污染物排放总量控制要求。禁养区范围内的已建成的畜禽养殖场（小区）和养殖专业户，由所在地人民政府负责责令限期搬迁、关闭或取缔。</w:t>
            </w:r>
          </w:p>
          <w:p w14:paraId="69CA6602">
            <w:pPr>
              <w:tabs>
                <w:tab w:val="left" w:pos="312"/>
              </w:tabs>
              <w:spacing w:line="240" w:lineRule="auto"/>
              <w:ind w:left="0" w:leftChars="0" w:right="0" w:rightChars="0"/>
              <w:rPr>
                <w:rFonts w:eastAsia="宋体"/>
                <w:color w:val="auto"/>
                <w:kern w:val="0"/>
                <w:szCs w:val="21"/>
                <w:highlight w:val="none"/>
              </w:rPr>
            </w:pPr>
            <w:r>
              <w:rPr>
                <w:rFonts w:eastAsia="宋体"/>
                <w:color w:val="auto"/>
                <w:kern w:val="0"/>
                <w:szCs w:val="21"/>
                <w:highlight w:val="none"/>
              </w:rPr>
              <w:t>6、建设对环境有影响的项目，建设单位应当根据国家关于建设项目环境保护分类管理的规定，按照对环境造成影响的程度，组织编制环境影响报告书、环境影响报告表或者填写环境影响登记表。严格落实排污许可管理要求，加强排污许可证实施监管，督促企业采取有效措施控制污染物排放，达到排污许可证规定的许可排放量要求。</w:t>
            </w:r>
          </w:p>
          <w:p w14:paraId="1982E789">
            <w:pPr>
              <w:tabs>
                <w:tab w:val="left" w:pos="312"/>
              </w:tabs>
              <w:spacing w:line="240" w:lineRule="auto"/>
              <w:ind w:left="0" w:leftChars="0" w:right="0" w:rightChars="0"/>
              <w:rPr>
                <w:rFonts w:hint="default" w:ascii="Times New Roman" w:hAnsi="Times New Roman" w:eastAsia="宋体" w:cs="Times New Roman"/>
                <w:b/>
                <w:bCs w:val="0"/>
                <w:color w:val="auto"/>
                <w:sz w:val="21"/>
                <w:szCs w:val="21"/>
                <w:highlight w:val="none"/>
              </w:rPr>
            </w:pPr>
            <w:r>
              <w:rPr>
                <w:rFonts w:hint="eastAsia" w:eastAsia="宋体"/>
                <w:color w:val="auto"/>
                <w:kern w:val="0"/>
                <w:szCs w:val="21"/>
                <w:highlight w:val="none"/>
              </w:rPr>
              <w:t>7、入园项目需符合园区产业定位、布局、规划环评等；根据《内蒙古自治区</w:t>
            </w:r>
            <w:r>
              <w:rPr>
                <w:rFonts w:hint="eastAsia" w:eastAsia="宋体"/>
                <w:color w:val="auto"/>
                <w:kern w:val="0"/>
                <w:szCs w:val="21"/>
                <w:highlight w:val="none"/>
                <w:lang w:eastAsia="zh-CN"/>
              </w:rPr>
              <w:t>“</w:t>
            </w:r>
            <w:r>
              <w:rPr>
                <w:rFonts w:hint="eastAsia" w:eastAsia="宋体"/>
                <w:color w:val="auto"/>
                <w:kern w:val="0"/>
                <w:szCs w:val="21"/>
                <w:highlight w:val="none"/>
              </w:rPr>
              <w:t>十四五</w:t>
            </w:r>
            <w:r>
              <w:rPr>
                <w:rFonts w:hint="eastAsia" w:eastAsia="宋体"/>
                <w:color w:val="auto"/>
                <w:kern w:val="0"/>
                <w:szCs w:val="21"/>
                <w:highlight w:val="none"/>
                <w:lang w:eastAsia="zh-CN"/>
              </w:rPr>
              <w:t>”</w:t>
            </w:r>
            <w:r>
              <w:rPr>
                <w:rFonts w:hint="eastAsia" w:eastAsia="宋体"/>
                <w:color w:val="auto"/>
                <w:kern w:val="0"/>
                <w:szCs w:val="21"/>
                <w:highlight w:val="none"/>
              </w:rPr>
              <w:t>危险废物集中处置设施建设规划》，原则上限制新建、扩建危险废物焚烧、填埋、水泥窑协同等集中处置设施。</w:t>
            </w:r>
          </w:p>
        </w:tc>
        <w:tc>
          <w:tcPr>
            <w:tcW w:w="4425" w:type="dxa"/>
            <w:vAlign w:val="center"/>
          </w:tcPr>
          <w:p w14:paraId="090DD37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cs="Times New Roman"/>
                <w:color w:val="auto"/>
                <w:kern w:val="0"/>
                <w:sz w:val="21"/>
                <w:szCs w:val="21"/>
                <w:highlight w:val="none"/>
                <w:lang w:val="en-US" w:eastAsia="zh-CN" w:bidi="ar"/>
              </w:rPr>
            </w:pPr>
            <w:r>
              <w:rPr>
                <w:rFonts w:hint="eastAsia" w:cs="Times New Roman"/>
                <w:b w:val="0"/>
                <w:bCs/>
                <w:color w:val="auto"/>
                <w:sz w:val="21"/>
                <w:szCs w:val="21"/>
                <w:highlight w:val="none"/>
                <w:lang w:val="en-US" w:eastAsia="zh-CN"/>
              </w:rPr>
              <w:t>1、本项目于磴口县巴彦高勒镇上海佳格食品有限公司内蒙古分公司院内建设，用地手续齐全</w:t>
            </w:r>
            <w:r>
              <w:rPr>
                <w:rFonts w:hint="eastAsia" w:cs="Times New Roman"/>
                <w:color w:val="auto"/>
                <w:kern w:val="0"/>
                <w:sz w:val="21"/>
                <w:szCs w:val="21"/>
                <w:highlight w:val="none"/>
                <w:lang w:val="en-US" w:eastAsia="zh-CN" w:bidi="ar"/>
              </w:rPr>
              <w:t>，不涉及扩大园区面积且与黄河中上游流域巴彦淖尔段及主要支流岸线至少保持1公里距离；</w:t>
            </w:r>
          </w:p>
          <w:p w14:paraId="51874252">
            <w:pPr>
              <w:pStyle w:val="11"/>
              <w:keepNext w:val="0"/>
              <w:keepLines w:val="0"/>
              <w:pageBreakBefore w:val="0"/>
              <w:widowControl w:val="0"/>
              <w:kinsoku/>
              <w:wordWrap/>
              <w:overflowPunct/>
              <w:topLinePunct w:val="0"/>
              <w:autoSpaceDE/>
              <w:autoSpaceDN/>
              <w:bidi w:val="0"/>
              <w:adjustRightInd/>
              <w:snapToGrid/>
              <w:ind w:left="0" w:leftChars="0" w:firstLine="0" w:firstLineChars="0"/>
              <w:jc w:val="left"/>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2、本项目不属于“两高”项目；</w:t>
            </w:r>
          </w:p>
          <w:p w14:paraId="2D6CF5A6">
            <w:pPr>
              <w:pStyle w:val="11"/>
              <w:keepNext w:val="0"/>
              <w:keepLines w:val="0"/>
              <w:pageBreakBefore w:val="0"/>
              <w:widowControl w:val="0"/>
              <w:kinsoku/>
              <w:wordWrap/>
              <w:overflowPunct/>
              <w:topLinePunct w:val="0"/>
              <w:autoSpaceDE/>
              <w:autoSpaceDN/>
              <w:bidi w:val="0"/>
              <w:adjustRightInd/>
              <w:snapToGrid/>
              <w:ind w:left="0" w:leftChars="0" w:firstLine="0" w:firstLineChars="0"/>
              <w:jc w:val="left"/>
              <w:textAlignment w:val="auto"/>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3、根据前文分析，本项目投产后产生的污染物均得到妥善处理不会造成区域环境质量恶化；</w:t>
            </w:r>
          </w:p>
          <w:p w14:paraId="3EB96A02">
            <w:pPr>
              <w:pStyle w:val="11"/>
              <w:keepNext w:val="0"/>
              <w:keepLines w:val="0"/>
              <w:pageBreakBefore w:val="0"/>
              <w:widowControl w:val="0"/>
              <w:kinsoku/>
              <w:wordWrap/>
              <w:overflowPunct/>
              <w:topLinePunct w:val="0"/>
              <w:autoSpaceDE/>
              <w:autoSpaceDN/>
              <w:bidi w:val="0"/>
              <w:adjustRightInd/>
              <w:snapToGrid/>
              <w:ind w:left="0" w:leftChars="0" w:firstLine="0" w:firstLineChars="0"/>
              <w:jc w:val="left"/>
              <w:textAlignment w:val="auto"/>
              <w:rPr>
                <w:rFonts w:hint="eastAsia" w:cs="Times New Roman"/>
                <w:b w:val="0"/>
                <w:bCs/>
                <w:color w:val="auto"/>
                <w:sz w:val="21"/>
                <w:szCs w:val="21"/>
                <w:highlight w:val="none"/>
                <w:lang w:eastAsia="zh-CN"/>
              </w:rPr>
            </w:pPr>
            <w:r>
              <w:rPr>
                <w:rFonts w:hint="eastAsia" w:cs="Times New Roman"/>
                <w:color w:val="auto"/>
                <w:kern w:val="0"/>
                <w:sz w:val="21"/>
                <w:szCs w:val="21"/>
                <w:highlight w:val="none"/>
                <w:lang w:val="en-US" w:eastAsia="zh-CN" w:bidi="ar"/>
              </w:rPr>
              <w:t>4、本项目选址符合《巴彦淖尔市磴口县国土空间总体规划（2021—2035年）》</w:t>
            </w:r>
            <w:r>
              <w:rPr>
                <w:rFonts w:hint="eastAsia" w:cs="Times New Roman"/>
                <w:b w:val="0"/>
                <w:bCs/>
                <w:color w:val="auto"/>
                <w:sz w:val="21"/>
                <w:szCs w:val="21"/>
                <w:highlight w:val="none"/>
                <w:lang w:eastAsia="zh-CN"/>
              </w:rPr>
              <w:t>；</w:t>
            </w:r>
          </w:p>
          <w:p w14:paraId="75200C2F">
            <w:pPr>
              <w:pStyle w:val="11"/>
              <w:keepNext w:val="0"/>
              <w:keepLines w:val="0"/>
              <w:pageBreakBefore w:val="0"/>
              <w:widowControl w:val="0"/>
              <w:kinsoku/>
              <w:wordWrap/>
              <w:overflowPunct/>
              <w:topLinePunct w:val="0"/>
              <w:autoSpaceDE/>
              <w:autoSpaceDN/>
              <w:bidi w:val="0"/>
              <w:adjustRightInd/>
              <w:snapToGrid/>
              <w:ind w:left="0" w:leftChars="0" w:firstLine="0" w:firstLineChars="0"/>
              <w:jc w:val="left"/>
              <w:textAlignment w:val="auto"/>
              <w:rPr>
                <w:rFonts w:hint="eastAsia" w:cs="Times New Roman"/>
                <w:b w:val="0"/>
                <w:bCs w:val="0"/>
                <w:color w:val="auto"/>
                <w:sz w:val="21"/>
                <w:szCs w:val="21"/>
                <w:highlight w:val="none"/>
                <w:lang w:val="en-US" w:eastAsia="zh-CN"/>
              </w:rPr>
            </w:pPr>
            <w:r>
              <w:rPr>
                <w:rFonts w:hint="eastAsia" w:cs="Times New Roman"/>
                <w:b w:val="0"/>
                <w:bCs/>
                <w:color w:val="auto"/>
                <w:sz w:val="21"/>
                <w:szCs w:val="21"/>
                <w:highlight w:val="none"/>
                <w:lang w:val="en-US" w:eastAsia="zh-CN"/>
              </w:rPr>
              <w:t>5、本次</w:t>
            </w:r>
            <w:r>
              <w:rPr>
                <w:rFonts w:hint="eastAsia" w:ascii="Times New Roman" w:hAnsi="Times New Roman" w:eastAsia="宋体" w:cs="Times New Roman"/>
                <w:b w:val="0"/>
                <w:bCs w:val="0"/>
                <w:color w:val="auto"/>
                <w:kern w:val="0"/>
                <w:sz w:val="21"/>
                <w:szCs w:val="21"/>
                <w:highlight w:val="none"/>
                <w:lang w:val="en-US" w:eastAsia="zh-CN" w:bidi="ar"/>
              </w:rPr>
              <w:t>新建</w:t>
            </w:r>
            <w:r>
              <w:rPr>
                <w:rFonts w:hint="default" w:ascii="Times New Roman" w:hAnsi="Times New Roman" w:eastAsia="宋体" w:cs="Times New Roman"/>
                <w:b w:val="0"/>
                <w:bCs w:val="0"/>
                <w:color w:val="auto"/>
                <w:kern w:val="0"/>
                <w:sz w:val="21"/>
                <w:szCs w:val="21"/>
                <w:highlight w:val="none"/>
                <w:lang w:val="en-US" w:eastAsia="zh-CN" w:bidi="ar"/>
              </w:rPr>
              <w:t>行业类别为</w:t>
            </w:r>
            <w:r>
              <w:rPr>
                <w:rFonts w:hint="eastAsia" w:cs="Times New Roman"/>
                <w:b w:val="0"/>
                <w:bCs w:val="0"/>
                <w:color w:val="auto"/>
                <w:kern w:val="0"/>
                <w:sz w:val="21"/>
                <w:szCs w:val="21"/>
                <w:highlight w:val="none"/>
                <w:lang w:val="en-US" w:eastAsia="zh-CN" w:bidi="ar"/>
              </w:rPr>
              <w:t>食用植物油加工</w:t>
            </w:r>
            <w:r>
              <w:rPr>
                <w:rFonts w:hint="default" w:ascii="Times New Roman" w:hAnsi="Times New Roman" w:eastAsia="宋体" w:cs="Times New Roman"/>
                <w:b w:val="0"/>
                <w:bCs w:val="0"/>
                <w:color w:val="auto"/>
                <w:sz w:val="21"/>
                <w:szCs w:val="21"/>
                <w:highlight w:val="none"/>
                <w:lang w:val="en-US" w:eastAsia="zh-CN"/>
              </w:rPr>
              <w:t>，</w:t>
            </w:r>
            <w:r>
              <w:rPr>
                <w:rFonts w:hint="eastAsia" w:cs="Times New Roman"/>
                <w:b w:val="0"/>
                <w:bCs w:val="0"/>
                <w:color w:val="auto"/>
                <w:sz w:val="21"/>
                <w:szCs w:val="21"/>
                <w:highlight w:val="none"/>
                <w:lang w:val="en-US" w:eastAsia="zh-CN"/>
              </w:rPr>
              <w:t>不涉及畜禽养殖；</w:t>
            </w:r>
          </w:p>
          <w:p w14:paraId="7FADE3A6">
            <w:pPr>
              <w:pStyle w:val="11"/>
              <w:keepNext w:val="0"/>
              <w:keepLines w:val="0"/>
              <w:pageBreakBefore w:val="0"/>
              <w:widowControl w:val="0"/>
              <w:kinsoku/>
              <w:wordWrap/>
              <w:overflowPunct/>
              <w:topLinePunct w:val="0"/>
              <w:autoSpaceDE/>
              <w:autoSpaceDN/>
              <w:bidi w:val="0"/>
              <w:adjustRightInd/>
              <w:snapToGrid/>
              <w:ind w:left="0" w:leftChars="0" w:firstLine="0" w:firstLineChars="0"/>
              <w:jc w:val="left"/>
              <w:textAlignment w:val="auto"/>
              <w:rPr>
                <w:rFonts w:hint="eastAsia"/>
                <w:color w:val="auto"/>
                <w:szCs w:val="21"/>
                <w:highlight w:val="none"/>
                <w:lang w:val="en-US" w:eastAsia="zh-CN"/>
              </w:rPr>
            </w:pPr>
            <w:r>
              <w:rPr>
                <w:rFonts w:hint="eastAsia" w:cs="Times New Roman"/>
                <w:b w:val="0"/>
                <w:bCs w:val="0"/>
                <w:color w:val="auto"/>
                <w:sz w:val="21"/>
                <w:szCs w:val="21"/>
                <w:highlight w:val="none"/>
                <w:lang w:val="en-US" w:eastAsia="zh-CN"/>
              </w:rPr>
              <w:t>6、本项目</w:t>
            </w:r>
            <w:r>
              <w:rPr>
                <w:rFonts w:eastAsia="宋体"/>
                <w:color w:val="auto"/>
                <w:szCs w:val="21"/>
                <w:highlight w:val="none"/>
              </w:rPr>
              <w:t>根据国家关于建设项目环境保护分类管理的规定，组织编制环境影响报告表</w:t>
            </w:r>
            <w:r>
              <w:rPr>
                <w:rFonts w:hint="eastAsia"/>
                <w:color w:val="auto"/>
                <w:szCs w:val="21"/>
                <w:highlight w:val="none"/>
                <w:lang w:eastAsia="zh-CN"/>
              </w:rPr>
              <w:t>、</w:t>
            </w:r>
            <w:r>
              <w:rPr>
                <w:rFonts w:hint="eastAsia"/>
                <w:color w:val="auto"/>
                <w:szCs w:val="21"/>
                <w:highlight w:val="none"/>
                <w:lang w:val="en-US" w:eastAsia="zh-CN"/>
              </w:rPr>
              <w:t>排污许可证的申报；</w:t>
            </w:r>
          </w:p>
          <w:p w14:paraId="37BEC6A3">
            <w:pPr>
              <w:widowControl/>
              <w:rPr>
                <w:rFonts w:hint="default" w:ascii="Times New Roman" w:hAnsi="Times New Roman" w:eastAsia="宋体" w:cs="Times New Roman"/>
                <w:b/>
                <w:bCs w:val="0"/>
                <w:color w:val="auto"/>
                <w:sz w:val="21"/>
                <w:szCs w:val="21"/>
                <w:highlight w:val="none"/>
                <w:lang w:val="en-US" w:eastAsia="zh-CN"/>
              </w:rPr>
            </w:pPr>
            <w:r>
              <w:rPr>
                <w:rFonts w:hint="eastAsia"/>
                <w:color w:val="auto"/>
                <w:szCs w:val="21"/>
                <w:highlight w:val="none"/>
                <w:lang w:val="en-US" w:eastAsia="zh-CN"/>
              </w:rPr>
              <w:t>7、本项目不在工业园区内。</w:t>
            </w:r>
          </w:p>
        </w:tc>
        <w:tc>
          <w:tcPr>
            <w:tcW w:w="745" w:type="dxa"/>
            <w:vAlign w:val="center"/>
          </w:tcPr>
          <w:p w14:paraId="015651FD">
            <w:pPr>
              <w:spacing w:line="240" w:lineRule="auto"/>
              <w:ind w:left="0" w:leftChars="0" w:right="0" w:rightChars="0"/>
              <w:jc w:val="center"/>
              <w:rPr>
                <w:rFonts w:hint="default" w:ascii="Times New Roman" w:hAnsi="Times New Roman" w:eastAsia="宋体" w:cs="Times New Roman"/>
                <w:b/>
                <w:bCs w:val="0"/>
                <w:color w:val="auto"/>
                <w:sz w:val="21"/>
                <w:szCs w:val="21"/>
                <w:highlight w:val="none"/>
                <w:lang w:val="en-US" w:eastAsia="zh-CN"/>
              </w:rPr>
            </w:pPr>
            <w:r>
              <w:rPr>
                <w:rFonts w:hint="eastAsia" w:cs="Times New Roman"/>
                <w:b w:val="0"/>
                <w:bCs/>
                <w:color w:val="auto"/>
                <w:sz w:val="21"/>
                <w:szCs w:val="21"/>
                <w:highlight w:val="none"/>
                <w:lang w:val="en-US" w:eastAsia="zh-CN"/>
              </w:rPr>
              <w:t>符合</w:t>
            </w:r>
          </w:p>
        </w:tc>
      </w:tr>
      <w:tr w14:paraId="1121A5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35" w:hRule="atLeast"/>
          <w:jc w:val="center"/>
        </w:trPr>
        <w:tc>
          <w:tcPr>
            <w:tcW w:w="721" w:type="dxa"/>
            <w:vMerge w:val="restart"/>
            <w:vAlign w:val="center"/>
          </w:tcPr>
          <w:p w14:paraId="1EBE997F">
            <w:pPr>
              <w:spacing w:line="240" w:lineRule="auto"/>
              <w:ind w:left="0" w:leftChars="0" w:right="0" w:right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ZH15082220003</w:t>
            </w:r>
          </w:p>
        </w:tc>
        <w:tc>
          <w:tcPr>
            <w:tcW w:w="655" w:type="dxa"/>
            <w:vMerge w:val="restart"/>
            <w:vAlign w:val="center"/>
          </w:tcPr>
          <w:p w14:paraId="077EECD9">
            <w:pPr>
              <w:pStyle w:val="11"/>
              <w:spacing w:line="240" w:lineRule="auto"/>
              <w:ind w:left="0" w:leftChars="0" w:right="0" w:rightChars="0" w:firstLine="0" w:firstLineChars="0"/>
              <w:jc w:val="both"/>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磴口县城镇空间</w:t>
            </w:r>
          </w:p>
        </w:tc>
        <w:tc>
          <w:tcPr>
            <w:tcW w:w="540" w:type="dxa"/>
            <w:vMerge w:val="restart"/>
            <w:vAlign w:val="center"/>
          </w:tcPr>
          <w:p w14:paraId="79C48982">
            <w:pPr>
              <w:widowControl/>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重点管控单元</w:t>
            </w:r>
          </w:p>
        </w:tc>
        <w:tc>
          <w:tcPr>
            <w:tcW w:w="630" w:type="dxa"/>
            <w:vMerge w:val="restart"/>
            <w:vAlign w:val="center"/>
          </w:tcPr>
          <w:p w14:paraId="03DC32F2">
            <w:pPr>
              <w:widowControl/>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大气环境受体敏感重点管控区、生态用水补给区、土地资源重点管控区</w:t>
            </w:r>
          </w:p>
        </w:tc>
        <w:tc>
          <w:tcPr>
            <w:tcW w:w="570" w:type="dxa"/>
            <w:vAlign w:val="center"/>
          </w:tcPr>
          <w:p w14:paraId="319B24FD">
            <w:pPr>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eastAsia="宋体"/>
                <w:color w:val="auto"/>
                <w:kern w:val="0"/>
                <w:szCs w:val="21"/>
                <w:highlight w:val="none"/>
                <w:lang w:bidi="ar"/>
              </w:rPr>
              <w:t>空间布局约束</w:t>
            </w:r>
          </w:p>
        </w:tc>
        <w:tc>
          <w:tcPr>
            <w:tcW w:w="8430" w:type="dxa"/>
            <w:vAlign w:val="center"/>
          </w:tcPr>
          <w:p w14:paraId="5A3C6824">
            <w:pPr>
              <w:spacing w:line="240" w:lineRule="auto"/>
              <w:ind w:left="0" w:leftChars="0" w:right="0" w:rightChars="0"/>
              <w:rPr>
                <w:rFonts w:eastAsia="宋体"/>
                <w:color w:val="auto"/>
                <w:szCs w:val="21"/>
                <w:highlight w:val="none"/>
              </w:rPr>
            </w:pPr>
            <w:r>
              <w:rPr>
                <w:rFonts w:eastAsia="宋体"/>
                <w:color w:val="auto"/>
                <w:szCs w:val="21"/>
                <w:highlight w:val="none"/>
              </w:rPr>
              <w:t>1、严禁新建、扩建重污染企业，现有重污染企业根据区域环境质量目标倒逼其转型升级或搬迁转移。</w:t>
            </w:r>
          </w:p>
          <w:p w14:paraId="1056AA22">
            <w:pPr>
              <w:spacing w:line="240" w:lineRule="auto"/>
              <w:ind w:left="0" w:leftChars="0" w:right="0" w:rightChars="0"/>
              <w:rPr>
                <w:rFonts w:eastAsia="宋体"/>
                <w:color w:val="auto"/>
                <w:szCs w:val="21"/>
                <w:highlight w:val="none"/>
              </w:rPr>
            </w:pPr>
            <w:r>
              <w:rPr>
                <w:rFonts w:eastAsia="宋体"/>
                <w:color w:val="auto"/>
                <w:szCs w:val="21"/>
                <w:highlight w:val="none"/>
              </w:rPr>
              <w:t>2、</w:t>
            </w:r>
            <w:r>
              <w:rPr>
                <w:rFonts w:hint="eastAsia" w:eastAsia="宋体"/>
                <w:color w:val="auto"/>
                <w:szCs w:val="21"/>
                <w:highlight w:val="none"/>
              </w:rPr>
              <w:t>推进城市建成区范围内的钢铁、石化、化工、有色、冶金、水泥、制药等污染严重企业退城入园，由本地区人民政府制定计划，限期完成搬迁、改造（安全、环保、节能和智能化改造），逾期不退城的依法予以停产</w:t>
            </w:r>
            <w:r>
              <w:rPr>
                <w:rFonts w:eastAsia="宋体"/>
                <w:color w:val="auto"/>
                <w:szCs w:val="21"/>
                <w:highlight w:val="none"/>
              </w:rPr>
              <w:t>。</w:t>
            </w:r>
          </w:p>
          <w:p w14:paraId="70280903">
            <w:pPr>
              <w:spacing w:line="240" w:lineRule="auto"/>
              <w:ind w:left="0" w:leftChars="0" w:right="0" w:rightChars="0"/>
              <w:rPr>
                <w:rFonts w:eastAsia="宋体"/>
                <w:color w:val="auto"/>
                <w:kern w:val="0"/>
                <w:szCs w:val="21"/>
                <w:highlight w:val="none"/>
              </w:rPr>
            </w:pPr>
            <w:r>
              <w:rPr>
                <w:rFonts w:eastAsia="宋体"/>
                <w:color w:val="auto"/>
                <w:szCs w:val="21"/>
                <w:highlight w:val="none"/>
              </w:rPr>
              <w:t>3、</w:t>
            </w:r>
            <w:r>
              <w:rPr>
                <w:rFonts w:eastAsia="宋体"/>
                <w:color w:val="auto"/>
                <w:kern w:val="0"/>
                <w:szCs w:val="21"/>
                <w:highlight w:val="none"/>
              </w:rPr>
              <w:t>严格控制缺水地区、水污染严重地区和敏感区域发展高耗水、高污染行业，已建项目要采用先进节水技术，提高用水水平。</w:t>
            </w:r>
          </w:p>
          <w:p w14:paraId="5C9DCA57">
            <w:pPr>
              <w:spacing w:line="240" w:lineRule="auto"/>
              <w:ind w:left="0" w:leftChars="0" w:right="0" w:rightChars="0"/>
              <w:rPr>
                <w:rFonts w:eastAsia="宋体"/>
                <w:color w:val="auto"/>
                <w:kern w:val="0"/>
                <w:szCs w:val="21"/>
                <w:highlight w:val="none"/>
              </w:rPr>
            </w:pPr>
            <w:r>
              <w:rPr>
                <w:rFonts w:eastAsia="宋体"/>
                <w:color w:val="auto"/>
                <w:kern w:val="0"/>
                <w:szCs w:val="21"/>
                <w:highlight w:val="none"/>
              </w:rPr>
              <w:t>4、禁止侵占永久基本农田的生产经营活动；</w:t>
            </w:r>
          </w:p>
          <w:p w14:paraId="4A481C13">
            <w:pPr>
              <w:spacing w:line="240" w:lineRule="auto"/>
              <w:ind w:left="0" w:leftChars="0" w:right="0" w:rightChars="0"/>
              <w:rPr>
                <w:rFonts w:eastAsia="宋体"/>
                <w:color w:val="auto"/>
                <w:kern w:val="0"/>
                <w:szCs w:val="21"/>
                <w:highlight w:val="none"/>
              </w:rPr>
            </w:pPr>
            <w:r>
              <w:rPr>
                <w:rFonts w:eastAsia="宋体"/>
                <w:color w:val="auto"/>
                <w:kern w:val="0"/>
                <w:szCs w:val="21"/>
                <w:highlight w:val="none"/>
              </w:rPr>
              <w:t>5、严禁在禁养区内新建、改建、扩建规模化畜禽养殖项目，现有项目限期关闭或搬迁。</w:t>
            </w:r>
          </w:p>
          <w:p w14:paraId="392FD558">
            <w:pPr>
              <w:spacing w:line="240" w:lineRule="auto"/>
              <w:ind w:left="0" w:leftChars="0" w:right="0" w:rightChars="0"/>
              <w:rPr>
                <w:rFonts w:hint="default" w:ascii="Times New Roman" w:hAnsi="Times New Roman" w:eastAsia="宋体" w:cs="Times New Roman"/>
                <w:color w:val="auto"/>
                <w:kern w:val="0"/>
                <w:sz w:val="21"/>
                <w:szCs w:val="21"/>
                <w:highlight w:val="none"/>
              </w:rPr>
            </w:pPr>
            <w:r>
              <w:rPr>
                <w:rFonts w:eastAsia="宋体"/>
                <w:color w:val="auto"/>
                <w:szCs w:val="21"/>
                <w:highlight w:val="none"/>
              </w:rPr>
              <w:t>6、规范病死畜禽无害化处理。集中无害化处理体系健全的地区，在做好动物疫病防控的前提下，原则上养殖场户的病死畜禽应委托专业无害化处理场进行集中处理。山区、牧区、边远地区等暂时不具备集中处理条件的地区自行处理的，要配备与养殖规模相适应的无害化处理设施设备，严格按照相关技术规范进行处理，逐步减少深埋、化尸窖、堆肥等处理方式，确保有效杀灭病原体，清洁安全，不污染环境。</w:t>
            </w:r>
          </w:p>
        </w:tc>
        <w:tc>
          <w:tcPr>
            <w:tcW w:w="4425" w:type="dxa"/>
            <w:vAlign w:val="center"/>
          </w:tcPr>
          <w:p w14:paraId="3066CB5D">
            <w:pPr>
              <w:pStyle w:val="11"/>
              <w:numPr>
                <w:ilvl w:val="0"/>
                <w:numId w:val="0"/>
              </w:numPr>
              <w:ind w:left="0" w:leftChars="0" w:firstLine="0" w:firstLineChars="0"/>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1、本项目不属于重污染企业；</w:t>
            </w:r>
          </w:p>
          <w:p w14:paraId="3B095DCB">
            <w:pPr>
              <w:pStyle w:val="11"/>
              <w:numPr>
                <w:ilvl w:val="0"/>
                <w:numId w:val="0"/>
              </w:numPr>
              <w:ind w:left="0" w:leftChars="0" w:firstLine="0" w:firstLineChars="0"/>
              <w:jc w:val="both"/>
              <w:rPr>
                <w:rFonts w:hint="eastAsia"/>
                <w:color w:val="auto"/>
                <w:szCs w:val="21"/>
                <w:highlight w:val="none"/>
                <w:lang w:val="en-US" w:eastAsia="zh-CN"/>
              </w:rPr>
            </w:pPr>
            <w:r>
              <w:rPr>
                <w:rFonts w:hint="eastAsia" w:cs="Times New Roman"/>
                <w:color w:val="auto"/>
                <w:sz w:val="21"/>
                <w:szCs w:val="21"/>
                <w:highlight w:val="none"/>
                <w:lang w:val="en-US" w:eastAsia="zh-CN"/>
              </w:rPr>
              <w:t>2、本项目为食用植物油加工行业，不进行</w:t>
            </w:r>
            <w:r>
              <w:rPr>
                <w:rFonts w:hint="eastAsia" w:eastAsia="宋体"/>
                <w:color w:val="auto"/>
                <w:szCs w:val="21"/>
                <w:highlight w:val="none"/>
              </w:rPr>
              <w:t>钢铁、石化、化工、有色、冶金、水泥、制药等</w:t>
            </w:r>
            <w:r>
              <w:rPr>
                <w:rFonts w:hint="eastAsia"/>
                <w:color w:val="auto"/>
                <w:szCs w:val="21"/>
                <w:highlight w:val="none"/>
                <w:lang w:val="en-US" w:eastAsia="zh-CN"/>
              </w:rPr>
              <w:t>生产；</w:t>
            </w:r>
          </w:p>
          <w:p w14:paraId="06C899F9">
            <w:pPr>
              <w:pStyle w:val="11"/>
              <w:numPr>
                <w:ilvl w:val="0"/>
                <w:numId w:val="0"/>
              </w:numPr>
              <w:ind w:left="0" w:leftChars="0" w:firstLine="0" w:firstLineChars="0"/>
              <w:jc w:val="both"/>
              <w:rPr>
                <w:rFonts w:hint="eastAsia"/>
                <w:color w:val="auto"/>
                <w:szCs w:val="21"/>
                <w:highlight w:val="none"/>
                <w:lang w:val="en-US" w:eastAsia="zh-CN"/>
              </w:rPr>
            </w:pPr>
            <w:r>
              <w:rPr>
                <w:rFonts w:hint="eastAsia"/>
                <w:color w:val="auto"/>
                <w:szCs w:val="21"/>
                <w:highlight w:val="none"/>
                <w:lang w:val="en-US" w:eastAsia="zh-CN"/>
              </w:rPr>
              <w:t>3、本项目运营期生产生活用水全部由厂区自备水井提供水源，本项目冷却生产用水循环使用，</w:t>
            </w:r>
            <w:r>
              <w:rPr>
                <w:rFonts w:hint="eastAsia" w:cs="Times New Roman"/>
                <w:b w:val="0"/>
                <w:bCs w:val="0"/>
                <w:color w:val="auto"/>
                <w:sz w:val="21"/>
                <w:szCs w:val="21"/>
                <w:highlight w:val="none"/>
                <w:vertAlign w:val="baseline"/>
                <w:lang w:val="en-US" w:eastAsia="zh-CN"/>
              </w:rPr>
              <w:t>生产废水经厂区现有的处理量为120m</w:t>
            </w:r>
            <w:r>
              <w:rPr>
                <w:rFonts w:hint="eastAsia" w:cs="Times New Roman"/>
                <w:b w:val="0"/>
                <w:bCs w:val="0"/>
                <w:color w:val="auto"/>
                <w:sz w:val="21"/>
                <w:szCs w:val="21"/>
                <w:highlight w:val="none"/>
                <w:vertAlign w:val="superscript"/>
                <w:lang w:val="en-US" w:eastAsia="zh-CN"/>
              </w:rPr>
              <w:t>3</w:t>
            </w:r>
            <w:r>
              <w:rPr>
                <w:rFonts w:hint="eastAsia" w:cs="Times New Roman"/>
                <w:b w:val="0"/>
                <w:bCs w:val="0"/>
                <w:color w:val="auto"/>
                <w:sz w:val="21"/>
                <w:szCs w:val="21"/>
                <w:highlight w:val="none"/>
                <w:vertAlign w:val="baseline"/>
                <w:lang w:val="en-US" w:eastAsia="zh-CN"/>
              </w:rPr>
              <w:t>/d的污水处理站处理后，排入市政污水管网</w:t>
            </w:r>
            <w:r>
              <w:rPr>
                <w:rFonts w:hint="eastAsia"/>
                <w:color w:val="auto"/>
                <w:szCs w:val="21"/>
                <w:highlight w:val="none"/>
                <w:lang w:val="en-US" w:eastAsia="zh-CN"/>
              </w:rPr>
              <w:t>；</w:t>
            </w:r>
          </w:p>
          <w:p w14:paraId="1D501F73">
            <w:pPr>
              <w:pStyle w:val="11"/>
              <w:numPr>
                <w:ilvl w:val="0"/>
                <w:numId w:val="0"/>
              </w:numPr>
              <w:ind w:left="0" w:leftChars="0" w:firstLine="0" w:firstLineChars="0"/>
              <w:jc w:val="both"/>
              <w:rPr>
                <w:rFonts w:hint="eastAsia"/>
                <w:color w:val="auto"/>
                <w:kern w:val="0"/>
                <w:szCs w:val="21"/>
                <w:highlight w:val="none"/>
                <w:lang w:eastAsia="zh-CN"/>
              </w:rPr>
            </w:pPr>
            <w:r>
              <w:rPr>
                <w:rFonts w:hint="eastAsia"/>
                <w:color w:val="auto"/>
                <w:szCs w:val="21"/>
                <w:highlight w:val="none"/>
                <w:lang w:val="en-US" w:eastAsia="zh-CN"/>
              </w:rPr>
              <w:t>4、本项目建设的生产车间为上海佳格食品有限公司内蒙古分公司院内原有库房改造的车间，不涉及侵占</w:t>
            </w:r>
            <w:r>
              <w:rPr>
                <w:rFonts w:eastAsia="宋体"/>
                <w:color w:val="auto"/>
                <w:kern w:val="0"/>
                <w:szCs w:val="21"/>
                <w:highlight w:val="none"/>
              </w:rPr>
              <w:t>永久基本农田</w:t>
            </w:r>
            <w:r>
              <w:rPr>
                <w:rFonts w:hint="eastAsia"/>
                <w:color w:val="auto"/>
                <w:kern w:val="0"/>
                <w:szCs w:val="21"/>
                <w:highlight w:val="none"/>
                <w:lang w:eastAsia="zh-CN"/>
              </w:rPr>
              <w:t>；</w:t>
            </w:r>
          </w:p>
          <w:p w14:paraId="04332626">
            <w:pPr>
              <w:pStyle w:val="11"/>
              <w:numPr>
                <w:ilvl w:val="0"/>
                <w:numId w:val="0"/>
              </w:numPr>
              <w:ind w:left="0" w:leftChars="0" w:firstLine="0" w:firstLineChars="0"/>
              <w:jc w:val="both"/>
              <w:rPr>
                <w:rFonts w:hint="eastAsia" w:cs="Times New Roman"/>
                <w:color w:val="auto"/>
                <w:sz w:val="21"/>
                <w:szCs w:val="21"/>
                <w:highlight w:val="none"/>
                <w:lang w:val="en-US" w:eastAsia="zh-CN"/>
              </w:rPr>
            </w:pPr>
            <w:r>
              <w:rPr>
                <w:rFonts w:hint="eastAsia"/>
                <w:color w:val="auto"/>
                <w:kern w:val="0"/>
                <w:szCs w:val="21"/>
                <w:highlight w:val="none"/>
                <w:lang w:val="en-US" w:eastAsia="zh-CN"/>
              </w:rPr>
              <w:t>5、本项目</w:t>
            </w:r>
            <w:r>
              <w:rPr>
                <w:rFonts w:hint="eastAsia" w:cs="Times New Roman"/>
                <w:color w:val="auto"/>
                <w:sz w:val="21"/>
                <w:szCs w:val="21"/>
                <w:highlight w:val="none"/>
                <w:lang w:val="en-US" w:eastAsia="zh-CN"/>
              </w:rPr>
              <w:t>为食用植物油加工行业，不涉及畜禽养殖；</w:t>
            </w:r>
          </w:p>
          <w:p w14:paraId="4FA03FFE">
            <w:pPr>
              <w:pStyle w:val="11"/>
              <w:numPr>
                <w:ilvl w:val="0"/>
                <w:numId w:val="0"/>
              </w:numPr>
              <w:ind w:left="0" w:leftChars="0" w:firstLine="0" w:firstLineChars="0"/>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6、</w:t>
            </w:r>
            <w:r>
              <w:rPr>
                <w:rFonts w:hint="eastAsia"/>
                <w:color w:val="auto"/>
                <w:kern w:val="0"/>
                <w:szCs w:val="21"/>
                <w:highlight w:val="none"/>
                <w:lang w:val="en-US" w:eastAsia="zh-CN"/>
              </w:rPr>
              <w:t>本项目</w:t>
            </w:r>
            <w:r>
              <w:rPr>
                <w:rFonts w:hint="eastAsia" w:cs="Times New Roman"/>
                <w:color w:val="auto"/>
                <w:sz w:val="21"/>
                <w:szCs w:val="21"/>
                <w:highlight w:val="none"/>
                <w:lang w:val="en-US" w:eastAsia="zh-CN"/>
              </w:rPr>
              <w:t>为食用植物油加工行业，不涉及畜禽养殖。</w:t>
            </w:r>
          </w:p>
          <w:p w14:paraId="0149CF50">
            <w:pPr>
              <w:pStyle w:val="11"/>
              <w:numPr>
                <w:ilvl w:val="0"/>
                <w:numId w:val="0"/>
              </w:numPr>
              <w:ind w:left="0" w:leftChars="0" w:firstLine="0" w:firstLineChars="0"/>
              <w:jc w:val="both"/>
              <w:rPr>
                <w:rFonts w:hint="default"/>
                <w:color w:val="auto"/>
                <w:szCs w:val="21"/>
                <w:highlight w:val="none"/>
                <w:lang w:val="en-US" w:eastAsia="zh-CN"/>
              </w:rPr>
            </w:pPr>
          </w:p>
        </w:tc>
        <w:tc>
          <w:tcPr>
            <w:tcW w:w="745" w:type="dxa"/>
            <w:vMerge w:val="restart"/>
            <w:vAlign w:val="center"/>
          </w:tcPr>
          <w:p w14:paraId="1AE4B9D2">
            <w:pPr>
              <w:tabs>
                <w:tab w:val="left" w:pos="312"/>
              </w:tabs>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7F7A82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85" w:hRule="atLeast"/>
          <w:jc w:val="center"/>
        </w:trPr>
        <w:tc>
          <w:tcPr>
            <w:tcW w:w="721" w:type="dxa"/>
            <w:vMerge w:val="continue"/>
            <w:vAlign w:val="center"/>
          </w:tcPr>
          <w:p w14:paraId="6493CFBD">
            <w:pPr>
              <w:tabs>
                <w:tab w:val="left" w:pos="312"/>
              </w:tabs>
              <w:spacing w:line="240" w:lineRule="auto"/>
              <w:ind w:left="0" w:leftChars="0" w:right="0" w:rightChars="0"/>
              <w:rPr>
                <w:rFonts w:hint="default" w:ascii="Times New Roman" w:hAnsi="Times New Roman" w:eastAsia="宋体" w:cs="Times New Roman"/>
                <w:color w:val="auto"/>
                <w:sz w:val="21"/>
                <w:szCs w:val="21"/>
                <w:highlight w:val="none"/>
              </w:rPr>
            </w:pPr>
          </w:p>
        </w:tc>
        <w:tc>
          <w:tcPr>
            <w:tcW w:w="655" w:type="dxa"/>
            <w:vMerge w:val="continue"/>
            <w:vAlign w:val="center"/>
          </w:tcPr>
          <w:p w14:paraId="3ECC11A5">
            <w:pPr>
              <w:tabs>
                <w:tab w:val="left" w:pos="312"/>
              </w:tabs>
              <w:spacing w:line="240" w:lineRule="auto"/>
              <w:ind w:left="0" w:leftChars="0" w:right="0" w:rightChars="0"/>
              <w:rPr>
                <w:rFonts w:hint="default" w:ascii="Times New Roman" w:hAnsi="Times New Roman" w:eastAsia="宋体" w:cs="Times New Roman"/>
                <w:color w:val="auto"/>
                <w:sz w:val="21"/>
                <w:szCs w:val="21"/>
                <w:highlight w:val="none"/>
              </w:rPr>
            </w:pPr>
          </w:p>
        </w:tc>
        <w:tc>
          <w:tcPr>
            <w:tcW w:w="540" w:type="dxa"/>
            <w:vMerge w:val="continue"/>
            <w:vAlign w:val="center"/>
          </w:tcPr>
          <w:p w14:paraId="14D03B66">
            <w:pPr>
              <w:tabs>
                <w:tab w:val="left" w:pos="312"/>
              </w:tabs>
              <w:spacing w:line="240" w:lineRule="auto"/>
              <w:ind w:left="0" w:leftChars="0" w:right="0" w:rightChars="0"/>
              <w:rPr>
                <w:rFonts w:hint="default" w:ascii="Times New Roman" w:hAnsi="Times New Roman" w:eastAsia="宋体" w:cs="Times New Roman"/>
                <w:color w:val="auto"/>
                <w:sz w:val="21"/>
                <w:szCs w:val="21"/>
                <w:highlight w:val="none"/>
              </w:rPr>
            </w:pPr>
          </w:p>
        </w:tc>
        <w:tc>
          <w:tcPr>
            <w:tcW w:w="630" w:type="dxa"/>
            <w:vMerge w:val="continue"/>
            <w:vAlign w:val="center"/>
          </w:tcPr>
          <w:p w14:paraId="05A6AB87">
            <w:pPr>
              <w:tabs>
                <w:tab w:val="left" w:pos="312"/>
              </w:tabs>
              <w:spacing w:line="240" w:lineRule="auto"/>
              <w:ind w:left="0" w:leftChars="0" w:right="0" w:rightChars="0"/>
              <w:rPr>
                <w:rFonts w:hint="default" w:ascii="Times New Roman" w:hAnsi="Times New Roman" w:eastAsia="宋体" w:cs="Times New Roman"/>
                <w:color w:val="auto"/>
                <w:sz w:val="21"/>
                <w:szCs w:val="21"/>
                <w:highlight w:val="none"/>
              </w:rPr>
            </w:pPr>
          </w:p>
        </w:tc>
        <w:tc>
          <w:tcPr>
            <w:tcW w:w="570" w:type="dxa"/>
            <w:vAlign w:val="center"/>
          </w:tcPr>
          <w:p w14:paraId="1055E475">
            <w:pPr>
              <w:widowControl/>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eastAsia="宋体"/>
                <w:color w:val="auto"/>
                <w:kern w:val="0"/>
                <w:szCs w:val="21"/>
                <w:highlight w:val="none"/>
              </w:rPr>
              <w:t>污染物排放管控</w:t>
            </w:r>
          </w:p>
        </w:tc>
        <w:tc>
          <w:tcPr>
            <w:tcW w:w="8430" w:type="dxa"/>
            <w:vAlign w:val="center"/>
          </w:tcPr>
          <w:p w14:paraId="3308C06F">
            <w:pPr>
              <w:spacing w:line="240" w:lineRule="auto"/>
              <w:ind w:left="0" w:leftChars="0" w:right="0" w:rightChars="0"/>
              <w:rPr>
                <w:rFonts w:eastAsia="宋体"/>
                <w:color w:val="auto"/>
                <w:szCs w:val="21"/>
                <w:highlight w:val="none"/>
              </w:rPr>
            </w:pPr>
            <w:r>
              <w:rPr>
                <w:rFonts w:eastAsia="宋体"/>
                <w:color w:val="auto"/>
                <w:szCs w:val="21"/>
                <w:highlight w:val="none"/>
              </w:rPr>
              <w:t>1、深入推进扬尘污染综合防治。加强机动车辆环保管理。</w:t>
            </w:r>
          </w:p>
          <w:p w14:paraId="58CF9D89">
            <w:pPr>
              <w:pStyle w:val="11"/>
              <w:ind w:left="0" w:leftChars="0" w:firstLine="0" w:firstLineChars="0"/>
              <w:rPr>
                <w:rFonts w:eastAsia="宋体"/>
                <w:color w:val="auto"/>
                <w:kern w:val="0"/>
                <w:szCs w:val="21"/>
                <w:highlight w:val="none"/>
              </w:rPr>
            </w:pPr>
            <w:r>
              <w:rPr>
                <w:rFonts w:hint="eastAsia" w:eastAsia="宋体"/>
                <w:color w:val="auto"/>
                <w:kern w:val="0"/>
                <w:szCs w:val="21"/>
                <w:highlight w:val="none"/>
              </w:rPr>
              <w:t>2、加快城镇污水处理设施及配套管网建设与改造。提高城市生活垃圾处理减量化、资源化和无害化水平，建制镇建成区基本实现生活垃圾收集、转运、处理能力全覆盖。</w:t>
            </w:r>
          </w:p>
          <w:p w14:paraId="50679166">
            <w:pPr>
              <w:pStyle w:val="11"/>
              <w:ind w:left="0" w:leftChars="0" w:firstLine="0" w:firstLineChars="0"/>
              <w:rPr>
                <w:rFonts w:eastAsia="宋体"/>
                <w:color w:val="auto"/>
                <w:kern w:val="0"/>
                <w:szCs w:val="21"/>
                <w:highlight w:val="none"/>
              </w:rPr>
            </w:pPr>
            <w:r>
              <w:rPr>
                <w:rFonts w:hint="eastAsia" w:eastAsia="宋体"/>
                <w:color w:val="auto"/>
                <w:kern w:val="0"/>
                <w:szCs w:val="21"/>
                <w:highlight w:val="none"/>
              </w:rPr>
              <w:t>3、建设项目的噪声污染防治设施应当与主体工程同时设计、同时施工、同时投产使用。排放噪声的工业企业应切实采取减振降噪措施，加强厂区内固定设备、运输工具货物装卸等噪声源管理，同时避免突发噪声扰民。</w:t>
            </w:r>
          </w:p>
          <w:p w14:paraId="5FDEA310">
            <w:pPr>
              <w:spacing w:line="240" w:lineRule="auto"/>
              <w:ind w:left="0" w:leftChars="0" w:right="0" w:rightChars="0"/>
              <w:rPr>
                <w:rFonts w:eastAsia="宋体"/>
                <w:color w:val="auto"/>
                <w:szCs w:val="21"/>
                <w:highlight w:val="none"/>
              </w:rPr>
            </w:pPr>
            <w:r>
              <w:rPr>
                <w:rFonts w:hint="eastAsia" w:eastAsia="宋体"/>
                <w:color w:val="auto"/>
                <w:szCs w:val="21"/>
                <w:highlight w:val="none"/>
              </w:rPr>
              <w:t>4</w:t>
            </w:r>
            <w:r>
              <w:rPr>
                <w:rFonts w:eastAsia="宋体"/>
                <w:color w:val="auto"/>
                <w:szCs w:val="21"/>
                <w:highlight w:val="none"/>
              </w:rPr>
              <w:t>、</w:t>
            </w:r>
            <w:r>
              <w:rPr>
                <w:rFonts w:hint="eastAsia" w:eastAsia="宋体"/>
                <w:color w:val="auto"/>
                <w:szCs w:val="21"/>
                <w:highlight w:val="none"/>
              </w:rPr>
              <w:t>县级及以上城市建成区原则上不再新建35蒸吨/小时及以下燃煤锅炉</w:t>
            </w:r>
            <w:r>
              <w:rPr>
                <w:rFonts w:eastAsia="宋体"/>
                <w:color w:val="auto"/>
                <w:szCs w:val="21"/>
                <w:highlight w:val="none"/>
              </w:rPr>
              <w:t>。其他地区原则不再新建每小时10蒸吨以下的燃煤锅炉。</w:t>
            </w:r>
          </w:p>
          <w:p w14:paraId="23406483">
            <w:pPr>
              <w:spacing w:line="240" w:lineRule="auto"/>
              <w:ind w:left="0" w:leftChars="0" w:right="0" w:rightChars="0"/>
              <w:rPr>
                <w:rFonts w:eastAsia="宋体"/>
                <w:color w:val="auto"/>
                <w:kern w:val="0"/>
                <w:szCs w:val="21"/>
                <w:highlight w:val="none"/>
              </w:rPr>
            </w:pPr>
            <w:r>
              <w:rPr>
                <w:rFonts w:hint="eastAsia" w:eastAsia="宋体"/>
                <w:color w:val="auto"/>
                <w:kern w:val="0"/>
                <w:szCs w:val="21"/>
                <w:highlight w:val="none"/>
              </w:rPr>
              <w:t>5</w:t>
            </w:r>
            <w:r>
              <w:rPr>
                <w:rFonts w:eastAsia="宋体"/>
                <w:color w:val="auto"/>
                <w:kern w:val="0"/>
                <w:szCs w:val="21"/>
                <w:highlight w:val="none"/>
              </w:rPr>
              <w:t>、所有新建城镇污水处理设施要执行</w:t>
            </w:r>
            <w:r>
              <w:rPr>
                <w:rFonts w:eastAsia="宋体"/>
                <w:color w:val="auto"/>
                <w:szCs w:val="21"/>
                <w:highlight w:val="none"/>
              </w:rPr>
              <w:t>《城镇污水处理厂污染物排放标准》（GB18918）中一级A</w:t>
            </w:r>
            <w:r>
              <w:rPr>
                <w:rFonts w:eastAsia="宋体"/>
                <w:color w:val="auto"/>
                <w:kern w:val="0"/>
                <w:szCs w:val="21"/>
                <w:highlight w:val="none"/>
              </w:rPr>
              <w:t>排放标准。新建农村生活污水处理设施执行《农村生活污水处理设施污染物排放标准》（</w:t>
            </w:r>
            <w:r>
              <w:rPr>
                <w:rFonts w:hint="eastAsia" w:eastAsia="宋体"/>
                <w:color w:val="auto"/>
                <w:kern w:val="0"/>
                <w:szCs w:val="21"/>
                <w:highlight w:val="none"/>
              </w:rPr>
              <w:t>D</w:t>
            </w:r>
            <w:r>
              <w:rPr>
                <w:rFonts w:eastAsia="宋体"/>
                <w:color w:val="auto"/>
                <w:kern w:val="0"/>
                <w:szCs w:val="21"/>
                <w:highlight w:val="none"/>
              </w:rPr>
              <w:t>BHJ/001</w:t>
            </w:r>
            <w:r>
              <w:rPr>
                <w:rFonts w:hint="eastAsia" w:eastAsia="宋体"/>
                <w:color w:val="auto"/>
                <w:kern w:val="0"/>
                <w:szCs w:val="21"/>
                <w:highlight w:val="none"/>
              </w:rPr>
              <w:t>）</w:t>
            </w:r>
            <w:r>
              <w:rPr>
                <w:rFonts w:eastAsia="宋体"/>
                <w:color w:val="auto"/>
                <w:kern w:val="0"/>
                <w:szCs w:val="21"/>
                <w:highlight w:val="none"/>
              </w:rPr>
              <w:t>中相关标准。</w:t>
            </w:r>
          </w:p>
          <w:p w14:paraId="3D76C127">
            <w:pPr>
              <w:spacing w:line="240" w:lineRule="auto"/>
              <w:ind w:left="0" w:leftChars="0" w:right="0" w:rightChars="0"/>
              <w:rPr>
                <w:rFonts w:hint="default" w:ascii="Times New Roman" w:hAnsi="Times New Roman" w:eastAsia="宋体" w:cs="Times New Roman"/>
                <w:color w:val="auto"/>
                <w:kern w:val="0"/>
                <w:sz w:val="21"/>
                <w:szCs w:val="21"/>
                <w:highlight w:val="none"/>
              </w:rPr>
            </w:pPr>
            <w:r>
              <w:rPr>
                <w:rFonts w:hint="eastAsia" w:eastAsia="宋体"/>
                <w:color w:val="auto"/>
                <w:szCs w:val="21"/>
                <w:highlight w:val="none"/>
              </w:rPr>
              <w:t>6</w:t>
            </w:r>
            <w:r>
              <w:rPr>
                <w:rFonts w:eastAsia="宋体"/>
                <w:color w:val="auto"/>
                <w:szCs w:val="21"/>
                <w:highlight w:val="none"/>
              </w:rPr>
              <w:t>、禁止向农用地排放重金属或者其他有毒有害物质含量超标的污水、污泥，以及可能造成土壤污染的清淤底泥、尾矿、矿渣等。</w:t>
            </w:r>
          </w:p>
        </w:tc>
        <w:tc>
          <w:tcPr>
            <w:tcW w:w="4425" w:type="dxa"/>
            <w:vAlign w:val="center"/>
          </w:tcPr>
          <w:p w14:paraId="7DF60AFD">
            <w:pPr>
              <w:tabs>
                <w:tab w:val="left" w:pos="312"/>
              </w:tabs>
              <w:spacing w:line="240" w:lineRule="auto"/>
              <w:ind w:left="0" w:leftChars="0" w:right="0" w:rightChars="0"/>
              <w:jc w:val="both"/>
              <w:rPr>
                <w:rFonts w:hint="eastAsia"/>
                <w:color w:val="auto"/>
                <w:highlight w:val="none"/>
                <w:lang w:val="en-US" w:eastAsia="zh-CN"/>
              </w:rPr>
            </w:pPr>
            <w:r>
              <w:rPr>
                <w:rFonts w:hint="eastAsia"/>
                <w:color w:val="auto"/>
                <w:highlight w:val="none"/>
                <w:lang w:val="en-US" w:eastAsia="zh-CN"/>
              </w:rPr>
              <w:t>1、本项目污染防治措施齐全，室外料胚储存筒仓进料口排气筒产生的颗粒物采用1台旋风除尘器+1台布袋除尘器处理后经1根15米高的排气筒排放；提升机运输产生的颗粒物生产车间全封闭无组织排放；</w:t>
            </w:r>
            <w:r>
              <w:rPr>
                <w:rFonts w:hint="eastAsia" w:cs="Times New Roman"/>
                <w:color w:val="auto"/>
                <w:kern w:val="0"/>
                <w:sz w:val="21"/>
                <w:szCs w:val="21"/>
                <w:highlight w:val="none"/>
                <w:lang w:val="en-US" w:eastAsia="zh-CN" w:bidi="ar"/>
              </w:rPr>
              <w:t>清理除杂粉碎过程中产生的颗粒物生产设备全封闭无组织排放；</w:t>
            </w:r>
          </w:p>
          <w:p w14:paraId="3C648D29">
            <w:pPr>
              <w:pStyle w:val="11"/>
              <w:ind w:left="0" w:leftChars="0" w:firstLine="0" w:firstLineChars="0"/>
              <w:jc w:val="both"/>
              <w:rPr>
                <w:rFonts w:hint="eastAsia"/>
                <w:color w:val="auto"/>
                <w:highlight w:val="none"/>
                <w:lang w:val="en-US" w:eastAsia="zh-CN"/>
              </w:rPr>
            </w:pPr>
            <w:r>
              <w:rPr>
                <w:rFonts w:hint="eastAsia"/>
                <w:color w:val="auto"/>
                <w:highlight w:val="none"/>
                <w:lang w:val="en-US" w:eastAsia="zh-CN"/>
              </w:rPr>
              <w:t>2、本项目污水处理、生活垃圾运输设施完善；</w:t>
            </w:r>
          </w:p>
          <w:p w14:paraId="6368E32D">
            <w:pPr>
              <w:pStyle w:val="11"/>
              <w:ind w:left="0" w:leftChars="0" w:firstLine="0" w:firstLineChars="0"/>
              <w:rPr>
                <w:rFonts w:hint="eastAsia"/>
                <w:color w:val="auto"/>
                <w:kern w:val="0"/>
                <w:szCs w:val="21"/>
                <w:highlight w:val="none"/>
                <w:lang w:eastAsia="zh-CN"/>
              </w:rPr>
            </w:pPr>
            <w:r>
              <w:rPr>
                <w:rFonts w:hint="eastAsia"/>
                <w:color w:val="auto"/>
                <w:highlight w:val="none"/>
                <w:lang w:val="en-US" w:eastAsia="zh-CN"/>
              </w:rPr>
              <w:t>3、本项目建设过程中主要涉及设备安装，</w:t>
            </w:r>
            <w:r>
              <w:rPr>
                <w:rFonts w:hint="eastAsia" w:eastAsia="宋体"/>
                <w:color w:val="auto"/>
                <w:kern w:val="0"/>
                <w:szCs w:val="21"/>
                <w:highlight w:val="none"/>
              </w:rPr>
              <w:t>噪声污染防治</w:t>
            </w:r>
            <w:r>
              <w:rPr>
                <w:rFonts w:hint="eastAsia"/>
                <w:color w:val="auto"/>
                <w:kern w:val="0"/>
                <w:szCs w:val="21"/>
                <w:highlight w:val="none"/>
                <w:lang w:val="en-US" w:eastAsia="zh-CN"/>
              </w:rPr>
              <w:t>设施</w:t>
            </w:r>
            <w:r>
              <w:rPr>
                <w:rFonts w:hint="eastAsia" w:eastAsia="宋体"/>
                <w:color w:val="auto"/>
                <w:kern w:val="0"/>
                <w:szCs w:val="21"/>
                <w:highlight w:val="none"/>
              </w:rPr>
              <w:t>与主体工程同时设计、同时施工、同时投产使用</w:t>
            </w:r>
            <w:r>
              <w:rPr>
                <w:rFonts w:hint="eastAsia"/>
                <w:color w:val="auto"/>
                <w:kern w:val="0"/>
                <w:szCs w:val="21"/>
                <w:highlight w:val="none"/>
                <w:lang w:eastAsia="zh-CN"/>
              </w:rPr>
              <w:t>；</w:t>
            </w:r>
          </w:p>
          <w:p w14:paraId="572A3394">
            <w:pPr>
              <w:pStyle w:val="11"/>
              <w:ind w:left="0" w:leftChars="0" w:firstLine="0" w:firstLineChars="0"/>
              <w:jc w:val="both"/>
              <w:rPr>
                <w:rFonts w:hint="eastAsia"/>
                <w:color w:val="auto"/>
                <w:kern w:val="0"/>
                <w:szCs w:val="21"/>
                <w:highlight w:val="none"/>
                <w:lang w:val="en-US" w:eastAsia="zh-CN"/>
              </w:rPr>
            </w:pPr>
            <w:r>
              <w:rPr>
                <w:rFonts w:hint="eastAsia"/>
                <w:color w:val="auto"/>
                <w:kern w:val="0"/>
                <w:szCs w:val="21"/>
                <w:highlight w:val="none"/>
                <w:lang w:val="en-US" w:eastAsia="zh-CN"/>
              </w:rPr>
              <w:t>4、本项目建设不涉及新建35蒸吨/小时及以下燃煤锅炉；</w:t>
            </w:r>
          </w:p>
          <w:p w14:paraId="73D7E14D">
            <w:pPr>
              <w:pStyle w:val="11"/>
              <w:ind w:left="0" w:leftChars="0" w:firstLine="0" w:firstLineChars="0"/>
              <w:jc w:val="both"/>
              <w:rPr>
                <w:rFonts w:hint="eastAsia"/>
                <w:color w:val="auto"/>
                <w:highlight w:val="none"/>
                <w:lang w:val="en-US" w:eastAsia="zh-CN"/>
              </w:rPr>
            </w:pPr>
            <w:r>
              <w:rPr>
                <w:rFonts w:hint="eastAsia"/>
                <w:color w:val="auto"/>
                <w:highlight w:val="none"/>
                <w:lang w:val="en-US" w:eastAsia="zh-CN"/>
              </w:rPr>
              <w:t>5、本项目不涉及新建城镇污水处理设施；</w:t>
            </w:r>
          </w:p>
          <w:p w14:paraId="7F34A1A7">
            <w:pPr>
              <w:pStyle w:val="11"/>
              <w:ind w:left="0" w:leftChars="0" w:firstLine="0" w:firstLineChars="0"/>
              <w:jc w:val="both"/>
              <w:rPr>
                <w:rFonts w:hint="default"/>
                <w:color w:val="auto"/>
                <w:highlight w:val="none"/>
                <w:lang w:val="en-US" w:eastAsia="zh-CN"/>
              </w:rPr>
            </w:pPr>
            <w:r>
              <w:rPr>
                <w:rFonts w:hint="eastAsia"/>
                <w:color w:val="auto"/>
                <w:highlight w:val="none"/>
                <w:lang w:val="en-US" w:eastAsia="zh-CN"/>
              </w:rPr>
              <w:t>6、本项目排水进入厂区现有污水处理站处理达标后排入市政管网由磴口县中涵水务有限公司处理，不涉及排入农用地。</w:t>
            </w:r>
          </w:p>
          <w:p w14:paraId="66F42103">
            <w:pPr>
              <w:pStyle w:val="11"/>
              <w:ind w:left="0" w:leftChars="0" w:firstLine="0" w:firstLineChars="0"/>
              <w:jc w:val="both"/>
              <w:rPr>
                <w:rFonts w:hint="default"/>
                <w:color w:val="auto"/>
                <w:highlight w:val="none"/>
                <w:lang w:val="en-US" w:eastAsia="zh-CN"/>
              </w:rPr>
            </w:pPr>
          </w:p>
        </w:tc>
        <w:tc>
          <w:tcPr>
            <w:tcW w:w="745" w:type="dxa"/>
            <w:vMerge w:val="continue"/>
            <w:vAlign w:val="center"/>
          </w:tcPr>
          <w:p w14:paraId="564256FE">
            <w:pPr>
              <w:tabs>
                <w:tab w:val="left" w:pos="312"/>
              </w:tabs>
              <w:spacing w:line="240" w:lineRule="auto"/>
              <w:ind w:left="0" w:leftChars="0" w:right="0" w:rightChars="0"/>
              <w:rPr>
                <w:rFonts w:hint="default" w:ascii="Times New Roman" w:hAnsi="Times New Roman" w:eastAsia="宋体" w:cs="Times New Roman"/>
                <w:color w:val="auto"/>
                <w:kern w:val="0"/>
                <w:sz w:val="21"/>
                <w:szCs w:val="21"/>
                <w:highlight w:val="none"/>
              </w:rPr>
            </w:pPr>
          </w:p>
        </w:tc>
      </w:tr>
      <w:tr w14:paraId="5FB602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68" w:hRule="atLeast"/>
          <w:jc w:val="center"/>
        </w:trPr>
        <w:tc>
          <w:tcPr>
            <w:tcW w:w="721" w:type="dxa"/>
            <w:vMerge w:val="continue"/>
            <w:vAlign w:val="center"/>
          </w:tcPr>
          <w:p w14:paraId="5BD9A29D">
            <w:pPr>
              <w:tabs>
                <w:tab w:val="left" w:pos="312"/>
              </w:tabs>
              <w:spacing w:line="240" w:lineRule="auto"/>
              <w:ind w:left="0" w:leftChars="0" w:right="0" w:rightChars="0"/>
              <w:rPr>
                <w:rFonts w:hint="default" w:ascii="Times New Roman" w:hAnsi="Times New Roman" w:eastAsia="宋体" w:cs="Times New Roman"/>
                <w:color w:val="auto"/>
                <w:sz w:val="21"/>
                <w:szCs w:val="21"/>
                <w:highlight w:val="none"/>
              </w:rPr>
            </w:pPr>
          </w:p>
        </w:tc>
        <w:tc>
          <w:tcPr>
            <w:tcW w:w="655" w:type="dxa"/>
            <w:vMerge w:val="continue"/>
            <w:vAlign w:val="center"/>
          </w:tcPr>
          <w:p w14:paraId="20E5428F">
            <w:pPr>
              <w:tabs>
                <w:tab w:val="left" w:pos="312"/>
              </w:tabs>
              <w:spacing w:line="240" w:lineRule="auto"/>
              <w:ind w:left="0" w:leftChars="0" w:right="0" w:rightChars="0"/>
              <w:rPr>
                <w:rFonts w:hint="default" w:ascii="Times New Roman" w:hAnsi="Times New Roman" w:eastAsia="宋体" w:cs="Times New Roman"/>
                <w:color w:val="auto"/>
                <w:sz w:val="21"/>
                <w:szCs w:val="21"/>
                <w:highlight w:val="none"/>
              </w:rPr>
            </w:pPr>
          </w:p>
        </w:tc>
        <w:tc>
          <w:tcPr>
            <w:tcW w:w="540" w:type="dxa"/>
            <w:vMerge w:val="continue"/>
            <w:vAlign w:val="center"/>
          </w:tcPr>
          <w:p w14:paraId="7A6C55D6">
            <w:pPr>
              <w:tabs>
                <w:tab w:val="left" w:pos="312"/>
              </w:tabs>
              <w:spacing w:line="240" w:lineRule="auto"/>
              <w:ind w:left="0" w:leftChars="0" w:right="0" w:rightChars="0"/>
              <w:rPr>
                <w:rFonts w:hint="default" w:ascii="Times New Roman" w:hAnsi="Times New Roman" w:eastAsia="宋体" w:cs="Times New Roman"/>
                <w:color w:val="auto"/>
                <w:sz w:val="21"/>
                <w:szCs w:val="21"/>
                <w:highlight w:val="none"/>
              </w:rPr>
            </w:pPr>
          </w:p>
        </w:tc>
        <w:tc>
          <w:tcPr>
            <w:tcW w:w="630" w:type="dxa"/>
            <w:vMerge w:val="continue"/>
            <w:vAlign w:val="center"/>
          </w:tcPr>
          <w:p w14:paraId="52E5CF8C">
            <w:pPr>
              <w:tabs>
                <w:tab w:val="left" w:pos="312"/>
              </w:tabs>
              <w:spacing w:line="240" w:lineRule="auto"/>
              <w:ind w:left="0" w:leftChars="0" w:right="0" w:rightChars="0"/>
              <w:rPr>
                <w:rFonts w:hint="default" w:ascii="Times New Roman" w:hAnsi="Times New Roman" w:eastAsia="宋体" w:cs="Times New Roman"/>
                <w:color w:val="auto"/>
                <w:sz w:val="21"/>
                <w:szCs w:val="21"/>
                <w:highlight w:val="none"/>
              </w:rPr>
            </w:pPr>
          </w:p>
        </w:tc>
        <w:tc>
          <w:tcPr>
            <w:tcW w:w="570" w:type="dxa"/>
            <w:vAlign w:val="center"/>
          </w:tcPr>
          <w:p w14:paraId="247682BB">
            <w:pPr>
              <w:widowControl/>
              <w:spacing w:line="240" w:lineRule="auto"/>
              <w:ind w:left="0" w:leftChars="0" w:right="0" w:rightChars="0"/>
              <w:jc w:val="center"/>
              <w:textAlignment w:val="center"/>
              <w:rPr>
                <w:rFonts w:eastAsia="宋体"/>
                <w:color w:val="auto"/>
                <w:kern w:val="0"/>
                <w:szCs w:val="21"/>
                <w:highlight w:val="none"/>
              </w:rPr>
            </w:pPr>
            <w:r>
              <w:rPr>
                <w:rFonts w:eastAsia="宋体"/>
                <w:color w:val="auto"/>
                <w:szCs w:val="21"/>
                <w:highlight w:val="none"/>
              </w:rPr>
              <w:t>环境风险防控</w:t>
            </w:r>
          </w:p>
        </w:tc>
        <w:tc>
          <w:tcPr>
            <w:tcW w:w="8430" w:type="dxa"/>
            <w:vAlign w:val="center"/>
          </w:tcPr>
          <w:p w14:paraId="21F0BD8E">
            <w:pPr>
              <w:spacing w:line="240" w:lineRule="auto"/>
              <w:ind w:left="0" w:leftChars="0" w:right="0" w:rightChars="0"/>
              <w:rPr>
                <w:rFonts w:hint="eastAsia" w:eastAsia="宋体"/>
                <w:bCs/>
                <w:color w:val="auto"/>
                <w:szCs w:val="21"/>
                <w:highlight w:val="none"/>
                <w:lang w:val="en-US" w:eastAsia="zh-CN"/>
              </w:rPr>
            </w:pPr>
            <w:r>
              <w:rPr>
                <w:rFonts w:hint="eastAsia" w:eastAsia="宋体"/>
                <w:color w:val="auto"/>
                <w:kern w:val="0"/>
                <w:szCs w:val="21"/>
                <w:highlight w:val="none"/>
              </w:rPr>
              <w:t>1、</w:t>
            </w:r>
            <w:r>
              <w:rPr>
                <w:rFonts w:eastAsia="宋体"/>
                <w:color w:val="auto"/>
                <w:kern w:val="0"/>
                <w:szCs w:val="21"/>
                <w:highlight w:val="none"/>
              </w:rPr>
              <w:t>执行全市总体准入要求中关于环境风险防控的准入要求</w:t>
            </w:r>
            <w:r>
              <w:rPr>
                <w:rFonts w:hint="eastAsia"/>
                <w:color w:val="auto"/>
                <w:kern w:val="0"/>
                <w:szCs w:val="21"/>
                <w:highlight w:val="none"/>
                <w:lang w:eastAsia="zh-CN"/>
              </w:rPr>
              <w:t>：</w:t>
            </w:r>
            <w:r>
              <w:rPr>
                <w:rFonts w:hint="eastAsia" w:eastAsia="宋体"/>
                <w:bCs/>
                <w:color w:val="auto"/>
                <w:szCs w:val="21"/>
                <w:highlight w:val="none"/>
                <w:lang w:eastAsia="zh-CN"/>
              </w:rPr>
              <w:t>【</w:t>
            </w:r>
            <w:r>
              <w:rPr>
                <w:rFonts w:eastAsia="宋体"/>
                <w:bCs/>
                <w:color w:val="auto"/>
                <w:szCs w:val="21"/>
                <w:highlight w:val="none"/>
              </w:rPr>
              <w:t>1、企业事业单位应当依照《中华人民共和国突发事件应对法》的规定，制定突发环境事件应急预案，做好突发环境事件的风险控制、应急准备、应急处置和事后恢复等工作。以下企事业单位应当编制环境应急预案：（1）可能发生突发环境事件的污染物排放企业，包括污水、生活垃圾集中处理设施的运营企业；（2）生产、储存、运输、使用危险化学品的企业；（3）产生、收集、贮存、运输、利用、处置危险废物的企业；（4）尾矿库企业，包括湿式堆存工业废渣库、电厂灰渣库企业；（5）其他应当纳入适用范围的企业。</w:t>
            </w:r>
          </w:p>
          <w:p w14:paraId="2BA4AD94">
            <w:pPr>
              <w:spacing w:line="240" w:lineRule="auto"/>
              <w:ind w:left="0" w:leftChars="0" w:right="0" w:rightChars="0"/>
              <w:rPr>
                <w:rFonts w:eastAsia="宋体"/>
                <w:bCs/>
                <w:color w:val="auto"/>
                <w:szCs w:val="21"/>
                <w:highlight w:val="none"/>
              </w:rPr>
            </w:pPr>
            <w:r>
              <w:rPr>
                <w:rFonts w:eastAsia="宋体"/>
                <w:bCs/>
                <w:color w:val="auto"/>
                <w:szCs w:val="21"/>
                <w:highlight w:val="none"/>
              </w:rPr>
              <w:t>2、所有单位应当建立健全安全管理制度，定期检查本单位各项安全防范措施的落实情况，及时消除事故隐患；掌握并及时处理本单位存在的可能引发社会安全事件的问题，防止矛盾激化和事态扩大。</w:t>
            </w:r>
          </w:p>
          <w:p w14:paraId="67A3DB0F">
            <w:pPr>
              <w:spacing w:line="240" w:lineRule="auto"/>
              <w:ind w:left="0" w:leftChars="0" w:right="0" w:rightChars="0"/>
              <w:rPr>
                <w:rFonts w:eastAsia="宋体"/>
                <w:bCs/>
                <w:color w:val="auto"/>
                <w:szCs w:val="21"/>
                <w:highlight w:val="none"/>
              </w:rPr>
            </w:pPr>
            <w:r>
              <w:rPr>
                <w:rFonts w:eastAsia="宋体"/>
                <w:bCs/>
                <w:color w:val="auto"/>
                <w:szCs w:val="21"/>
                <w:highlight w:val="none"/>
              </w:rPr>
              <w:t>3、矿山、建筑施工单位和易燃易爆物品、危险化学品、放射性物品等危险物品的生产、经营、储运、使用单位，应当制定具体应急预案，并对生产经营场所、有危险物品的建筑物、构筑物及周边环境开展隐患排查，及时采取措施消除隐患，防止发生突发事件。</w:t>
            </w:r>
          </w:p>
          <w:p w14:paraId="59DB4F76">
            <w:pPr>
              <w:widowControl/>
              <w:spacing w:line="240" w:lineRule="auto"/>
              <w:ind w:left="0" w:leftChars="0" w:right="0" w:rightChars="0"/>
              <w:rPr>
                <w:rFonts w:hint="eastAsia" w:eastAsia="宋体"/>
                <w:color w:val="auto"/>
                <w:kern w:val="0"/>
                <w:szCs w:val="21"/>
                <w:highlight w:val="none"/>
                <w:lang w:val="en-US" w:eastAsia="zh-CN"/>
              </w:rPr>
            </w:pPr>
            <w:r>
              <w:rPr>
                <w:rFonts w:hint="eastAsia" w:eastAsia="宋体"/>
                <w:bCs/>
                <w:color w:val="auto"/>
                <w:szCs w:val="21"/>
                <w:highlight w:val="none"/>
              </w:rPr>
              <w:t>4</w:t>
            </w:r>
            <w:r>
              <w:rPr>
                <w:rFonts w:eastAsia="宋体"/>
                <w:bCs/>
                <w:color w:val="auto"/>
                <w:szCs w:val="21"/>
                <w:highlight w:val="none"/>
              </w:rPr>
              <w:t>、根据《</w:t>
            </w:r>
            <w:r>
              <w:rPr>
                <w:rFonts w:hint="eastAsia" w:eastAsia="宋体"/>
                <w:bCs/>
                <w:color w:val="auto"/>
                <w:szCs w:val="21"/>
                <w:highlight w:val="none"/>
              </w:rPr>
              <w:t>突发环境事件应急预案管理暂行办法</w:t>
            </w:r>
            <w:r>
              <w:rPr>
                <w:rFonts w:eastAsia="宋体"/>
                <w:bCs/>
                <w:color w:val="auto"/>
                <w:szCs w:val="21"/>
                <w:highlight w:val="none"/>
              </w:rPr>
              <w:t>》，</w:t>
            </w:r>
            <w:r>
              <w:rPr>
                <w:rFonts w:hint="eastAsia" w:eastAsia="宋体"/>
                <w:bCs/>
                <w:color w:val="auto"/>
                <w:szCs w:val="21"/>
                <w:highlight w:val="none"/>
              </w:rPr>
              <w:t>环境应急预案每三年至少修订一次。</w:t>
            </w:r>
            <w:r>
              <w:rPr>
                <w:rFonts w:hint="eastAsia" w:eastAsia="宋体"/>
                <w:bCs/>
                <w:color w:val="auto"/>
                <w:szCs w:val="21"/>
                <w:highlight w:val="none"/>
                <w:lang w:eastAsia="zh-CN"/>
              </w:rPr>
              <w:t>】</w:t>
            </w:r>
          </w:p>
          <w:p w14:paraId="517A4431">
            <w:pPr>
              <w:pStyle w:val="11"/>
              <w:spacing w:line="240" w:lineRule="auto"/>
              <w:ind w:left="0" w:leftChars="0" w:right="0" w:rightChars="0" w:firstLine="0" w:firstLineChars="0"/>
              <w:rPr>
                <w:rFonts w:hint="eastAsia" w:eastAsia="宋体"/>
                <w:color w:val="auto"/>
                <w:szCs w:val="21"/>
                <w:highlight w:val="none"/>
              </w:rPr>
            </w:pPr>
            <w:r>
              <w:rPr>
                <w:rFonts w:hint="eastAsia" w:eastAsia="宋体"/>
                <w:color w:val="auto"/>
                <w:kern w:val="0"/>
                <w:szCs w:val="21"/>
                <w:highlight w:val="none"/>
              </w:rPr>
              <w:t>2、执行《磴口县突发环境事件应急预案》相关规定，建设突发事件应急物资储备库或能依托区域有效的公共物资库，并定期进行修编。</w:t>
            </w:r>
          </w:p>
        </w:tc>
        <w:tc>
          <w:tcPr>
            <w:tcW w:w="4425" w:type="dxa"/>
            <w:vAlign w:val="center"/>
          </w:tcPr>
          <w:p w14:paraId="2F2FDB58">
            <w:pPr>
              <w:pStyle w:val="11"/>
              <w:ind w:left="0" w:leftChars="0" w:firstLine="0" w:firstLineChars="0"/>
              <w:jc w:val="both"/>
              <w:rPr>
                <w:rFonts w:hint="eastAsia" w:eastAsia="宋体"/>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本项目严格按照要求</w:t>
            </w:r>
            <w:r>
              <w:rPr>
                <w:rFonts w:hint="default" w:ascii="Times New Roman" w:hAnsi="Times New Roman" w:eastAsia="宋体" w:cs="Times New Roman"/>
                <w:color w:val="auto"/>
                <w:sz w:val="21"/>
                <w:szCs w:val="21"/>
                <w:highlight w:val="none"/>
              </w:rPr>
              <w:t>制定突发环境事件应急预案并备案</w:t>
            </w:r>
            <w:r>
              <w:rPr>
                <w:rFonts w:hint="eastAsia" w:cs="Times New Roman"/>
                <w:color w:val="auto"/>
                <w:sz w:val="21"/>
                <w:szCs w:val="21"/>
                <w:highlight w:val="none"/>
                <w:lang w:eastAsia="zh-CN"/>
              </w:rPr>
              <w:t>；</w:t>
            </w:r>
            <w:r>
              <w:rPr>
                <w:rFonts w:hint="eastAsia" w:eastAsia="宋体"/>
                <w:color w:val="auto"/>
                <w:kern w:val="0"/>
                <w:szCs w:val="21"/>
                <w:highlight w:val="none"/>
              </w:rPr>
              <w:t>建设突发事件应急物资储备库或能依托区域有效的公共物资库，并定期进行修编。</w:t>
            </w:r>
          </w:p>
        </w:tc>
        <w:tc>
          <w:tcPr>
            <w:tcW w:w="745" w:type="dxa"/>
            <w:vAlign w:val="center"/>
          </w:tcPr>
          <w:p w14:paraId="5AF81D23">
            <w:pPr>
              <w:tabs>
                <w:tab w:val="left" w:pos="312"/>
              </w:tabs>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符合</w:t>
            </w:r>
          </w:p>
        </w:tc>
      </w:tr>
      <w:tr w14:paraId="225281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63" w:hRule="atLeast"/>
          <w:jc w:val="center"/>
        </w:trPr>
        <w:tc>
          <w:tcPr>
            <w:tcW w:w="721" w:type="dxa"/>
            <w:vMerge w:val="continue"/>
            <w:vAlign w:val="center"/>
          </w:tcPr>
          <w:p w14:paraId="76A2031F">
            <w:pPr>
              <w:pStyle w:val="11"/>
              <w:spacing w:line="240" w:lineRule="auto"/>
              <w:ind w:left="0" w:leftChars="0" w:right="0" w:rightChars="0" w:firstLine="0"/>
              <w:jc w:val="center"/>
              <w:rPr>
                <w:rFonts w:hint="default" w:ascii="Times New Roman" w:hAnsi="Times New Roman" w:eastAsia="宋体" w:cs="Times New Roman"/>
                <w:color w:val="auto"/>
                <w:sz w:val="21"/>
                <w:szCs w:val="21"/>
                <w:highlight w:val="none"/>
              </w:rPr>
            </w:pPr>
          </w:p>
        </w:tc>
        <w:tc>
          <w:tcPr>
            <w:tcW w:w="655" w:type="dxa"/>
            <w:vMerge w:val="continue"/>
            <w:vAlign w:val="center"/>
          </w:tcPr>
          <w:p w14:paraId="2654C18F">
            <w:pPr>
              <w:pStyle w:val="11"/>
              <w:spacing w:line="240" w:lineRule="auto"/>
              <w:ind w:left="0" w:leftChars="0" w:right="0" w:rightChars="0" w:firstLine="0"/>
              <w:jc w:val="center"/>
              <w:rPr>
                <w:rFonts w:hint="default" w:ascii="Times New Roman" w:hAnsi="Times New Roman" w:eastAsia="宋体" w:cs="Times New Roman"/>
                <w:color w:val="auto"/>
                <w:sz w:val="21"/>
                <w:szCs w:val="21"/>
                <w:highlight w:val="none"/>
              </w:rPr>
            </w:pPr>
          </w:p>
        </w:tc>
        <w:tc>
          <w:tcPr>
            <w:tcW w:w="540" w:type="dxa"/>
            <w:vMerge w:val="continue"/>
            <w:vAlign w:val="center"/>
          </w:tcPr>
          <w:p w14:paraId="49410C24">
            <w:pPr>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630" w:type="dxa"/>
            <w:vMerge w:val="continue"/>
            <w:vAlign w:val="center"/>
          </w:tcPr>
          <w:p w14:paraId="5F7B8EDA">
            <w:pPr>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70" w:type="dxa"/>
            <w:vAlign w:val="center"/>
          </w:tcPr>
          <w:p w14:paraId="22242FDE">
            <w:pPr>
              <w:widowControl/>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eastAsia="宋体"/>
                <w:color w:val="auto"/>
                <w:kern w:val="0"/>
                <w:szCs w:val="21"/>
                <w:highlight w:val="none"/>
                <w:lang w:bidi="ar"/>
              </w:rPr>
              <w:t>资源利用效率要求</w:t>
            </w:r>
          </w:p>
        </w:tc>
        <w:tc>
          <w:tcPr>
            <w:tcW w:w="8430" w:type="dxa"/>
            <w:vAlign w:val="center"/>
          </w:tcPr>
          <w:p w14:paraId="2C055117">
            <w:pPr>
              <w:widowControl/>
              <w:spacing w:line="240" w:lineRule="auto"/>
              <w:ind w:left="0" w:leftChars="0" w:right="0" w:rightChars="0"/>
              <w:rPr>
                <w:rFonts w:eastAsia="宋体"/>
                <w:color w:val="auto"/>
                <w:szCs w:val="21"/>
                <w:highlight w:val="none"/>
              </w:rPr>
            </w:pPr>
            <w:r>
              <w:rPr>
                <w:rFonts w:eastAsia="宋体"/>
                <w:color w:val="auto"/>
                <w:szCs w:val="21"/>
                <w:highlight w:val="none"/>
              </w:rPr>
              <w:t>1、禁止农作物秸秆等生物质及其他废弃物违规露天焚烧。</w:t>
            </w:r>
          </w:p>
          <w:p w14:paraId="41E98E64">
            <w:pPr>
              <w:pStyle w:val="53"/>
              <w:snapToGrid w:val="0"/>
              <w:jc w:val="both"/>
              <w:rPr>
                <w:rFonts w:hint="default" w:ascii="Times New Roman" w:hAnsi="Times New Roman" w:eastAsia="宋体" w:cs="Times New Roman"/>
                <w:color w:val="auto"/>
                <w:sz w:val="21"/>
                <w:szCs w:val="21"/>
                <w:highlight w:val="none"/>
              </w:rPr>
            </w:pPr>
            <w:r>
              <w:rPr>
                <w:rFonts w:ascii="Times New Roman" w:hAnsi="Times New Roman" w:eastAsia="宋体" w:cs="Times New Roman"/>
                <w:color w:val="auto"/>
                <w:kern w:val="2"/>
                <w:sz w:val="21"/>
                <w:szCs w:val="21"/>
                <w:highlight w:val="none"/>
              </w:rPr>
              <w:t>2、</w:t>
            </w:r>
            <w:r>
              <w:rPr>
                <w:rFonts w:eastAsia="宋体"/>
                <w:color w:val="auto"/>
                <w:sz w:val="21"/>
                <w:szCs w:val="21"/>
                <w:highlight w:val="none"/>
              </w:rPr>
              <w:t>严控地下水超采。禁止私自开采地下水。新建、改建、扩建的工业项目，禁止擅自使用地下水。食品、制药等项目取用地下水，须经有管理权限的水行政主管部门批准。</w:t>
            </w:r>
          </w:p>
        </w:tc>
        <w:tc>
          <w:tcPr>
            <w:tcW w:w="4425" w:type="dxa"/>
            <w:vAlign w:val="center"/>
          </w:tcPr>
          <w:p w14:paraId="098BAC96">
            <w:pPr>
              <w:tabs>
                <w:tab w:val="left" w:pos="312"/>
              </w:tabs>
              <w:spacing w:line="240" w:lineRule="auto"/>
              <w:ind w:left="0" w:leftChars="0" w:right="0" w:rightChars="0"/>
              <w:jc w:val="both"/>
              <w:rPr>
                <w:rFonts w:hint="eastAsia"/>
                <w:color w:val="auto"/>
                <w:szCs w:val="21"/>
                <w:highlight w:val="none"/>
                <w:lang w:val="en-US" w:eastAsia="zh-CN"/>
              </w:rPr>
            </w:pPr>
            <w:r>
              <w:rPr>
                <w:rFonts w:hint="eastAsia" w:cs="Times New Roman"/>
                <w:color w:val="auto"/>
                <w:kern w:val="0"/>
                <w:sz w:val="21"/>
                <w:szCs w:val="21"/>
                <w:highlight w:val="none"/>
                <w:lang w:val="en-US" w:eastAsia="zh-CN"/>
              </w:rPr>
              <w:t>1、本项目不进行</w:t>
            </w:r>
            <w:r>
              <w:rPr>
                <w:rFonts w:eastAsia="宋体"/>
                <w:color w:val="auto"/>
                <w:szCs w:val="21"/>
                <w:highlight w:val="none"/>
              </w:rPr>
              <w:t>农作物秸秆等生物质及其他废弃物违规露天焚烧</w:t>
            </w:r>
            <w:r>
              <w:rPr>
                <w:rFonts w:hint="eastAsia"/>
                <w:color w:val="auto"/>
                <w:szCs w:val="21"/>
                <w:highlight w:val="none"/>
                <w:lang w:val="en-US" w:eastAsia="zh-CN"/>
              </w:rPr>
              <w:t>活动；</w:t>
            </w:r>
          </w:p>
          <w:p w14:paraId="6FCF0DEB">
            <w:pPr>
              <w:pStyle w:val="11"/>
              <w:ind w:left="0" w:leftChars="0" w:firstLine="0" w:firstLineChars="0"/>
              <w:jc w:val="both"/>
              <w:rPr>
                <w:rFonts w:hint="default"/>
                <w:color w:val="auto"/>
                <w:highlight w:val="none"/>
                <w:lang w:val="en-US" w:eastAsia="zh-CN"/>
              </w:rPr>
            </w:pPr>
            <w:r>
              <w:rPr>
                <w:rFonts w:hint="eastAsia"/>
                <w:color w:val="auto"/>
                <w:szCs w:val="21"/>
                <w:highlight w:val="none"/>
                <w:lang w:val="en-US" w:eastAsia="zh-CN"/>
              </w:rPr>
              <w:t>2、本项目取用水手续齐全，已办理地下水取水许可证。</w:t>
            </w:r>
          </w:p>
        </w:tc>
        <w:tc>
          <w:tcPr>
            <w:tcW w:w="745" w:type="dxa"/>
            <w:vAlign w:val="center"/>
          </w:tcPr>
          <w:p w14:paraId="522DB764">
            <w:pPr>
              <w:tabs>
                <w:tab w:val="left" w:pos="312"/>
              </w:tabs>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bl>
    <w:p w14:paraId="32C3BE67">
      <w:pPr>
        <w:autoSpaceDE w:val="0"/>
        <w:autoSpaceDN w:val="0"/>
        <w:adjustRightInd w:val="0"/>
        <w:snapToGrid w:val="0"/>
        <w:spacing w:line="360" w:lineRule="auto"/>
        <w:ind w:firstLine="480" w:firstLineChars="200"/>
        <w:jc w:val="left"/>
        <w:rPr>
          <w:rFonts w:hint="eastAsia" w:ascii="宋体" w:hAnsi="宋体" w:eastAsia="宋体" w:cs="宋体"/>
          <w:color w:val="auto"/>
          <w:sz w:val="30"/>
          <w:highlight w:val="none"/>
          <w:lang w:val="en-US" w:eastAsia="zh-CN"/>
        </w:rPr>
        <w:sectPr>
          <w:pgSz w:w="16838" w:h="11906" w:orient="landscape"/>
          <w:pgMar w:top="1531" w:right="1701" w:bottom="1531" w:left="1701" w:header="851" w:footer="1304" w:gutter="0"/>
          <w:pgBorders>
            <w:top w:val="none" w:sz="0" w:space="0"/>
            <w:left w:val="none" w:sz="0" w:space="0"/>
            <w:bottom w:val="none" w:sz="0" w:space="0"/>
            <w:right w:val="none" w:sz="0" w:space="0"/>
          </w:pgBorders>
          <w:pgNumType w:start="1"/>
          <w:cols w:space="720" w:num="1"/>
          <w:docGrid w:linePitch="312" w:charSpace="0"/>
        </w:sectPr>
      </w:pPr>
      <w:r>
        <w:rPr>
          <w:rFonts w:hint="default" w:ascii="Times New Roman" w:hAnsi="Times New Roman" w:eastAsia="宋体" w:cs="Times New Roman"/>
          <w:color w:val="auto"/>
          <w:sz w:val="24"/>
          <w:highlight w:val="none"/>
        </w:rPr>
        <w:t>综上所述，本项目符合</w:t>
      </w:r>
      <w:r>
        <w:rPr>
          <w:rFonts w:hint="eastAsia" w:cs="Times New Roman"/>
          <w:color w:val="auto"/>
          <w:sz w:val="24"/>
          <w:highlight w:val="none"/>
          <w:lang w:val="en-US" w:eastAsia="zh-CN"/>
        </w:rPr>
        <w:t>生态环境分区管控</w:t>
      </w:r>
      <w:r>
        <w:rPr>
          <w:rFonts w:hint="default" w:ascii="Times New Roman" w:hAnsi="Times New Roman" w:eastAsia="宋体" w:cs="Times New Roman"/>
          <w:color w:val="auto"/>
          <w:sz w:val="24"/>
          <w:highlight w:val="none"/>
        </w:rPr>
        <w:t>要求</w:t>
      </w:r>
      <w:r>
        <w:rPr>
          <w:rFonts w:hint="eastAsia" w:cs="Times New Roman"/>
          <w:color w:val="auto"/>
          <w:sz w:val="24"/>
          <w:highlight w:val="none"/>
          <w:lang w:eastAsia="zh-CN"/>
        </w:rPr>
        <w:t>。</w:t>
      </w:r>
    </w:p>
    <w:p w14:paraId="75A83AA9">
      <w:pPr>
        <w:pStyle w:val="20"/>
        <w:jc w:val="center"/>
        <w:outlineLvl w:val="0"/>
        <w:rPr>
          <w:rFonts w:hint="eastAsia" w:ascii="宋体" w:hAnsi="宋体" w:eastAsia="宋体" w:cs="宋体"/>
          <w:b/>
          <w:bCs/>
          <w:snapToGrid w:val="0"/>
          <w:color w:val="auto"/>
          <w:sz w:val="30"/>
          <w:szCs w:val="30"/>
          <w:highlight w:val="none"/>
        </w:rPr>
      </w:pPr>
      <w:r>
        <w:rPr>
          <w:rFonts w:hint="eastAsia" w:ascii="宋体" w:hAnsi="宋体" w:eastAsia="宋体" w:cs="宋体"/>
          <w:b/>
          <w:bCs/>
          <w:snapToGrid w:val="0"/>
          <w:color w:val="auto"/>
          <w:sz w:val="30"/>
          <w:szCs w:val="30"/>
          <w:highlight w:val="none"/>
        </w:rPr>
        <w:t>二、建设项目工程分析</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60"/>
        <w:gridCol w:w="8064"/>
      </w:tblGrid>
      <w:tr w14:paraId="769EAC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93" w:hRule="atLeast"/>
          <w:jc w:val="center"/>
        </w:trPr>
        <w:tc>
          <w:tcPr>
            <w:tcW w:w="760" w:type="dxa"/>
            <w:vAlign w:val="center"/>
          </w:tcPr>
          <w:p w14:paraId="51DF51AA">
            <w:pPr>
              <w:pStyle w:val="20"/>
              <w:keepNext w:val="0"/>
              <w:keepLines w:val="0"/>
              <w:pageBreakBefore w:val="0"/>
              <w:kinsoku/>
              <w:wordWrap/>
              <w:overflowPunct/>
              <w:topLinePunct w:val="0"/>
              <w:autoSpaceDE/>
              <w:autoSpaceDN/>
              <w:bidi w:val="0"/>
              <w:adjustRightInd w:val="0"/>
              <w:snapToGrid w:val="0"/>
              <w:spacing w:before="0" w:beforeAutospacing="0" w:after="0" w:afterAutospacing="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b/>
                <w:bCs/>
                <w:color w:val="auto"/>
                <w:kern w:val="2"/>
                <w:szCs w:val="24"/>
                <w:highlight w:val="none"/>
              </w:rPr>
              <w:t>建设内容</w:t>
            </w:r>
          </w:p>
        </w:tc>
        <w:tc>
          <w:tcPr>
            <w:tcW w:w="8064" w:type="dxa"/>
            <w:vAlign w:val="center"/>
          </w:tcPr>
          <w:p w14:paraId="39C7ED47">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cs="Times New Roman"/>
                <w:b/>
                <w:bCs/>
                <w:color w:val="auto"/>
                <w:sz w:val="24"/>
                <w:szCs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一、</w:t>
            </w:r>
            <w:r>
              <w:rPr>
                <w:rFonts w:hint="eastAsia" w:cs="Times New Roman"/>
                <w:b/>
                <w:bCs/>
                <w:color w:val="auto"/>
                <w:sz w:val="24"/>
                <w:szCs w:val="24"/>
                <w:highlight w:val="none"/>
                <w:lang w:val="en-US" w:eastAsia="zh-CN"/>
              </w:rPr>
              <w:t>项目由来</w:t>
            </w:r>
          </w:p>
          <w:p w14:paraId="7F018CD1">
            <w:pPr>
              <w:keepNext w:val="0"/>
              <w:keepLines w:val="0"/>
              <w:pageBreakBefore w:val="0"/>
              <w:widowControl/>
              <w:suppressLineNumbers w:val="0"/>
              <w:kinsoku/>
              <w:wordWrap/>
              <w:overflowPunct/>
              <w:topLinePunct w:val="0"/>
              <w:autoSpaceDE/>
              <w:autoSpaceDN/>
              <w:bidi w:val="0"/>
              <w:adjustRightInd/>
              <w:snapToGrid/>
              <w:spacing w:line="400" w:lineRule="exact"/>
              <w:ind w:firstLine="723" w:firstLineChars="300"/>
              <w:jc w:val="left"/>
              <w:textAlignment w:val="auto"/>
              <w:rPr>
                <w:rFonts w:hint="default"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1、环保手续办理情况</w:t>
            </w:r>
          </w:p>
          <w:p w14:paraId="36E23A17">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上海佳格食品有限公司内蒙古分公司现有项目环保手续齐全，各时段环保手续办理情况见下表2-1，现有工程环保手续履行情况见附件5。</w:t>
            </w:r>
          </w:p>
          <w:p w14:paraId="1FDECC18">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表2-1 现有项目环保手续一览表</w:t>
            </w:r>
          </w:p>
          <w:tbl>
            <w:tblPr>
              <w:tblStyle w:val="22"/>
              <w:tblW w:w="787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23"/>
              <w:gridCol w:w="1590"/>
              <w:gridCol w:w="1635"/>
              <w:gridCol w:w="1329"/>
            </w:tblGrid>
            <w:tr w14:paraId="344566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3323" w:type="dxa"/>
                  <w:tcBorders>
                    <w:tl2br w:val="nil"/>
                    <w:tr2bl w:val="nil"/>
                  </w:tcBorders>
                  <w:vAlign w:val="center"/>
                </w:tcPr>
                <w:p w14:paraId="496AE2BA">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环评名称</w:t>
                  </w:r>
                </w:p>
              </w:tc>
              <w:tc>
                <w:tcPr>
                  <w:tcW w:w="1590" w:type="dxa"/>
                  <w:tcBorders>
                    <w:tl2br w:val="nil"/>
                    <w:tr2bl w:val="nil"/>
                  </w:tcBorders>
                  <w:vAlign w:val="center"/>
                </w:tcPr>
                <w:p w14:paraId="19A2CA4D">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环评批复时间及文号</w:t>
                  </w:r>
                </w:p>
              </w:tc>
              <w:tc>
                <w:tcPr>
                  <w:tcW w:w="1635" w:type="dxa"/>
                  <w:tcBorders>
                    <w:tl2br w:val="nil"/>
                    <w:tr2bl w:val="nil"/>
                  </w:tcBorders>
                  <w:vAlign w:val="center"/>
                </w:tcPr>
                <w:p w14:paraId="6F938308">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eastAsia"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竣工环保验收情况</w:t>
                  </w:r>
                </w:p>
              </w:tc>
              <w:tc>
                <w:tcPr>
                  <w:tcW w:w="1329" w:type="dxa"/>
                  <w:tcBorders>
                    <w:tl2br w:val="nil"/>
                    <w:tr2bl w:val="nil"/>
                  </w:tcBorders>
                  <w:vAlign w:val="center"/>
                </w:tcPr>
                <w:p w14:paraId="47C2D457">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排污许可申请情况</w:t>
                  </w:r>
                </w:p>
              </w:tc>
            </w:tr>
            <w:tr w14:paraId="5FCA2E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188" w:hRule="atLeast"/>
              </w:trPr>
              <w:tc>
                <w:tcPr>
                  <w:tcW w:w="3323" w:type="dxa"/>
                  <w:tcBorders>
                    <w:tl2br w:val="nil"/>
                    <w:tr2bl w:val="nil"/>
                  </w:tcBorders>
                  <w:vAlign w:val="center"/>
                </w:tcPr>
                <w:p w14:paraId="10B33CF9">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《上海佳格食品有限公司内蒙古分公司年产2万吨葵花籽油工程》</w:t>
                  </w:r>
                </w:p>
              </w:tc>
              <w:tc>
                <w:tcPr>
                  <w:tcW w:w="1590" w:type="dxa"/>
                  <w:tcBorders>
                    <w:tl2br w:val="nil"/>
                    <w:tr2bl w:val="nil"/>
                  </w:tcBorders>
                  <w:vAlign w:val="center"/>
                </w:tcPr>
                <w:p w14:paraId="49A0C0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2004年12月20日</w:t>
                  </w:r>
                </w:p>
              </w:tc>
              <w:tc>
                <w:tcPr>
                  <w:tcW w:w="1635" w:type="dxa"/>
                  <w:tcBorders>
                    <w:tl2br w:val="nil"/>
                    <w:tr2bl w:val="nil"/>
                  </w:tcBorders>
                  <w:vAlign w:val="center"/>
                </w:tcPr>
                <w:p w14:paraId="6DB30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2007年11月16日，磴环验字</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2007</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第10号</w:t>
                  </w:r>
                </w:p>
              </w:tc>
              <w:tc>
                <w:tcPr>
                  <w:tcW w:w="1329" w:type="dxa"/>
                  <w:vMerge w:val="restart"/>
                  <w:tcBorders>
                    <w:tl2br w:val="nil"/>
                    <w:tr2bl w:val="nil"/>
                  </w:tcBorders>
                  <w:vAlign w:val="center"/>
                </w:tcPr>
                <w:p w14:paraId="6DF509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eastAsia="微软雅黑" w:cs="Times New Roman"/>
                      <w:i w:val="0"/>
                      <w:iCs w:val="0"/>
                      <w:caps w:val="0"/>
                      <w:color w:val="auto"/>
                      <w:spacing w:val="0"/>
                      <w:sz w:val="21"/>
                      <w:szCs w:val="21"/>
                      <w:highlight w:val="none"/>
                      <w:shd w:val="clear" w:fill="FFFFFF"/>
                      <w:lang w:val="en-US" w:eastAsia="zh-CN"/>
                    </w:rPr>
                    <w:t>排污许可证号：</w:t>
                  </w:r>
                  <w:r>
                    <w:rPr>
                      <w:rFonts w:hint="default" w:ascii="Times New Roman" w:hAnsi="Times New Roman" w:eastAsia="微软雅黑" w:cs="Times New Roman"/>
                      <w:i w:val="0"/>
                      <w:iCs w:val="0"/>
                      <w:caps w:val="0"/>
                      <w:color w:val="auto"/>
                      <w:spacing w:val="0"/>
                      <w:sz w:val="21"/>
                      <w:szCs w:val="21"/>
                      <w:highlight w:val="none"/>
                      <w:shd w:val="clear" w:fill="FFFFFF"/>
                    </w:rPr>
                    <w:t>91150800756694831W001U</w:t>
                  </w:r>
                </w:p>
              </w:tc>
            </w:tr>
            <w:tr w14:paraId="13EBEC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8" w:hRule="atLeast"/>
              </w:trPr>
              <w:tc>
                <w:tcPr>
                  <w:tcW w:w="3323" w:type="dxa"/>
                  <w:tcBorders>
                    <w:tl2br w:val="nil"/>
                    <w:tr2bl w:val="nil"/>
                  </w:tcBorders>
                  <w:vAlign w:val="center"/>
                </w:tcPr>
                <w:p w14:paraId="4CA554FD">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lang w:val="en-US" w:eastAsia="zh-CN"/>
                    </w:rPr>
                    <w:t>《上海佳格食品有限公司内蒙古分公司6万吨葵花籽油二期精炼项目》</w:t>
                  </w:r>
                </w:p>
              </w:tc>
              <w:tc>
                <w:tcPr>
                  <w:tcW w:w="1590" w:type="dxa"/>
                  <w:tcBorders>
                    <w:tl2br w:val="nil"/>
                    <w:tr2bl w:val="nil"/>
                  </w:tcBorders>
                  <w:vAlign w:val="center"/>
                </w:tcPr>
                <w:p w14:paraId="6830E8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2008年8月12日</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巴环审表</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2008</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32号</w:t>
                  </w:r>
                </w:p>
              </w:tc>
              <w:tc>
                <w:tcPr>
                  <w:tcW w:w="1635" w:type="dxa"/>
                  <w:tcBorders>
                    <w:tl2br w:val="nil"/>
                    <w:tr2bl w:val="nil"/>
                  </w:tcBorders>
                  <w:vAlign w:val="center"/>
                </w:tcPr>
                <w:p w14:paraId="293E7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2010年1月26日</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巴环验</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2010</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2号</w:t>
                  </w:r>
                </w:p>
              </w:tc>
              <w:tc>
                <w:tcPr>
                  <w:tcW w:w="1329" w:type="dxa"/>
                  <w:vMerge w:val="continue"/>
                  <w:tcBorders>
                    <w:tl2br w:val="nil"/>
                    <w:tr2bl w:val="nil"/>
                  </w:tcBorders>
                  <w:vAlign w:val="center"/>
                </w:tcPr>
                <w:p w14:paraId="007C80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21154A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4" w:hRule="atLeast"/>
              </w:trPr>
              <w:tc>
                <w:tcPr>
                  <w:tcW w:w="3323" w:type="dxa"/>
                  <w:tcBorders>
                    <w:tl2br w:val="nil"/>
                    <w:tr2bl w:val="nil"/>
                  </w:tcBorders>
                  <w:vAlign w:val="center"/>
                </w:tcPr>
                <w:p w14:paraId="13F676D5">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lang w:val="en-US" w:eastAsia="zh-CN"/>
                    </w:rPr>
                    <w:t>《上海佳格食品有限公司内蒙古分公司锅炉房煤改天然气项目环境影响报告表》</w:t>
                  </w:r>
                </w:p>
              </w:tc>
              <w:tc>
                <w:tcPr>
                  <w:tcW w:w="1590" w:type="dxa"/>
                  <w:tcBorders>
                    <w:tl2br w:val="nil"/>
                    <w:tr2bl w:val="nil"/>
                  </w:tcBorders>
                  <w:vAlign w:val="center"/>
                </w:tcPr>
                <w:p w14:paraId="229CB0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2018年10月24日</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磴环审表〔2018〕17号</w:t>
                  </w:r>
                </w:p>
              </w:tc>
              <w:tc>
                <w:tcPr>
                  <w:tcW w:w="1635" w:type="dxa"/>
                  <w:tcBorders>
                    <w:tl2br w:val="nil"/>
                    <w:tr2bl w:val="nil"/>
                  </w:tcBorders>
                  <w:vAlign w:val="center"/>
                </w:tcPr>
                <w:p w14:paraId="5CFDC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2020年1月</w:t>
                  </w:r>
                </w:p>
                <w:p w14:paraId="3C3676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自主验收</w:t>
                  </w:r>
                </w:p>
              </w:tc>
              <w:tc>
                <w:tcPr>
                  <w:tcW w:w="1329" w:type="dxa"/>
                  <w:vMerge w:val="continue"/>
                  <w:tcBorders>
                    <w:tl2br w:val="nil"/>
                    <w:tr2bl w:val="nil"/>
                  </w:tcBorders>
                  <w:vAlign w:val="center"/>
                </w:tcPr>
                <w:p w14:paraId="5ED43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bl>
          <w:p w14:paraId="13A65C2B">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2、项目由来</w:t>
            </w:r>
          </w:p>
          <w:p w14:paraId="1EF519B7">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eastAsia="宋体"/>
                <w:color w:val="auto"/>
                <w:highlight w:val="none"/>
                <w:lang w:eastAsia="zh-CN"/>
              </w:rPr>
            </w:pPr>
            <w:r>
              <w:rPr>
                <w:rFonts w:hint="eastAsia" w:cs="Times New Roman"/>
                <w:b w:val="0"/>
                <w:bCs w:val="0"/>
                <w:color w:val="auto"/>
                <w:sz w:val="24"/>
                <w:szCs w:val="24"/>
                <w:highlight w:val="none"/>
                <w:lang w:val="en-US" w:eastAsia="zh-CN"/>
              </w:rPr>
              <w:t>依据项目备案告知书，上海佳格食品有限公司内蒙古分公司申请建设“上海佳格食品有限公司内蒙古分公司技改食用浓香油1条生产线、升级改造精炼车间项目”。根据企业投资计划，提升改造精炼车间项目暂时不建设，因此本次评价只针对新增1条食用浓香油生产线项目。</w:t>
            </w:r>
          </w:p>
          <w:p w14:paraId="11B718A4">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二、新建工程内容</w:t>
            </w:r>
          </w:p>
          <w:p w14:paraId="2EC230DD">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cs="Times New Roman"/>
                <w:color w:val="auto"/>
                <w:sz w:val="24"/>
                <w:szCs w:val="24"/>
                <w:highlight w:val="none"/>
                <w:u w:val="none"/>
                <w:lang w:val="en-US" w:eastAsia="zh-CN"/>
              </w:rPr>
            </w:pPr>
            <w:r>
              <w:rPr>
                <w:rFonts w:hint="default" w:ascii="Times New Roman" w:hAnsi="Times New Roman" w:eastAsia="宋体" w:cs="Times New Roman"/>
                <w:b/>
                <w:bCs/>
                <w:color w:val="auto"/>
                <w:sz w:val="24"/>
                <w:szCs w:val="24"/>
                <w:highlight w:val="none"/>
              </w:rPr>
              <w:t>1、项目名称：</w:t>
            </w:r>
            <w:r>
              <w:rPr>
                <w:rFonts w:hint="eastAsia" w:cs="Times New Roman"/>
                <w:color w:val="auto"/>
                <w:sz w:val="24"/>
                <w:szCs w:val="24"/>
                <w:highlight w:val="none"/>
                <w:u w:val="none"/>
                <w:lang w:val="en-US" w:eastAsia="zh-CN"/>
              </w:rPr>
              <w:t>上海佳格食品有限公司内蒙古分公司1条食用浓香油生产线项目</w:t>
            </w:r>
          </w:p>
          <w:p w14:paraId="6803ABB3">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sz w:val="24"/>
                <w:szCs w:val="24"/>
                <w:highlight w:val="none"/>
                <w:u w:val="none"/>
                <w:lang w:val="en-US" w:eastAsia="zh-CN"/>
              </w:rPr>
              <w:t xml:space="preserve"> </w:t>
            </w:r>
            <w:r>
              <w:rPr>
                <w:rFonts w:hint="default" w:ascii="Times New Roman" w:hAnsi="Times New Roman" w:eastAsia="宋体" w:cs="Times New Roman"/>
                <w:b/>
                <w:bCs/>
                <w:color w:val="auto"/>
                <w:sz w:val="24"/>
                <w:szCs w:val="24"/>
                <w:highlight w:val="none"/>
                <w:u w:val="none"/>
                <w:lang w:val="en-US" w:eastAsia="zh-CN"/>
              </w:rPr>
              <w:t>2、项目概况：</w:t>
            </w:r>
            <w:r>
              <w:rPr>
                <w:rFonts w:hint="eastAsia" w:cs="Times New Roman"/>
                <w:color w:val="auto"/>
                <w:kern w:val="0"/>
                <w:sz w:val="24"/>
                <w:szCs w:val="24"/>
                <w:highlight w:val="none"/>
                <w:lang w:val="en-US" w:eastAsia="zh-CN" w:bidi="ar"/>
              </w:rPr>
              <w:t>本项目建设的浓香油生产车间</w:t>
            </w:r>
            <w:r>
              <w:rPr>
                <w:rFonts w:hint="default" w:ascii="Times New Roman" w:hAnsi="Times New Roman" w:eastAsia="宋体" w:cs="Times New Roman"/>
                <w:color w:val="auto"/>
                <w:kern w:val="0"/>
                <w:sz w:val="24"/>
                <w:szCs w:val="24"/>
                <w:highlight w:val="none"/>
                <w:lang w:val="en-US" w:eastAsia="zh-CN" w:bidi="ar"/>
              </w:rPr>
              <w:t>占地面积约为</w:t>
            </w:r>
            <w:r>
              <w:rPr>
                <w:rFonts w:hint="eastAsia" w:cs="Times New Roman"/>
                <w:color w:val="auto"/>
                <w:kern w:val="0"/>
                <w:sz w:val="24"/>
                <w:szCs w:val="24"/>
                <w:highlight w:val="none"/>
                <w:lang w:val="en-US" w:eastAsia="zh-CN" w:bidi="ar"/>
              </w:rPr>
              <w:t>720</w:t>
            </w:r>
            <w:r>
              <w:rPr>
                <w:rFonts w:hint="default" w:ascii="Times New Roman" w:hAnsi="Times New Roman" w:eastAsia="宋体" w:cs="Times New Roman"/>
                <w:color w:val="auto"/>
                <w:kern w:val="0"/>
                <w:sz w:val="24"/>
                <w:szCs w:val="24"/>
                <w:highlight w:val="none"/>
                <w:lang w:val="en-US" w:eastAsia="zh-CN" w:bidi="ar"/>
              </w:rPr>
              <w:t>m</w:t>
            </w:r>
            <w:r>
              <w:rPr>
                <w:rFonts w:hint="eastAsia" w:cs="Times New Roman"/>
                <w:color w:val="auto"/>
                <w:kern w:val="0"/>
                <w:sz w:val="24"/>
                <w:szCs w:val="24"/>
                <w:highlight w:val="none"/>
                <w:vertAlign w:val="superscript"/>
                <w:lang w:val="en-US" w:eastAsia="zh-CN" w:bidi="ar"/>
              </w:rPr>
              <w:t>2</w:t>
            </w:r>
            <w:r>
              <w:rPr>
                <w:rFonts w:hint="eastAsia" w:cs="Times New Roman"/>
                <w:color w:val="auto"/>
                <w:kern w:val="0"/>
                <w:sz w:val="24"/>
                <w:szCs w:val="24"/>
                <w:highlight w:val="none"/>
                <w:vertAlign w:val="baseline"/>
                <w:lang w:val="en-US" w:eastAsia="zh-CN" w:bidi="ar"/>
              </w:rPr>
              <w:t>，</w:t>
            </w:r>
            <w:r>
              <w:rPr>
                <w:rFonts w:hint="eastAsia" w:cs="Times New Roman"/>
                <w:color w:val="auto"/>
                <w:kern w:val="0"/>
                <w:sz w:val="24"/>
                <w:szCs w:val="24"/>
                <w:highlight w:val="none"/>
                <w:lang w:val="en-US" w:eastAsia="zh-CN" w:bidi="ar"/>
              </w:rPr>
              <w:t>为上海佳格食品有限公司内蒙古分公司院内原有库房改造的车间，对应</w:t>
            </w:r>
            <w:r>
              <w:rPr>
                <w:rFonts w:hint="default" w:ascii="Times New Roman" w:hAnsi="Times New Roman" w:eastAsia="宋体" w:cs="Times New Roman"/>
                <w:color w:val="auto"/>
                <w:kern w:val="0"/>
                <w:sz w:val="24"/>
                <w:szCs w:val="24"/>
                <w:highlight w:val="none"/>
                <w:lang w:val="en-US" w:eastAsia="zh-CN" w:bidi="ar"/>
              </w:rPr>
              <w:t>配备各类自动化生产设备、</w:t>
            </w:r>
            <w:r>
              <w:rPr>
                <w:rFonts w:hint="eastAsia" w:cs="Times New Roman"/>
                <w:color w:val="auto"/>
                <w:kern w:val="0"/>
                <w:sz w:val="24"/>
                <w:szCs w:val="24"/>
                <w:highlight w:val="none"/>
                <w:lang w:val="en-US" w:eastAsia="zh-CN" w:bidi="ar"/>
              </w:rPr>
              <w:t>导热油炉</w:t>
            </w:r>
            <w:r>
              <w:rPr>
                <w:rFonts w:hint="default"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输送设备</w:t>
            </w:r>
            <w:r>
              <w:rPr>
                <w:rFonts w:hint="default" w:ascii="Times New Roman" w:hAnsi="Times New Roman" w:eastAsia="宋体" w:cs="Times New Roman"/>
                <w:color w:val="auto"/>
                <w:kern w:val="0"/>
                <w:sz w:val="24"/>
                <w:szCs w:val="24"/>
                <w:highlight w:val="none"/>
                <w:lang w:val="en-US" w:eastAsia="zh-CN" w:bidi="ar"/>
              </w:rPr>
              <w:t>等。</w:t>
            </w:r>
          </w:p>
          <w:p w14:paraId="5E6FF0D2">
            <w:pPr>
              <w:pStyle w:val="5"/>
              <w:keepNext w:val="0"/>
              <w:keepLines w:val="0"/>
              <w:pageBreakBefore w:val="0"/>
              <w:widowControl w:val="0"/>
              <w:kinsoku/>
              <w:wordWrap/>
              <w:overflowPunct/>
              <w:topLinePunct w:val="0"/>
              <w:autoSpaceDE/>
              <w:autoSpaceDN/>
              <w:bidi w:val="0"/>
              <w:adjustRightInd/>
              <w:snapToGrid/>
              <w:spacing w:after="0" w:line="400" w:lineRule="exact"/>
              <w:ind w:firstLine="482" w:firstLineChars="200"/>
              <w:textAlignment w:val="auto"/>
              <w:rPr>
                <w:rFonts w:hint="eastAsia"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、建设单位：</w:t>
            </w:r>
            <w:r>
              <w:rPr>
                <w:rFonts w:hint="eastAsia" w:cs="Times New Roman"/>
                <w:color w:val="auto"/>
                <w:sz w:val="24"/>
                <w:szCs w:val="24"/>
                <w:highlight w:val="none"/>
                <w:lang w:val="en-US" w:eastAsia="zh-CN"/>
              </w:rPr>
              <w:t>上海佳格食品有限公司内蒙古分公司</w:t>
            </w:r>
          </w:p>
          <w:p w14:paraId="4D2F7609">
            <w:pPr>
              <w:pStyle w:val="5"/>
              <w:keepNext w:val="0"/>
              <w:keepLines w:val="0"/>
              <w:pageBreakBefore w:val="0"/>
              <w:widowControl w:val="0"/>
              <w:kinsoku/>
              <w:wordWrap/>
              <w:overflowPunct/>
              <w:topLinePunct w:val="0"/>
              <w:autoSpaceDE/>
              <w:autoSpaceDN/>
              <w:bidi w:val="0"/>
              <w:adjustRightInd/>
              <w:snapToGrid/>
              <w:spacing w:after="0" w:line="400" w:lineRule="exact"/>
              <w:ind w:firstLine="482"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、建设性质：</w:t>
            </w:r>
            <w:r>
              <w:rPr>
                <w:rFonts w:hint="default" w:ascii="Times New Roman" w:hAnsi="Times New Roman" w:eastAsia="宋体" w:cs="Times New Roman"/>
                <w:color w:val="auto"/>
                <w:sz w:val="24"/>
                <w:szCs w:val="24"/>
                <w:highlight w:val="none"/>
                <w:lang w:val="en-US" w:eastAsia="zh-CN"/>
              </w:rPr>
              <w:t>新建</w:t>
            </w:r>
          </w:p>
          <w:p w14:paraId="12A7BC25">
            <w:pPr>
              <w:pStyle w:val="5"/>
              <w:keepNext w:val="0"/>
              <w:keepLines w:val="0"/>
              <w:pageBreakBefore w:val="0"/>
              <w:kinsoku/>
              <w:wordWrap/>
              <w:overflowPunct/>
              <w:topLinePunct w:val="0"/>
              <w:autoSpaceDE/>
              <w:autoSpaceDN/>
              <w:bidi w:val="0"/>
              <w:adjustRightInd/>
              <w:snapToGrid/>
              <w:spacing w:after="0" w:line="400" w:lineRule="exact"/>
              <w:ind w:firstLine="482"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rPr>
              <w:t>、建设地点：</w:t>
            </w:r>
            <w:r>
              <w:rPr>
                <w:rFonts w:hint="eastAsia" w:cs="Times New Roman"/>
                <w:b w:val="0"/>
                <w:bCs w:val="0"/>
                <w:color w:val="auto"/>
                <w:sz w:val="24"/>
                <w:szCs w:val="24"/>
                <w:highlight w:val="none"/>
                <w:lang w:val="en-US" w:eastAsia="zh-CN"/>
              </w:rPr>
              <w:t>本项目位于</w:t>
            </w:r>
            <w:r>
              <w:rPr>
                <w:rFonts w:hint="default" w:ascii="Times New Roman" w:hAnsi="Times New Roman" w:eastAsia="宋体" w:cs="Times New Roman"/>
                <w:b w:val="0"/>
                <w:bCs/>
                <w:color w:val="auto"/>
                <w:sz w:val="24"/>
                <w:szCs w:val="24"/>
                <w:highlight w:val="none"/>
                <w:lang w:val="en-US" w:eastAsia="zh-CN"/>
              </w:rPr>
              <w:t>内蒙古巴彦淖</w:t>
            </w:r>
            <w:r>
              <w:rPr>
                <w:rFonts w:hint="eastAsia" w:cs="Times New Roman"/>
                <w:b w:val="0"/>
                <w:bCs/>
                <w:color w:val="auto"/>
                <w:sz w:val="24"/>
                <w:szCs w:val="24"/>
                <w:highlight w:val="none"/>
                <w:lang w:val="en-US" w:eastAsia="zh-CN"/>
              </w:rPr>
              <w:t>尔市</w:t>
            </w:r>
            <w:r>
              <w:rPr>
                <w:rFonts w:hint="default" w:ascii="Times New Roman" w:hAnsi="Times New Roman" w:eastAsia="宋体" w:cs="Times New Roman"/>
                <w:color w:val="auto"/>
                <w:kern w:val="0"/>
                <w:sz w:val="24"/>
                <w:highlight w:val="none"/>
                <w:lang w:val="en-US" w:eastAsia="zh-CN"/>
              </w:rPr>
              <w:t>磴口县巴彦高勒镇</w:t>
            </w:r>
            <w:r>
              <w:rPr>
                <w:rFonts w:hint="default" w:ascii="Times New Roman" w:hAnsi="Times New Roman" w:eastAsia="宋体" w:cs="Times New Roman"/>
                <w:b w:val="0"/>
                <w:bCs/>
                <w:color w:val="auto"/>
                <w:sz w:val="24"/>
                <w:szCs w:val="24"/>
                <w:highlight w:val="none"/>
                <w:lang w:val="en-US" w:eastAsia="zh-CN"/>
              </w:rPr>
              <w:t>上海佳格食品有限公司内蒙古分公司院内</w:t>
            </w:r>
            <w:r>
              <w:rPr>
                <w:rFonts w:hint="default" w:ascii="Times New Roman" w:hAnsi="Times New Roman" w:eastAsia="宋体" w:cs="Times New Roman"/>
                <w:color w:val="auto"/>
                <w:sz w:val="24"/>
                <w:szCs w:val="24"/>
                <w:highlight w:val="none"/>
              </w:rPr>
              <w:t>，中心地理坐标</w:t>
            </w:r>
            <w:r>
              <w:rPr>
                <w:rFonts w:hint="default" w:ascii="Times New Roman" w:hAnsi="Times New Roman" w:eastAsia="宋体" w:cs="Times New Roman"/>
                <w:color w:val="auto"/>
                <w:sz w:val="24"/>
                <w:highlight w:val="none"/>
                <w:lang w:val="en-US" w:eastAsia="zh-CN"/>
              </w:rPr>
              <w:t>E107°00'05.1215"</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N40°20'32.5209"</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西邻贺兰路，东临巴音路，南邻利民路，北侧为多力葵花研发基地，邻迎宾路。</w:t>
            </w:r>
            <w:r>
              <w:rPr>
                <w:rFonts w:hint="default" w:ascii="Times New Roman" w:hAnsi="Times New Roman" w:eastAsia="宋体" w:cs="Times New Roman"/>
                <w:color w:val="auto"/>
                <w:sz w:val="24"/>
                <w:szCs w:val="24"/>
                <w:highlight w:val="none"/>
              </w:rPr>
              <w:t>项目地理位置图</w:t>
            </w:r>
            <w:r>
              <w:rPr>
                <w:rFonts w:hint="default" w:ascii="Times New Roman" w:hAnsi="Times New Roman" w:eastAsia="宋体" w:cs="Times New Roman"/>
                <w:color w:val="auto"/>
                <w:sz w:val="24"/>
                <w:szCs w:val="24"/>
                <w:highlight w:val="none"/>
                <w:lang w:val="en-US" w:eastAsia="zh-CN"/>
              </w:rPr>
              <w:t>及四邻关系图</w:t>
            </w:r>
            <w:r>
              <w:rPr>
                <w:rFonts w:hint="default" w:ascii="Times New Roman" w:hAnsi="Times New Roman" w:eastAsia="宋体" w:cs="Times New Roman"/>
                <w:color w:val="auto"/>
                <w:sz w:val="24"/>
                <w:szCs w:val="24"/>
                <w:highlight w:val="none"/>
              </w:rPr>
              <w:t>见附图1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p>
          <w:p w14:paraId="3727C820">
            <w:pPr>
              <w:pStyle w:val="5"/>
              <w:keepNext w:val="0"/>
              <w:keepLines w:val="0"/>
              <w:pageBreakBefore w:val="0"/>
              <w:kinsoku/>
              <w:wordWrap/>
              <w:overflowPunct/>
              <w:topLinePunct w:val="0"/>
              <w:autoSpaceDE/>
              <w:autoSpaceDN/>
              <w:bidi w:val="0"/>
              <w:adjustRightInd/>
              <w:snapToGrid/>
              <w:spacing w:after="0" w:line="400" w:lineRule="exact"/>
              <w:ind w:firstLine="482"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rPr>
              <w:t>、投资规模：</w:t>
            </w:r>
            <w:r>
              <w:rPr>
                <w:rFonts w:hint="default" w:ascii="Times New Roman" w:hAnsi="Times New Roman" w:eastAsia="宋体" w:cs="Times New Roman"/>
                <w:color w:val="auto"/>
                <w:sz w:val="24"/>
                <w:szCs w:val="24"/>
                <w:highlight w:val="none"/>
              </w:rPr>
              <w:t>项目总投资</w:t>
            </w:r>
            <w:r>
              <w:rPr>
                <w:rFonts w:hint="eastAsia" w:cs="Times New Roman"/>
                <w:color w:val="auto"/>
                <w:sz w:val="24"/>
                <w:szCs w:val="24"/>
                <w:highlight w:val="none"/>
                <w:lang w:val="en-US" w:eastAsia="zh-CN"/>
              </w:rPr>
              <w:t>400</w:t>
            </w:r>
            <w:r>
              <w:rPr>
                <w:rFonts w:hint="default" w:ascii="Times New Roman" w:hAnsi="Times New Roman" w:eastAsia="宋体" w:cs="Times New Roman"/>
                <w:color w:val="auto"/>
                <w:sz w:val="24"/>
                <w:szCs w:val="24"/>
                <w:highlight w:val="none"/>
              </w:rPr>
              <w:t>万元，环保投资</w:t>
            </w:r>
            <w:r>
              <w:rPr>
                <w:rFonts w:hint="eastAsia" w:cs="Times New Roman"/>
                <w:color w:val="auto"/>
                <w:sz w:val="24"/>
                <w:szCs w:val="24"/>
                <w:highlight w:val="none"/>
                <w:lang w:val="en-US" w:eastAsia="zh-CN"/>
              </w:rPr>
              <w:t>34</w:t>
            </w:r>
            <w:r>
              <w:rPr>
                <w:rFonts w:hint="default" w:ascii="Times New Roman" w:hAnsi="Times New Roman" w:eastAsia="宋体" w:cs="Times New Roman"/>
                <w:color w:val="auto"/>
                <w:sz w:val="24"/>
                <w:szCs w:val="24"/>
                <w:highlight w:val="none"/>
              </w:rPr>
              <w:t>万元，占总投资比例</w:t>
            </w:r>
            <w:r>
              <w:rPr>
                <w:rFonts w:hint="eastAsia" w:cs="Times New Roman"/>
                <w:color w:val="auto"/>
                <w:sz w:val="24"/>
                <w:szCs w:val="24"/>
                <w:highlight w:val="none"/>
                <w:lang w:val="en-US" w:eastAsia="zh-CN"/>
              </w:rPr>
              <w:t>8.5</w:t>
            </w:r>
            <w:r>
              <w:rPr>
                <w:rFonts w:hint="default" w:ascii="Times New Roman" w:hAnsi="Times New Roman" w:eastAsia="宋体" w:cs="Times New Roman"/>
                <w:color w:val="auto"/>
                <w:sz w:val="24"/>
                <w:szCs w:val="24"/>
                <w:highlight w:val="none"/>
              </w:rPr>
              <w:t>%。</w:t>
            </w:r>
          </w:p>
          <w:p w14:paraId="304C47AA">
            <w:pPr>
              <w:pStyle w:val="5"/>
              <w:keepNext w:val="0"/>
              <w:keepLines w:val="0"/>
              <w:pageBreakBefore w:val="0"/>
              <w:kinsoku/>
              <w:wordWrap/>
              <w:overflowPunct/>
              <w:topLinePunct w:val="0"/>
              <w:autoSpaceDE/>
              <w:autoSpaceDN/>
              <w:bidi w:val="0"/>
              <w:adjustRightInd/>
              <w:snapToGrid/>
              <w:spacing w:after="0" w:line="400" w:lineRule="exact"/>
              <w:ind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、劳动定员：</w:t>
            </w:r>
          </w:p>
          <w:p w14:paraId="73DFB734">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企业通过精益管理计划，从现有生产线抽调员工负责本项目生产。因此项目不新增劳动定员，浓香油生产线线工作人员均依托现有。浓香生产线为三班倒连续运行，每班8小时，年工作300天，年工作7200小时。</w:t>
            </w:r>
          </w:p>
          <w:p w14:paraId="1828FFC7">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rPr>
              <w:t>、建设规模及内容：</w:t>
            </w:r>
          </w:p>
          <w:p w14:paraId="3BC504E4">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default" w:ascii="Times New Roman" w:hAnsi="Times New Roman" w:eastAsia="宋体" w:cs="Times New Roman"/>
                <w:color w:val="auto"/>
                <w:sz w:val="24"/>
                <w:szCs w:val="21"/>
                <w:highlight w:val="none"/>
              </w:rPr>
            </w:pPr>
            <w:r>
              <w:rPr>
                <w:rFonts w:hint="default" w:ascii="Times New Roman" w:hAnsi="Times New Roman" w:eastAsia="宋体" w:cs="Times New Roman"/>
                <w:color w:val="auto"/>
                <w:kern w:val="0"/>
                <w:sz w:val="24"/>
                <w:szCs w:val="24"/>
                <w:highlight w:val="none"/>
                <w:lang w:val="en-US" w:eastAsia="zh-CN" w:bidi="ar"/>
              </w:rPr>
              <w:t>本项目拟</w:t>
            </w:r>
            <w:r>
              <w:rPr>
                <w:rFonts w:hint="eastAsia" w:cs="Times New Roman"/>
                <w:color w:val="auto"/>
                <w:kern w:val="0"/>
                <w:sz w:val="24"/>
                <w:szCs w:val="24"/>
                <w:highlight w:val="none"/>
                <w:lang w:val="en-US" w:eastAsia="zh-CN" w:bidi="ar"/>
              </w:rPr>
              <w:t>生产浓香油10吨/天（</w:t>
            </w:r>
            <w:r>
              <w:rPr>
                <w:rFonts w:hint="eastAsia" w:cs="Times New Roman"/>
                <w:b w:val="0"/>
                <w:bCs w:val="0"/>
                <w:color w:val="auto"/>
                <w:kern w:val="0"/>
                <w:sz w:val="24"/>
                <w:szCs w:val="24"/>
                <w:highlight w:val="none"/>
                <w:lang w:val="en-US" w:eastAsia="zh-CN" w:bidi="ar"/>
              </w:rPr>
              <w:t>3000</w:t>
            </w:r>
            <w:r>
              <w:rPr>
                <w:rFonts w:hint="eastAsia" w:cs="Times New Roman"/>
                <w:color w:val="auto"/>
                <w:kern w:val="0"/>
                <w:sz w:val="24"/>
                <w:szCs w:val="24"/>
                <w:highlight w:val="none"/>
                <w:lang w:val="en-US" w:eastAsia="zh-CN" w:bidi="ar"/>
              </w:rPr>
              <w:t>吨/年），生产车间为厂区原有农业部库房改造车间，</w:t>
            </w:r>
            <w:r>
              <w:rPr>
                <w:rFonts w:hint="default" w:ascii="Times New Roman" w:hAnsi="Times New Roman" w:eastAsia="宋体" w:cs="Times New Roman"/>
                <w:color w:val="auto"/>
                <w:kern w:val="0"/>
                <w:sz w:val="24"/>
                <w:szCs w:val="24"/>
                <w:highlight w:val="none"/>
                <w:lang w:val="en-US" w:eastAsia="zh-CN" w:bidi="ar"/>
              </w:rPr>
              <w:t>对应配备各类自动化生产设备、</w:t>
            </w:r>
            <w:r>
              <w:rPr>
                <w:rFonts w:hint="eastAsia" w:cs="Times New Roman"/>
                <w:color w:val="auto"/>
                <w:kern w:val="0"/>
                <w:sz w:val="24"/>
                <w:szCs w:val="24"/>
                <w:highlight w:val="none"/>
                <w:lang w:val="en-US" w:eastAsia="zh-CN" w:bidi="ar"/>
              </w:rPr>
              <w:t>电</w:t>
            </w:r>
            <w:r>
              <w:rPr>
                <w:rFonts w:hint="default" w:ascii="Times New Roman" w:hAnsi="Times New Roman" w:eastAsia="宋体" w:cs="Times New Roman"/>
                <w:color w:val="auto"/>
                <w:kern w:val="0"/>
                <w:sz w:val="24"/>
                <w:szCs w:val="24"/>
                <w:highlight w:val="none"/>
                <w:lang w:val="en-US" w:eastAsia="zh-CN" w:bidi="ar"/>
              </w:rPr>
              <w:t>导热油炉、运输工具等。本项目</w:t>
            </w:r>
            <w:r>
              <w:rPr>
                <w:rFonts w:hint="default" w:ascii="Times New Roman" w:hAnsi="Times New Roman" w:eastAsia="宋体" w:cs="Times New Roman"/>
                <w:color w:val="auto"/>
                <w:sz w:val="24"/>
                <w:szCs w:val="21"/>
                <w:highlight w:val="none"/>
                <w:lang w:val="en-US" w:eastAsia="zh-CN"/>
              </w:rPr>
              <w:t>基本组成内容</w:t>
            </w:r>
            <w:r>
              <w:rPr>
                <w:rFonts w:hint="default" w:ascii="Times New Roman" w:hAnsi="Times New Roman" w:eastAsia="宋体" w:cs="Times New Roman"/>
                <w:color w:val="auto"/>
                <w:sz w:val="24"/>
                <w:szCs w:val="21"/>
                <w:highlight w:val="none"/>
              </w:rPr>
              <w:t>见</w:t>
            </w:r>
            <w:r>
              <w:rPr>
                <w:rFonts w:hint="default" w:ascii="Times New Roman" w:hAnsi="Times New Roman" w:eastAsia="宋体" w:cs="Times New Roman"/>
                <w:color w:val="auto"/>
                <w:sz w:val="24"/>
                <w:szCs w:val="21"/>
                <w:highlight w:val="none"/>
                <w:lang w:val="en-US" w:eastAsia="zh-CN"/>
              </w:rPr>
              <w:t>下</w:t>
            </w:r>
            <w:r>
              <w:rPr>
                <w:rFonts w:hint="default" w:ascii="Times New Roman" w:hAnsi="Times New Roman" w:eastAsia="宋体" w:cs="Times New Roman"/>
                <w:color w:val="auto"/>
                <w:sz w:val="24"/>
                <w:szCs w:val="21"/>
                <w:highlight w:val="none"/>
              </w:rPr>
              <w:t>表2-</w:t>
            </w:r>
            <w:r>
              <w:rPr>
                <w:rFonts w:hint="eastAsia" w:cs="Times New Roman"/>
                <w:color w:val="auto"/>
                <w:sz w:val="24"/>
                <w:szCs w:val="21"/>
                <w:highlight w:val="none"/>
                <w:lang w:val="en-US" w:eastAsia="zh-CN"/>
              </w:rPr>
              <w:t>2</w:t>
            </w:r>
            <w:r>
              <w:rPr>
                <w:rFonts w:hint="default" w:ascii="Times New Roman" w:hAnsi="Times New Roman" w:eastAsia="宋体" w:cs="Times New Roman"/>
                <w:color w:val="auto"/>
                <w:sz w:val="24"/>
                <w:szCs w:val="21"/>
                <w:highlight w:val="none"/>
              </w:rPr>
              <w:t>。</w:t>
            </w:r>
          </w:p>
          <w:p w14:paraId="418A0C6F">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w:t>
            </w:r>
            <w:r>
              <w:rPr>
                <w:rFonts w:hint="eastAsia" w:cs="Times New Roman"/>
                <w:b/>
                <w:color w:val="auto"/>
                <w:sz w:val="24"/>
                <w:highlight w:val="none"/>
                <w:lang w:val="en-US" w:eastAsia="zh-CN"/>
              </w:rPr>
              <w:t>2</w:t>
            </w:r>
            <w:r>
              <w:rPr>
                <w:rFonts w:hint="default" w:ascii="Times New Roman" w:hAnsi="Times New Roman" w:eastAsia="宋体" w:cs="Times New Roman"/>
                <w:b/>
                <w:color w:val="auto"/>
                <w:sz w:val="24"/>
                <w:highlight w:val="none"/>
              </w:rPr>
              <w:t xml:space="preserve">   </w:t>
            </w:r>
            <w:r>
              <w:rPr>
                <w:rFonts w:hint="eastAsia" w:cs="Times New Roman"/>
                <w:b/>
                <w:color w:val="auto"/>
                <w:sz w:val="24"/>
                <w:highlight w:val="none"/>
                <w:lang w:val="en-US" w:eastAsia="zh-CN"/>
              </w:rPr>
              <w:t>项目组成</w:t>
            </w:r>
            <w:r>
              <w:rPr>
                <w:rFonts w:hint="default" w:ascii="Times New Roman" w:hAnsi="Times New Roman" w:eastAsia="宋体" w:cs="Times New Roman"/>
                <w:b/>
                <w:color w:val="auto"/>
                <w:sz w:val="24"/>
                <w:highlight w:val="none"/>
              </w:rPr>
              <w:t>一览表</w:t>
            </w:r>
          </w:p>
          <w:tbl>
            <w:tblPr>
              <w:tblStyle w:val="21"/>
              <w:tblW w:w="505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732"/>
              <w:gridCol w:w="739"/>
              <w:gridCol w:w="740"/>
              <w:gridCol w:w="5015"/>
              <w:gridCol w:w="710"/>
            </w:tblGrid>
            <w:tr w14:paraId="1B49A3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1" w:hRule="atLeast"/>
                <w:jc w:val="center"/>
              </w:trPr>
              <w:tc>
                <w:tcPr>
                  <w:tcW w:w="461" w:type="pct"/>
                  <w:tcMar>
                    <w:top w:w="0" w:type="dxa"/>
                    <w:left w:w="108" w:type="dxa"/>
                    <w:bottom w:w="0" w:type="dxa"/>
                    <w:right w:w="108" w:type="dxa"/>
                  </w:tcMar>
                  <w:vAlign w:val="center"/>
                </w:tcPr>
                <w:p w14:paraId="2B28612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工程分类</w:t>
                  </w:r>
                </w:p>
              </w:tc>
              <w:tc>
                <w:tcPr>
                  <w:tcW w:w="931" w:type="pct"/>
                  <w:gridSpan w:val="2"/>
                  <w:tcMar>
                    <w:top w:w="0" w:type="dxa"/>
                    <w:left w:w="108" w:type="dxa"/>
                    <w:bottom w:w="0" w:type="dxa"/>
                    <w:right w:w="108" w:type="dxa"/>
                  </w:tcMar>
                  <w:vAlign w:val="center"/>
                </w:tcPr>
                <w:p w14:paraId="4723911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项目名称</w:t>
                  </w:r>
                </w:p>
              </w:tc>
              <w:tc>
                <w:tcPr>
                  <w:tcW w:w="3159" w:type="pct"/>
                  <w:tcMar>
                    <w:top w:w="0" w:type="dxa"/>
                    <w:left w:w="108" w:type="dxa"/>
                    <w:bottom w:w="0" w:type="dxa"/>
                    <w:right w:w="108" w:type="dxa"/>
                  </w:tcMar>
                  <w:vAlign w:val="center"/>
                </w:tcPr>
                <w:p w14:paraId="3A83337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本项目建设情况</w:t>
                  </w:r>
                </w:p>
              </w:tc>
              <w:tc>
                <w:tcPr>
                  <w:tcW w:w="447" w:type="pct"/>
                  <w:tcMar>
                    <w:top w:w="0" w:type="dxa"/>
                    <w:left w:w="108" w:type="dxa"/>
                    <w:bottom w:w="0" w:type="dxa"/>
                    <w:right w:w="108" w:type="dxa"/>
                  </w:tcMar>
                  <w:vAlign w:val="center"/>
                </w:tcPr>
                <w:p w14:paraId="0AFFC92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val="en-US" w:eastAsia="zh-CN"/>
                    </w:rPr>
                    <w:t>备注</w:t>
                  </w:r>
                </w:p>
              </w:tc>
            </w:tr>
            <w:tr w14:paraId="08F48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22" w:hRule="atLeast"/>
                <w:jc w:val="center"/>
              </w:trPr>
              <w:tc>
                <w:tcPr>
                  <w:tcW w:w="461" w:type="pct"/>
                  <w:vMerge w:val="restart"/>
                  <w:tcMar>
                    <w:top w:w="0" w:type="dxa"/>
                    <w:left w:w="108" w:type="dxa"/>
                    <w:bottom w:w="0" w:type="dxa"/>
                    <w:right w:w="108" w:type="dxa"/>
                  </w:tcMar>
                  <w:vAlign w:val="center"/>
                </w:tcPr>
                <w:p w14:paraId="7099EB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主体工程</w:t>
                  </w:r>
                </w:p>
              </w:tc>
              <w:tc>
                <w:tcPr>
                  <w:tcW w:w="931" w:type="pct"/>
                  <w:gridSpan w:val="2"/>
                  <w:vMerge w:val="restart"/>
                  <w:tcMar>
                    <w:top w:w="0" w:type="dxa"/>
                    <w:left w:w="108" w:type="dxa"/>
                    <w:bottom w:w="0" w:type="dxa"/>
                    <w:right w:w="108" w:type="dxa"/>
                  </w:tcMar>
                  <w:vAlign w:val="center"/>
                </w:tcPr>
                <w:p w14:paraId="300550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生产车间</w:t>
                  </w:r>
                </w:p>
              </w:tc>
              <w:tc>
                <w:tcPr>
                  <w:tcW w:w="3159" w:type="pct"/>
                  <w:shd w:val="clear" w:color="auto" w:fill="auto"/>
                  <w:tcMar>
                    <w:top w:w="0" w:type="dxa"/>
                    <w:left w:w="108" w:type="dxa"/>
                    <w:bottom w:w="0" w:type="dxa"/>
                    <w:right w:w="108" w:type="dxa"/>
                  </w:tcMar>
                  <w:vAlign w:val="center"/>
                </w:tcPr>
                <w:p w14:paraId="17D5C1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占地面积720m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，钢结构，部分二层</w:t>
                  </w:r>
                </w:p>
              </w:tc>
              <w:tc>
                <w:tcPr>
                  <w:tcW w:w="447" w:type="pct"/>
                  <w:vMerge w:val="restart"/>
                  <w:shd w:val="clear" w:color="auto" w:fill="auto"/>
                  <w:tcMar>
                    <w:top w:w="0" w:type="dxa"/>
                    <w:left w:w="108" w:type="dxa"/>
                    <w:bottom w:w="0" w:type="dxa"/>
                    <w:right w:w="108" w:type="dxa"/>
                  </w:tcMar>
                  <w:vAlign w:val="center"/>
                </w:tcPr>
                <w:p w14:paraId="15BA21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利旧</w:t>
                  </w:r>
                </w:p>
              </w:tc>
            </w:tr>
            <w:tr w14:paraId="593BD3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132" w:hRule="atLeast"/>
                <w:jc w:val="center"/>
              </w:trPr>
              <w:tc>
                <w:tcPr>
                  <w:tcW w:w="461" w:type="pct"/>
                  <w:vMerge w:val="continue"/>
                  <w:tcMar>
                    <w:top w:w="0" w:type="dxa"/>
                    <w:left w:w="108" w:type="dxa"/>
                    <w:bottom w:w="0" w:type="dxa"/>
                    <w:right w:w="108" w:type="dxa"/>
                  </w:tcMar>
                  <w:vAlign w:val="center"/>
                </w:tcPr>
                <w:p w14:paraId="1EA7D4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highlight w:val="none"/>
                      <w:lang w:val="en-US" w:eastAsia="zh-CN"/>
                    </w:rPr>
                  </w:pPr>
                </w:p>
              </w:tc>
              <w:tc>
                <w:tcPr>
                  <w:tcW w:w="931" w:type="pct"/>
                  <w:gridSpan w:val="2"/>
                  <w:vMerge w:val="continue"/>
                  <w:tcMar>
                    <w:top w:w="0" w:type="dxa"/>
                    <w:left w:w="108" w:type="dxa"/>
                    <w:bottom w:w="0" w:type="dxa"/>
                    <w:right w:w="108" w:type="dxa"/>
                  </w:tcMar>
                  <w:vAlign w:val="center"/>
                </w:tcPr>
                <w:p w14:paraId="21EDB0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highlight w:val="none"/>
                      <w:lang w:val="en-US" w:eastAsia="zh-CN"/>
                    </w:rPr>
                  </w:pPr>
                </w:p>
              </w:tc>
              <w:tc>
                <w:tcPr>
                  <w:tcW w:w="3159" w:type="pct"/>
                  <w:shd w:val="clear" w:color="auto" w:fill="auto"/>
                  <w:tcMar>
                    <w:top w:w="0" w:type="dxa"/>
                    <w:left w:w="108" w:type="dxa"/>
                    <w:bottom w:w="0" w:type="dxa"/>
                    <w:right w:w="108" w:type="dxa"/>
                  </w:tcMar>
                  <w:vAlign w:val="center"/>
                </w:tcPr>
                <w:p w14:paraId="1139BCCA">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电导热油炉布设于生产车间内北侧靠门位置，其东南方向即为升温釜，便于加热</w:t>
                  </w:r>
                </w:p>
              </w:tc>
              <w:tc>
                <w:tcPr>
                  <w:tcW w:w="447" w:type="pct"/>
                  <w:vMerge w:val="continue"/>
                  <w:shd w:val="clear" w:color="auto" w:fill="auto"/>
                  <w:tcMar>
                    <w:top w:w="0" w:type="dxa"/>
                    <w:left w:w="108" w:type="dxa"/>
                    <w:bottom w:w="0" w:type="dxa"/>
                    <w:right w:w="108" w:type="dxa"/>
                  </w:tcMar>
                  <w:vAlign w:val="center"/>
                </w:tcPr>
                <w:p w14:paraId="0982C4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p>
              </w:tc>
            </w:tr>
            <w:tr w14:paraId="18B69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132" w:hRule="atLeast"/>
                <w:jc w:val="center"/>
              </w:trPr>
              <w:tc>
                <w:tcPr>
                  <w:tcW w:w="461" w:type="pct"/>
                  <w:vMerge w:val="continue"/>
                  <w:tcMar>
                    <w:top w:w="0" w:type="dxa"/>
                    <w:left w:w="108" w:type="dxa"/>
                    <w:bottom w:w="0" w:type="dxa"/>
                    <w:right w:w="108" w:type="dxa"/>
                  </w:tcMar>
                  <w:vAlign w:val="center"/>
                </w:tcPr>
                <w:p w14:paraId="20232E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highlight w:val="none"/>
                      <w:lang w:val="en-US" w:eastAsia="zh-CN"/>
                    </w:rPr>
                  </w:pPr>
                </w:p>
              </w:tc>
              <w:tc>
                <w:tcPr>
                  <w:tcW w:w="931" w:type="pct"/>
                  <w:gridSpan w:val="2"/>
                  <w:vMerge w:val="continue"/>
                  <w:tcMar>
                    <w:top w:w="0" w:type="dxa"/>
                    <w:left w:w="108" w:type="dxa"/>
                    <w:bottom w:w="0" w:type="dxa"/>
                    <w:right w:w="108" w:type="dxa"/>
                  </w:tcMar>
                  <w:vAlign w:val="center"/>
                </w:tcPr>
                <w:p w14:paraId="24BBCD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highlight w:val="none"/>
                      <w:lang w:val="en-US" w:eastAsia="zh-CN"/>
                    </w:rPr>
                  </w:pPr>
                </w:p>
              </w:tc>
              <w:tc>
                <w:tcPr>
                  <w:tcW w:w="3159" w:type="pct"/>
                  <w:shd w:val="clear" w:color="auto" w:fill="auto"/>
                  <w:tcMar>
                    <w:top w:w="0" w:type="dxa"/>
                    <w:left w:w="108" w:type="dxa"/>
                    <w:bottom w:w="0" w:type="dxa"/>
                    <w:right w:w="108" w:type="dxa"/>
                  </w:tcMar>
                  <w:vAlign w:val="center"/>
                </w:tcPr>
                <w:p w14:paraId="4EE05BDC">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一级油储存罐布设于生产车间外围西边，用于原料油的储存（储油罐为封闭设置，入油出油均利用油泵通过管道输送）</w:t>
                  </w:r>
                </w:p>
              </w:tc>
              <w:tc>
                <w:tcPr>
                  <w:tcW w:w="447" w:type="pct"/>
                  <w:vMerge w:val="continue"/>
                  <w:shd w:val="clear" w:color="auto" w:fill="auto"/>
                  <w:tcMar>
                    <w:top w:w="0" w:type="dxa"/>
                    <w:left w:w="108" w:type="dxa"/>
                    <w:bottom w:w="0" w:type="dxa"/>
                    <w:right w:w="108" w:type="dxa"/>
                  </w:tcMar>
                  <w:vAlign w:val="center"/>
                </w:tcPr>
                <w:p w14:paraId="52C4B1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p>
              </w:tc>
            </w:tr>
            <w:tr w14:paraId="1BC80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192" w:hRule="atLeast"/>
                <w:jc w:val="center"/>
              </w:trPr>
              <w:tc>
                <w:tcPr>
                  <w:tcW w:w="461" w:type="pct"/>
                  <w:vMerge w:val="continue"/>
                  <w:tcMar>
                    <w:top w:w="0" w:type="dxa"/>
                    <w:left w:w="108" w:type="dxa"/>
                    <w:bottom w:w="0" w:type="dxa"/>
                    <w:right w:w="108" w:type="dxa"/>
                  </w:tcMar>
                  <w:vAlign w:val="center"/>
                </w:tcPr>
                <w:p w14:paraId="6509D7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highlight w:val="none"/>
                      <w:lang w:val="en-US" w:eastAsia="zh-CN"/>
                    </w:rPr>
                  </w:pPr>
                </w:p>
              </w:tc>
              <w:tc>
                <w:tcPr>
                  <w:tcW w:w="931" w:type="pct"/>
                  <w:gridSpan w:val="2"/>
                  <w:vMerge w:val="continue"/>
                  <w:tcMar>
                    <w:top w:w="0" w:type="dxa"/>
                    <w:left w:w="108" w:type="dxa"/>
                    <w:bottom w:w="0" w:type="dxa"/>
                    <w:right w:w="108" w:type="dxa"/>
                  </w:tcMar>
                  <w:vAlign w:val="center"/>
                </w:tcPr>
                <w:p w14:paraId="601A6E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highlight w:val="none"/>
                      <w:lang w:val="en-US" w:eastAsia="zh-CN"/>
                    </w:rPr>
                  </w:pPr>
                </w:p>
              </w:tc>
              <w:tc>
                <w:tcPr>
                  <w:tcW w:w="3159" w:type="pct"/>
                  <w:shd w:val="clear" w:color="auto" w:fill="auto"/>
                  <w:tcMar>
                    <w:top w:w="0" w:type="dxa"/>
                    <w:left w:w="108" w:type="dxa"/>
                    <w:bottom w:w="0" w:type="dxa"/>
                    <w:right w:w="108" w:type="dxa"/>
                  </w:tcMar>
                  <w:vAlign w:val="center"/>
                </w:tcPr>
                <w:p w14:paraId="249D7125">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浓香油罐布设于生产车间内西南角、压滤机西侧，用于储存浓香油产品，（储油罐为封闭设置，入油出油均利用油泵通过管道输送）</w:t>
                  </w:r>
                </w:p>
              </w:tc>
              <w:tc>
                <w:tcPr>
                  <w:tcW w:w="447" w:type="pct"/>
                  <w:vMerge w:val="continue"/>
                  <w:shd w:val="clear" w:color="auto" w:fill="auto"/>
                  <w:tcMar>
                    <w:top w:w="0" w:type="dxa"/>
                    <w:left w:w="108" w:type="dxa"/>
                    <w:bottom w:w="0" w:type="dxa"/>
                    <w:right w:w="108" w:type="dxa"/>
                  </w:tcMar>
                  <w:vAlign w:val="center"/>
                </w:tcPr>
                <w:p w14:paraId="615629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p>
              </w:tc>
            </w:tr>
            <w:tr w14:paraId="2C3BD8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11" w:hRule="atLeast"/>
                <w:jc w:val="center"/>
              </w:trPr>
              <w:tc>
                <w:tcPr>
                  <w:tcW w:w="461" w:type="pct"/>
                  <w:vMerge w:val="restart"/>
                  <w:tcMar>
                    <w:top w:w="0" w:type="dxa"/>
                    <w:left w:w="108" w:type="dxa"/>
                    <w:bottom w:w="0" w:type="dxa"/>
                    <w:right w:w="108" w:type="dxa"/>
                  </w:tcMar>
                  <w:vAlign w:val="center"/>
                </w:tcPr>
                <w:p w14:paraId="436A5D8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bCs/>
                      <w:color w:val="auto"/>
                      <w:szCs w:val="21"/>
                      <w:highlight w:val="none"/>
                      <w:lang w:val="en-US" w:eastAsia="zh-CN"/>
                    </w:rPr>
                  </w:pPr>
                  <w:r>
                    <w:rPr>
                      <w:rFonts w:hint="eastAsia" w:cs="Times New Roman"/>
                      <w:b/>
                      <w:bCs/>
                      <w:color w:val="auto"/>
                      <w:szCs w:val="21"/>
                      <w:highlight w:val="none"/>
                      <w:lang w:val="en-US" w:eastAsia="zh-CN"/>
                    </w:rPr>
                    <w:t>辅助工程</w:t>
                  </w:r>
                </w:p>
              </w:tc>
              <w:tc>
                <w:tcPr>
                  <w:tcW w:w="931" w:type="pct"/>
                  <w:gridSpan w:val="2"/>
                  <w:tcMar>
                    <w:top w:w="0" w:type="dxa"/>
                    <w:left w:w="108" w:type="dxa"/>
                    <w:bottom w:w="0" w:type="dxa"/>
                    <w:right w:w="108" w:type="dxa"/>
                  </w:tcMar>
                  <w:vAlign w:val="center"/>
                </w:tcPr>
                <w:p w14:paraId="3992BB4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机修车间</w:t>
                  </w:r>
                </w:p>
              </w:tc>
              <w:tc>
                <w:tcPr>
                  <w:tcW w:w="3159" w:type="pct"/>
                  <w:tcMar>
                    <w:top w:w="0" w:type="dxa"/>
                    <w:left w:w="108" w:type="dxa"/>
                    <w:bottom w:w="0" w:type="dxa"/>
                    <w:right w:w="108" w:type="dxa"/>
                  </w:tcMar>
                  <w:vAlign w:val="center"/>
                </w:tcPr>
                <w:p w14:paraId="2A1C9D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占地面积200m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，钢结构，一层</w:t>
                  </w:r>
                </w:p>
              </w:tc>
              <w:tc>
                <w:tcPr>
                  <w:tcW w:w="447" w:type="pct"/>
                  <w:vMerge w:val="restart"/>
                  <w:tcMar>
                    <w:top w:w="0" w:type="dxa"/>
                    <w:left w:w="108" w:type="dxa"/>
                    <w:bottom w:w="0" w:type="dxa"/>
                    <w:right w:w="108" w:type="dxa"/>
                  </w:tcMar>
                  <w:vAlign w:val="center"/>
                </w:tcPr>
                <w:p w14:paraId="6A2649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依托现有</w:t>
                  </w:r>
                </w:p>
              </w:tc>
            </w:tr>
            <w:tr w14:paraId="7E8D00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176" w:hRule="atLeast"/>
                <w:jc w:val="center"/>
              </w:trPr>
              <w:tc>
                <w:tcPr>
                  <w:tcW w:w="461" w:type="pct"/>
                  <w:vMerge w:val="continue"/>
                  <w:tcMar>
                    <w:top w:w="0" w:type="dxa"/>
                    <w:left w:w="108" w:type="dxa"/>
                    <w:bottom w:w="0" w:type="dxa"/>
                    <w:right w:w="108" w:type="dxa"/>
                  </w:tcMar>
                  <w:vAlign w:val="center"/>
                </w:tcPr>
                <w:p w14:paraId="42A39BE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bCs/>
                      <w:color w:val="auto"/>
                      <w:szCs w:val="21"/>
                      <w:highlight w:val="none"/>
                      <w:lang w:val="en-US" w:eastAsia="zh-CN"/>
                    </w:rPr>
                  </w:pPr>
                </w:p>
              </w:tc>
              <w:tc>
                <w:tcPr>
                  <w:tcW w:w="931" w:type="pct"/>
                  <w:gridSpan w:val="2"/>
                  <w:tcMar>
                    <w:top w:w="0" w:type="dxa"/>
                    <w:left w:w="108" w:type="dxa"/>
                    <w:bottom w:w="0" w:type="dxa"/>
                    <w:right w:w="108" w:type="dxa"/>
                  </w:tcMar>
                  <w:vAlign w:val="center"/>
                </w:tcPr>
                <w:p w14:paraId="30D000C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原辅料暂存库</w:t>
                  </w:r>
                </w:p>
              </w:tc>
              <w:tc>
                <w:tcPr>
                  <w:tcW w:w="3159" w:type="pct"/>
                  <w:tcMar>
                    <w:top w:w="0" w:type="dxa"/>
                    <w:left w:w="108" w:type="dxa"/>
                    <w:bottom w:w="0" w:type="dxa"/>
                    <w:right w:w="108" w:type="dxa"/>
                  </w:tcMar>
                  <w:vAlign w:val="center"/>
                </w:tcPr>
                <w:p w14:paraId="051832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占地面积200m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，钢结构，一层，为本项目专用库房</w:t>
                  </w:r>
                  <w:r>
                    <w:rPr>
                      <w:rFonts w:hint="eastAsia"/>
                      <w:color w:val="auto"/>
                      <w:highlight w:val="none"/>
                      <w:lang w:eastAsia="zh-CN"/>
                    </w:rPr>
                    <w:t>（</w:t>
                  </w:r>
                  <w:r>
                    <w:rPr>
                      <w:rFonts w:hint="eastAsia"/>
                      <w:color w:val="auto"/>
                      <w:highlight w:val="none"/>
                      <w:lang w:val="en-US" w:eastAsia="zh-CN"/>
                    </w:rPr>
                    <w:t>主要储存少量葵花籽、玉米胚芽，原料即用即买不在厂内大量存放，原料硅藻土、饼粉，桶装CK-202</w:t>
                  </w:r>
                  <w:r>
                    <w:rPr>
                      <w:rFonts w:hint="eastAsia"/>
                      <w:color w:val="auto"/>
                      <w:highlight w:val="none"/>
                      <w:lang w:eastAsia="zh-CN"/>
                    </w:rPr>
                    <w:t>）</w:t>
                  </w:r>
                </w:p>
              </w:tc>
              <w:tc>
                <w:tcPr>
                  <w:tcW w:w="447" w:type="pct"/>
                  <w:vMerge w:val="continue"/>
                  <w:tcMar>
                    <w:top w:w="0" w:type="dxa"/>
                    <w:left w:w="108" w:type="dxa"/>
                    <w:bottom w:w="0" w:type="dxa"/>
                    <w:right w:w="108" w:type="dxa"/>
                  </w:tcMar>
                  <w:vAlign w:val="center"/>
                </w:tcPr>
                <w:p w14:paraId="0A16CA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bidi="ar"/>
                    </w:rPr>
                  </w:pPr>
                </w:p>
              </w:tc>
            </w:tr>
            <w:tr w14:paraId="02B7B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176" w:hRule="atLeast"/>
                <w:jc w:val="center"/>
              </w:trPr>
              <w:tc>
                <w:tcPr>
                  <w:tcW w:w="461" w:type="pct"/>
                  <w:vMerge w:val="continue"/>
                  <w:tcMar>
                    <w:top w:w="0" w:type="dxa"/>
                    <w:left w:w="108" w:type="dxa"/>
                    <w:bottom w:w="0" w:type="dxa"/>
                    <w:right w:w="108" w:type="dxa"/>
                  </w:tcMar>
                  <w:vAlign w:val="center"/>
                </w:tcPr>
                <w:p w14:paraId="6EF85A9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bCs/>
                      <w:color w:val="auto"/>
                      <w:szCs w:val="21"/>
                      <w:highlight w:val="none"/>
                      <w:lang w:val="en-US" w:eastAsia="zh-CN"/>
                    </w:rPr>
                  </w:pPr>
                </w:p>
              </w:tc>
              <w:tc>
                <w:tcPr>
                  <w:tcW w:w="931" w:type="pct"/>
                  <w:gridSpan w:val="2"/>
                  <w:tcMar>
                    <w:top w:w="0" w:type="dxa"/>
                    <w:left w:w="108" w:type="dxa"/>
                    <w:bottom w:w="0" w:type="dxa"/>
                    <w:right w:w="108" w:type="dxa"/>
                  </w:tcMar>
                  <w:vAlign w:val="center"/>
                </w:tcPr>
                <w:p w14:paraId="7E3187F1">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室外原料储存罐2台</w:t>
                  </w:r>
                </w:p>
              </w:tc>
              <w:tc>
                <w:tcPr>
                  <w:tcW w:w="3159" w:type="pct"/>
                  <w:tcMar>
                    <w:top w:w="0" w:type="dxa"/>
                    <w:left w:w="108" w:type="dxa"/>
                    <w:bottom w:w="0" w:type="dxa"/>
                    <w:right w:w="108" w:type="dxa"/>
                  </w:tcMar>
                  <w:vAlign w:val="center"/>
                </w:tcPr>
                <w:p w14:paraId="6A1AC815">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布设于生产车间外北侧，容积：70m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，碳钢镀锌材质，配备测温系统</w:t>
                  </w:r>
                </w:p>
              </w:tc>
              <w:tc>
                <w:tcPr>
                  <w:tcW w:w="447" w:type="pct"/>
                  <w:vMerge w:val="restart"/>
                  <w:tcMar>
                    <w:top w:w="0" w:type="dxa"/>
                    <w:left w:w="108" w:type="dxa"/>
                    <w:bottom w:w="0" w:type="dxa"/>
                    <w:right w:w="108" w:type="dxa"/>
                  </w:tcMar>
                  <w:vAlign w:val="center"/>
                </w:tcPr>
                <w:p w14:paraId="0A8CD2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新建</w:t>
                  </w:r>
                </w:p>
              </w:tc>
            </w:tr>
            <w:tr w14:paraId="58A3C3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176" w:hRule="atLeast"/>
                <w:jc w:val="center"/>
              </w:trPr>
              <w:tc>
                <w:tcPr>
                  <w:tcW w:w="461" w:type="pct"/>
                  <w:vMerge w:val="continue"/>
                  <w:tcMar>
                    <w:top w:w="0" w:type="dxa"/>
                    <w:left w:w="108" w:type="dxa"/>
                    <w:bottom w:w="0" w:type="dxa"/>
                    <w:right w:w="108" w:type="dxa"/>
                  </w:tcMar>
                  <w:vAlign w:val="center"/>
                </w:tcPr>
                <w:p w14:paraId="54B91BB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bCs/>
                      <w:color w:val="auto"/>
                      <w:szCs w:val="21"/>
                      <w:highlight w:val="none"/>
                      <w:lang w:val="en-US" w:eastAsia="zh-CN"/>
                    </w:rPr>
                  </w:pPr>
                </w:p>
              </w:tc>
              <w:tc>
                <w:tcPr>
                  <w:tcW w:w="931" w:type="pct"/>
                  <w:gridSpan w:val="2"/>
                  <w:tcMar>
                    <w:top w:w="0" w:type="dxa"/>
                    <w:left w:w="108" w:type="dxa"/>
                    <w:bottom w:w="0" w:type="dxa"/>
                    <w:right w:w="108" w:type="dxa"/>
                  </w:tcMar>
                  <w:vAlign w:val="center"/>
                </w:tcPr>
                <w:p w14:paraId="3D94ACC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i w:val="0"/>
                      <w:iCs w:val="0"/>
                      <w:color w:val="auto"/>
                      <w:kern w:val="0"/>
                      <w:sz w:val="21"/>
                      <w:szCs w:val="21"/>
                      <w:highlight w:val="none"/>
                      <w:u w:val="none"/>
                      <w:lang w:val="en-US" w:eastAsia="zh-CN" w:bidi="ar"/>
                    </w:rPr>
                  </w:pPr>
                  <w:r>
                    <w:rPr>
                      <w:rFonts w:hint="eastAsia" w:cs="Times New Roman"/>
                      <w:color w:val="auto"/>
                      <w:sz w:val="21"/>
                      <w:szCs w:val="21"/>
                      <w:highlight w:val="none"/>
                      <w:lang w:val="en-US" w:eastAsia="zh-CN"/>
                    </w:rPr>
                    <w:t>清洗液罐1台</w:t>
                  </w:r>
                </w:p>
              </w:tc>
              <w:tc>
                <w:tcPr>
                  <w:tcW w:w="3159" w:type="pct"/>
                  <w:tcMar>
                    <w:top w:w="0" w:type="dxa"/>
                    <w:left w:w="108" w:type="dxa"/>
                    <w:bottom w:w="0" w:type="dxa"/>
                    <w:right w:w="108" w:type="dxa"/>
                  </w:tcMar>
                  <w:vAlign w:val="center"/>
                </w:tcPr>
                <w:p w14:paraId="73AA55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位于生产车间内部恒温釜东侧，在生产线进行内部清洗时用于稀释</w:t>
                  </w:r>
                  <w:r>
                    <w:rPr>
                      <w:rFonts w:hint="eastAsia"/>
                      <w:b w:val="0"/>
                      <w:bCs w:val="0"/>
                      <w:color w:val="auto"/>
                      <w:kern w:val="0"/>
                      <w:sz w:val="21"/>
                      <w:szCs w:val="21"/>
                      <w:highlight w:val="none"/>
                      <w:vertAlign w:val="baseline"/>
                      <w:lang w:val="en-US" w:eastAsia="zh-CN" w:bidi="ar"/>
                    </w:rPr>
                    <w:t>CK-202清洗剂，浓香油生产过程中不使用</w:t>
                  </w:r>
                </w:p>
              </w:tc>
              <w:tc>
                <w:tcPr>
                  <w:tcW w:w="447" w:type="pct"/>
                  <w:vMerge w:val="continue"/>
                  <w:tcMar>
                    <w:top w:w="0" w:type="dxa"/>
                    <w:left w:w="108" w:type="dxa"/>
                    <w:bottom w:w="0" w:type="dxa"/>
                    <w:right w:w="108" w:type="dxa"/>
                  </w:tcMar>
                  <w:vAlign w:val="center"/>
                </w:tcPr>
                <w:p w14:paraId="732410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bidi="ar"/>
                    </w:rPr>
                  </w:pPr>
                </w:p>
              </w:tc>
            </w:tr>
            <w:tr w14:paraId="67C9F6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176" w:hRule="atLeast"/>
                <w:jc w:val="center"/>
              </w:trPr>
              <w:tc>
                <w:tcPr>
                  <w:tcW w:w="461" w:type="pct"/>
                  <w:vMerge w:val="continue"/>
                  <w:tcMar>
                    <w:top w:w="0" w:type="dxa"/>
                    <w:left w:w="108" w:type="dxa"/>
                    <w:bottom w:w="0" w:type="dxa"/>
                    <w:right w:w="108" w:type="dxa"/>
                  </w:tcMar>
                  <w:vAlign w:val="center"/>
                </w:tcPr>
                <w:p w14:paraId="6742CF7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bCs/>
                      <w:color w:val="auto"/>
                      <w:szCs w:val="21"/>
                      <w:highlight w:val="none"/>
                      <w:lang w:val="en-US" w:eastAsia="zh-CN"/>
                    </w:rPr>
                  </w:pPr>
                </w:p>
              </w:tc>
              <w:tc>
                <w:tcPr>
                  <w:tcW w:w="931" w:type="pct"/>
                  <w:gridSpan w:val="2"/>
                  <w:tcMar>
                    <w:top w:w="0" w:type="dxa"/>
                    <w:left w:w="108" w:type="dxa"/>
                    <w:bottom w:w="0" w:type="dxa"/>
                    <w:right w:w="108" w:type="dxa"/>
                  </w:tcMar>
                  <w:vAlign w:val="center"/>
                </w:tcPr>
                <w:p w14:paraId="54DF98E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电导热油罐</w:t>
                  </w:r>
                </w:p>
              </w:tc>
              <w:tc>
                <w:tcPr>
                  <w:tcW w:w="3159" w:type="pct"/>
                  <w:tcMar>
                    <w:top w:w="0" w:type="dxa"/>
                    <w:left w:w="108" w:type="dxa"/>
                    <w:bottom w:w="0" w:type="dxa"/>
                    <w:right w:w="108" w:type="dxa"/>
                  </w:tcMar>
                  <w:vAlign w:val="center"/>
                </w:tcPr>
                <w:p w14:paraId="41C550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位于生产车间内北侧与</w:t>
                  </w:r>
                  <w:r>
                    <w:rPr>
                      <w:rFonts w:hint="eastAsia"/>
                      <w:color w:val="auto"/>
                      <w:highlight w:val="none"/>
                      <w:lang w:val="en-US" w:eastAsia="zh-CN"/>
                    </w:rPr>
                    <w:t>电导热油炉</w:t>
                  </w:r>
                  <w:r>
                    <w:rPr>
                      <w:rFonts w:hint="eastAsia" w:cs="Times New Roman"/>
                      <w:color w:val="auto"/>
                      <w:sz w:val="21"/>
                      <w:szCs w:val="21"/>
                      <w:highlight w:val="none"/>
                      <w:lang w:val="en-US" w:eastAsia="zh-CN"/>
                    </w:rPr>
                    <w:t>间距不小于3m，且处于供热、用热系统最低位置。（根据特检所检验后结果进行更换）电导热油罐地面防渗措施为在混凝土上铺设复合土工膜+水泥砂浆抹灰及环氧树脂耐油防腐地坪，渗透系数≤ 10-10cm/s；围堰设置C30/P8 抗渗混凝土，同地面防渗等级，内壁 + 底面做2 mm HDPE 膜或环氧玻璃钢，与地面防渗层无缝搭接、焊接密封</w:t>
                  </w:r>
                </w:p>
              </w:tc>
              <w:tc>
                <w:tcPr>
                  <w:tcW w:w="447" w:type="pct"/>
                  <w:vMerge w:val="continue"/>
                  <w:tcMar>
                    <w:top w:w="0" w:type="dxa"/>
                    <w:left w:w="108" w:type="dxa"/>
                    <w:bottom w:w="0" w:type="dxa"/>
                    <w:right w:w="108" w:type="dxa"/>
                  </w:tcMar>
                  <w:vAlign w:val="center"/>
                </w:tcPr>
                <w:p w14:paraId="18196B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bidi="ar"/>
                    </w:rPr>
                  </w:pPr>
                </w:p>
              </w:tc>
            </w:tr>
            <w:tr w14:paraId="448CE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47" w:hRule="atLeast"/>
                <w:jc w:val="center"/>
              </w:trPr>
              <w:tc>
                <w:tcPr>
                  <w:tcW w:w="461" w:type="pct"/>
                  <w:vMerge w:val="continue"/>
                  <w:tcMar>
                    <w:top w:w="0" w:type="dxa"/>
                    <w:left w:w="108" w:type="dxa"/>
                    <w:bottom w:w="0" w:type="dxa"/>
                    <w:right w:w="108" w:type="dxa"/>
                  </w:tcMar>
                  <w:vAlign w:val="center"/>
                </w:tcPr>
                <w:p w14:paraId="7FDD6FA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lang w:val="en-US" w:eastAsia="zh-CN"/>
                    </w:rPr>
                  </w:pPr>
                </w:p>
              </w:tc>
              <w:tc>
                <w:tcPr>
                  <w:tcW w:w="931" w:type="pct"/>
                  <w:gridSpan w:val="2"/>
                  <w:tcMar>
                    <w:top w:w="0" w:type="dxa"/>
                    <w:left w:w="108" w:type="dxa"/>
                    <w:bottom w:w="0" w:type="dxa"/>
                    <w:right w:w="108" w:type="dxa"/>
                  </w:tcMar>
                  <w:vAlign w:val="center"/>
                </w:tcPr>
                <w:p w14:paraId="51A19FD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变电站</w:t>
                  </w:r>
                </w:p>
              </w:tc>
              <w:tc>
                <w:tcPr>
                  <w:tcW w:w="3159" w:type="pct"/>
                  <w:tcMar>
                    <w:top w:w="0" w:type="dxa"/>
                    <w:left w:w="108" w:type="dxa"/>
                    <w:bottom w:w="0" w:type="dxa"/>
                    <w:right w:w="108" w:type="dxa"/>
                  </w:tcMar>
                  <w:vAlign w:val="center"/>
                </w:tcPr>
                <w:p w14:paraId="301333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lang w:val="en-US" w:eastAsia="zh-CN"/>
                    </w:rPr>
                  </w:pPr>
                  <w:r>
                    <w:rPr>
                      <w:rFonts w:hint="eastAsia" w:cs="Times New Roman"/>
                      <w:color w:val="auto"/>
                      <w:sz w:val="21"/>
                      <w:szCs w:val="21"/>
                      <w:highlight w:val="none"/>
                      <w:lang w:val="en-US" w:eastAsia="zh-CN"/>
                    </w:rPr>
                    <w:t>占地面积180m</w:t>
                  </w:r>
                  <w:r>
                    <w:rPr>
                      <w:rFonts w:hint="eastAsia" w:cs="Times New Roman"/>
                      <w:color w:val="auto"/>
                      <w:sz w:val="21"/>
                      <w:szCs w:val="21"/>
                      <w:highlight w:val="none"/>
                      <w:vertAlign w:val="superscript"/>
                      <w:lang w:val="en-US" w:eastAsia="zh-CN"/>
                    </w:rPr>
                    <w:t>2</w:t>
                  </w:r>
                </w:p>
              </w:tc>
              <w:tc>
                <w:tcPr>
                  <w:tcW w:w="447" w:type="pct"/>
                  <w:vMerge w:val="restart"/>
                  <w:shd w:val="clear" w:color="auto" w:fill="auto"/>
                  <w:tcMar>
                    <w:top w:w="0" w:type="dxa"/>
                    <w:left w:w="108" w:type="dxa"/>
                    <w:bottom w:w="0" w:type="dxa"/>
                    <w:right w:w="108" w:type="dxa"/>
                  </w:tcMar>
                  <w:vAlign w:val="center"/>
                </w:tcPr>
                <w:p w14:paraId="34BF19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依托现有</w:t>
                  </w:r>
                </w:p>
              </w:tc>
            </w:tr>
            <w:tr w14:paraId="1F23E8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135" w:hRule="atLeast"/>
                <w:jc w:val="center"/>
              </w:trPr>
              <w:tc>
                <w:tcPr>
                  <w:tcW w:w="461" w:type="pct"/>
                  <w:vMerge w:val="continue"/>
                  <w:tcMar>
                    <w:top w:w="0" w:type="dxa"/>
                    <w:left w:w="108" w:type="dxa"/>
                    <w:bottom w:w="0" w:type="dxa"/>
                    <w:right w:w="108" w:type="dxa"/>
                  </w:tcMar>
                  <w:vAlign w:val="center"/>
                </w:tcPr>
                <w:p w14:paraId="633B192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lang w:val="en-US" w:eastAsia="zh-CN"/>
                    </w:rPr>
                  </w:pPr>
                </w:p>
              </w:tc>
              <w:tc>
                <w:tcPr>
                  <w:tcW w:w="931" w:type="pct"/>
                  <w:gridSpan w:val="2"/>
                  <w:tcMar>
                    <w:top w:w="0" w:type="dxa"/>
                    <w:left w:w="108" w:type="dxa"/>
                    <w:bottom w:w="0" w:type="dxa"/>
                    <w:right w:w="108" w:type="dxa"/>
                  </w:tcMar>
                  <w:vAlign w:val="center"/>
                </w:tcPr>
                <w:p w14:paraId="18AEBF7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危废暂存间</w:t>
                  </w:r>
                </w:p>
              </w:tc>
              <w:tc>
                <w:tcPr>
                  <w:tcW w:w="3159" w:type="pct"/>
                  <w:tcMar>
                    <w:top w:w="0" w:type="dxa"/>
                    <w:left w:w="108" w:type="dxa"/>
                    <w:bottom w:w="0" w:type="dxa"/>
                    <w:right w:w="108" w:type="dxa"/>
                  </w:tcMar>
                  <w:vAlign w:val="center"/>
                </w:tcPr>
                <w:p w14:paraId="79956F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占地面积30m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，钢结构，一层（危废间地面及裙角已进行防渗处理，地面防渗措施为在混凝土上铺设复合土工膜+水泥砂浆抹灰及环氧树脂耐油防腐地坪，渗透系数≤ 10</w:t>
                  </w:r>
                  <w:r>
                    <w:rPr>
                      <w:rFonts w:hint="eastAsia" w:cs="Times New Roman"/>
                      <w:color w:val="auto"/>
                      <w:sz w:val="21"/>
                      <w:szCs w:val="21"/>
                      <w:highlight w:val="none"/>
                      <w:vertAlign w:val="superscript"/>
                      <w:lang w:val="en-US" w:eastAsia="zh-CN"/>
                    </w:rPr>
                    <w:t>-10</w:t>
                  </w:r>
                  <w:r>
                    <w:rPr>
                      <w:rFonts w:hint="eastAsia" w:cs="Times New Roman"/>
                      <w:color w:val="auto"/>
                      <w:sz w:val="21"/>
                      <w:szCs w:val="21"/>
                      <w:highlight w:val="none"/>
                      <w:lang w:val="en-US" w:eastAsia="zh-CN"/>
                    </w:rPr>
                    <w:t>cm/s并设置收集池、导流槽等设施）</w:t>
                  </w:r>
                </w:p>
              </w:tc>
              <w:tc>
                <w:tcPr>
                  <w:tcW w:w="447" w:type="pct"/>
                  <w:vMerge w:val="continue"/>
                  <w:tcMar>
                    <w:top w:w="0" w:type="dxa"/>
                    <w:left w:w="108" w:type="dxa"/>
                    <w:bottom w:w="0" w:type="dxa"/>
                    <w:right w:w="108" w:type="dxa"/>
                  </w:tcMar>
                  <w:vAlign w:val="center"/>
                </w:tcPr>
                <w:p w14:paraId="3C281A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p>
              </w:tc>
            </w:tr>
            <w:tr w14:paraId="55B892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135" w:hRule="atLeast"/>
                <w:jc w:val="center"/>
              </w:trPr>
              <w:tc>
                <w:tcPr>
                  <w:tcW w:w="461" w:type="pct"/>
                  <w:vMerge w:val="continue"/>
                  <w:tcMar>
                    <w:top w:w="0" w:type="dxa"/>
                    <w:left w:w="108" w:type="dxa"/>
                    <w:bottom w:w="0" w:type="dxa"/>
                    <w:right w:w="108" w:type="dxa"/>
                  </w:tcMar>
                  <w:vAlign w:val="center"/>
                </w:tcPr>
                <w:p w14:paraId="39EADB0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lang w:val="en-US" w:eastAsia="zh-CN"/>
                    </w:rPr>
                  </w:pPr>
                </w:p>
              </w:tc>
              <w:tc>
                <w:tcPr>
                  <w:tcW w:w="931" w:type="pct"/>
                  <w:gridSpan w:val="2"/>
                  <w:tcMar>
                    <w:top w:w="0" w:type="dxa"/>
                    <w:left w:w="108" w:type="dxa"/>
                    <w:bottom w:w="0" w:type="dxa"/>
                    <w:right w:w="108" w:type="dxa"/>
                  </w:tcMar>
                  <w:vAlign w:val="center"/>
                </w:tcPr>
                <w:p w14:paraId="0800F2D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一般固废间</w:t>
                  </w:r>
                </w:p>
              </w:tc>
              <w:tc>
                <w:tcPr>
                  <w:tcW w:w="3159" w:type="pct"/>
                  <w:tcMar>
                    <w:top w:w="0" w:type="dxa"/>
                    <w:left w:w="108" w:type="dxa"/>
                    <w:bottom w:w="0" w:type="dxa"/>
                    <w:right w:w="108" w:type="dxa"/>
                  </w:tcMar>
                  <w:vAlign w:val="center"/>
                </w:tcPr>
                <w:p w14:paraId="5BD359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占地面积30m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，钢结构，一层</w:t>
                  </w:r>
                  <w:r>
                    <w:rPr>
                      <w:rFonts w:hint="eastAsia"/>
                      <w:color w:val="auto"/>
                      <w:highlight w:val="none"/>
                      <w:lang w:eastAsia="zh-CN"/>
                    </w:rPr>
                    <w:t>（满足等效黏土防渗层厚度 Mb≥1.5m，渗透系数 K≤1×10⁻⁷cm/s）</w:t>
                  </w:r>
                </w:p>
              </w:tc>
              <w:tc>
                <w:tcPr>
                  <w:tcW w:w="447" w:type="pct"/>
                  <w:vMerge w:val="continue"/>
                  <w:tcMar>
                    <w:top w:w="0" w:type="dxa"/>
                    <w:left w:w="108" w:type="dxa"/>
                    <w:bottom w:w="0" w:type="dxa"/>
                    <w:right w:w="108" w:type="dxa"/>
                  </w:tcMar>
                  <w:vAlign w:val="center"/>
                </w:tcPr>
                <w:p w14:paraId="6AFC7C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p>
              </w:tc>
            </w:tr>
            <w:tr w14:paraId="1ECCA2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405" w:hRule="atLeast"/>
                <w:jc w:val="center"/>
              </w:trPr>
              <w:tc>
                <w:tcPr>
                  <w:tcW w:w="461" w:type="pct"/>
                  <w:vMerge w:val="continue"/>
                  <w:tcMar>
                    <w:top w:w="0" w:type="dxa"/>
                    <w:left w:w="108" w:type="dxa"/>
                    <w:bottom w:w="0" w:type="dxa"/>
                    <w:right w:w="108" w:type="dxa"/>
                  </w:tcMar>
                  <w:vAlign w:val="center"/>
                </w:tcPr>
                <w:p w14:paraId="43E6EC2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lang w:val="en-US" w:eastAsia="zh-CN"/>
                    </w:rPr>
                  </w:pPr>
                </w:p>
              </w:tc>
              <w:tc>
                <w:tcPr>
                  <w:tcW w:w="931" w:type="pct"/>
                  <w:gridSpan w:val="2"/>
                  <w:tcMar>
                    <w:top w:w="0" w:type="dxa"/>
                    <w:left w:w="108" w:type="dxa"/>
                    <w:bottom w:w="0" w:type="dxa"/>
                    <w:right w:w="108" w:type="dxa"/>
                  </w:tcMar>
                  <w:vAlign w:val="center"/>
                </w:tcPr>
                <w:p w14:paraId="6227374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污水处理站</w:t>
                  </w:r>
                </w:p>
              </w:tc>
              <w:tc>
                <w:tcPr>
                  <w:tcW w:w="3159" w:type="pct"/>
                  <w:tcMar>
                    <w:top w:w="0" w:type="dxa"/>
                    <w:left w:w="108" w:type="dxa"/>
                    <w:bottom w:w="0" w:type="dxa"/>
                    <w:right w:w="108" w:type="dxa"/>
                  </w:tcMar>
                  <w:vAlign w:val="center"/>
                </w:tcPr>
                <w:p w14:paraId="398E9A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占地面积600m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，设有油水分离池，采用SBR处理工艺，处理规模为120m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/d</w:t>
                  </w:r>
                </w:p>
              </w:tc>
              <w:tc>
                <w:tcPr>
                  <w:tcW w:w="447" w:type="pct"/>
                  <w:vMerge w:val="continue"/>
                  <w:tcMar>
                    <w:top w:w="0" w:type="dxa"/>
                    <w:left w:w="108" w:type="dxa"/>
                    <w:bottom w:w="0" w:type="dxa"/>
                    <w:right w:w="108" w:type="dxa"/>
                  </w:tcMar>
                  <w:vAlign w:val="center"/>
                </w:tcPr>
                <w:p w14:paraId="44E8F1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p>
              </w:tc>
            </w:tr>
            <w:tr w14:paraId="0C951A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405" w:hRule="atLeast"/>
                <w:jc w:val="center"/>
              </w:trPr>
              <w:tc>
                <w:tcPr>
                  <w:tcW w:w="461" w:type="pct"/>
                  <w:vMerge w:val="continue"/>
                  <w:tcMar>
                    <w:top w:w="0" w:type="dxa"/>
                    <w:left w:w="108" w:type="dxa"/>
                    <w:bottom w:w="0" w:type="dxa"/>
                    <w:right w:w="108" w:type="dxa"/>
                  </w:tcMar>
                  <w:vAlign w:val="center"/>
                </w:tcPr>
                <w:p w14:paraId="3571348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lang w:val="en-US" w:eastAsia="zh-CN"/>
                    </w:rPr>
                  </w:pPr>
                </w:p>
              </w:tc>
              <w:tc>
                <w:tcPr>
                  <w:tcW w:w="931" w:type="pct"/>
                  <w:gridSpan w:val="2"/>
                  <w:tcMar>
                    <w:top w:w="0" w:type="dxa"/>
                    <w:left w:w="108" w:type="dxa"/>
                    <w:bottom w:w="0" w:type="dxa"/>
                    <w:right w:w="108" w:type="dxa"/>
                  </w:tcMar>
                  <w:vAlign w:val="center"/>
                </w:tcPr>
                <w:p w14:paraId="5DCB00C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办公</w:t>
                  </w:r>
                  <w:r>
                    <w:rPr>
                      <w:rFonts w:hint="eastAsia" w:cs="Times New Roman"/>
                      <w:color w:val="auto"/>
                      <w:sz w:val="21"/>
                      <w:szCs w:val="21"/>
                      <w:highlight w:val="none"/>
                      <w:lang w:val="en-US" w:eastAsia="zh-CN"/>
                    </w:rPr>
                    <w:t>生活区</w:t>
                  </w:r>
                </w:p>
              </w:tc>
              <w:tc>
                <w:tcPr>
                  <w:tcW w:w="3159" w:type="pct"/>
                  <w:tcMar>
                    <w:top w:w="0" w:type="dxa"/>
                    <w:left w:w="108" w:type="dxa"/>
                    <w:bottom w:w="0" w:type="dxa"/>
                    <w:right w:w="108" w:type="dxa"/>
                  </w:tcMar>
                  <w:vAlign w:val="center"/>
                </w:tcPr>
                <w:p w14:paraId="22F170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占地面积200m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，砖混结构，一层</w:t>
                  </w:r>
                </w:p>
              </w:tc>
              <w:tc>
                <w:tcPr>
                  <w:tcW w:w="447" w:type="pct"/>
                  <w:vMerge w:val="continue"/>
                  <w:tcMar>
                    <w:top w:w="0" w:type="dxa"/>
                    <w:left w:w="108" w:type="dxa"/>
                    <w:bottom w:w="0" w:type="dxa"/>
                    <w:right w:w="108" w:type="dxa"/>
                  </w:tcMar>
                  <w:vAlign w:val="center"/>
                </w:tcPr>
                <w:p w14:paraId="019F31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p>
              </w:tc>
            </w:tr>
            <w:tr w14:paraId="09D214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461" w:type="pct"/>
                  <w:vMerge w:val="restart"/>
                  <w:tcMar>
                    <w:top w:w="0" w:type="dxa"/>
                    <w:left w:w="108" w:type="dxa"/>
                    <w:bottom w:w="0" w:type="dxa"/>
                    <w:right w:w="108" w:type="dxa"/>
                  </w:tcMar>
                  <w:vAlign w:val="center"/>
                </w:tcPr>
                <w:p w14:paraId="784397D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公用工程</w:t>
                  </w:r>
                </w:p>
                <w:p w14:paraId="47620C0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931" w:type="pct"/>
                  <w:gridSpan w:val="2"/>
                  <w:tcMar>
                    <w:top w:w="0" w:type="dxa"/>
                    <w:left w:w="108" w:type="dxa"/>
                    <w:bottom w:w="0" w:type="dxa"/>
                    <w:right w:w="108" w:type="dxa"/>
                  </w:tcMar>
                  <w:vAlign w:val="center"/>
                </w:tcPr>
                <w:p w14:paraId="564BFC5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Cs w:val="21"/>
                      <w:highlight w:val="none"/>
                    </w:rPr>
                    <w:t>供水</w:t>
                  </w:r>
                </w:p>
              </w:tc>
              <w:tc>
                <w:tcPr>
                  <w:tcW w:w="3159" w:type="pct"/>
                  <w:tcMar>
                    <w:top w:w="0" w:type="dxa"/>
                    <w:left w:w="108" w:type="dxa"/>
                    <w:bottom w:w="0" w:type="dxa"/>
                    <w:right w:w="108" w:type="dxa"/>
                  </w:tcMar>
                  <w:vAlign w:val="center"/>
                </w:tcPr>
                <w:p w14:paraId="25FCCD7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生产用水由厂区自备井供给，井深50m，小时出水量40~50m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w:t>
                  </w:r>
                </w:p>
              </w:tc>
              <w:tc>
                <w:tcPr>
                  <w:tcW w:w="447" w:type="pct"/>
                  <w:vMerge w:val="restart"/>
                  <w:tcMar>
                    <w:top w:w="0" w:type="dxa"/>
                    <w:left w:w="108" w:type="dxa"/>
                    <w:bottom w:w="0" w:type="dxa"/>
                    <w:right w:w="108" w:type="dxa"/>
                  </w:tcMar>
                  <w:vAlign w:val="center"/>
                </w:tcPr>
                <w:p w14:paraId="450AD17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kern w:val="0"/>
                      <w:sz w:val="21"/>
                      <w:szCs w:val="21"/>
                      <w:highlight w:val="none"/>
                      <w:lang w:val="en-US" w:eastAsia="zh-CN" w:bidi="ar"/>
                    </w:rPr>
                    <w:t>依托现有</w:t>
                  </w:r>
                </w:p>
              </w:tc>
            </w:tr>
            <w:tr w14:paraId="6CA663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461" w:type="pct"/>
                  <w:vMerge w:val="continue"/>
                  <w:tcMar>
                    <w:top w:w="0" w:type="dxa"/>
                    <w:left w:w="108" w:type="dxa"/>
                    <w:bottom w:w="0" w:type="dxa"/>
                    <w:right w:w="108" w:type="dxa"/>
                  </w:tcMar>
                  <w:vAlign w:val="center"/>
                </w:tcPr>
                <w:p w14:paraId="4D5C42D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931" w:type="pct"/>
                  <w:gridSpan w:val="2"/>
                  <w:tcMar>
                    <w:top w:w="0" w:type="dxa"/>
                    <w:left w:w="108" w:type="dxa"/>
                    <w:bottom w:w="0" w:type="dxa"/>
                    <w:right w:w="108" w:type="dxa"/>
                  </w:tcMar>
                  <w:vAlign w:val="center"/>
                </w:tcPr>
                <w:p w14:paraId="677C55B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排水</w:t>
                  </w:r>
                </w:p>
              </w:tc>
              <w:tc>
                <w:tcPr>
                  <w:tcW w:w="3159" w:type="pct"/>
                  <w:shd w:val="clear" w:color="auto" w:fill="auto"/>
                  <w:tcMar>
                    <w:top w:w="0" w:type="dxa"/>
                    <w:left w:w="108" w:type="dxa"/>
                    <w:bottom w:w="0" w:type="dxa"/>
                    <w:right w:w="108" w:type="dxa"/>
                  </w:tcMar>
                  <w:vAlign w:val="center"/>
                </w:tcPr>
                <w:p w14:paraId="2CE759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b w:val="0"/>
                      <w:bCs w:val="0"/>
                      <w:color w:val="auto"/>
                      <w:sz w:val="21"/>
                      <w:szCs w:val="21"/>
                      <w:highlight w:val="none"/>
                      <w:vertAlign w:val="baseline"/>
                      <w:lang w:val="en-US" w:eastAsia="zh-CN"/>
                    </w:rPr>
                    <w:t>生产废水经厂区现有的处理量为120m</w:t>
                  </w:r>
                  <w:r>
                    <w:rPr>
                      <w:rFonts w:hint="eastAsia" w:cs="Times New Roman"/>
                      <w:b w:val="0"/>
                      <w:bCs w:val="0"/>
                      <w:color w:val="auto"/>
                      <w:sz w:val="21"/>
                      <w:szCs w:val="21"/>
                      <w:highlight w:val="none"/>
                      <w:vertAlign w:val="superscript"/>
                      <w:lang w:val="en-US" w:eastAsia="zh-CN"/>
                    </w:rPr>
                    <w:t>3</w:t>
                  </w:r>
                  <w:r>
                    <w:rPr>
                      <w:rFonts w:hint="eastAsia" w:cs="Times New Roman"/>
                      <w:b w:val="0"/>
                      <w:bCs w:val="0"/>
                      <w:color w:val="auto"/>
                      <w:sz w:val="21"/>
                      <w:szCs w:val="21"/>
                      <w:highlight w:val="none"/>
                      <w:vertAlign w:val="baseline"/>
                      <w:lang w:val="en-US" w:eastAsia="zh-CN"/>
                    </w:rPr>
                    <w:t>/d的污水处理站处理后，排入市政污水管网后最终由磴口县中涵水务有限公司处理</w:t>
                  </w:r>
                </w:p>
              </w:tc>
              <w:tc>
                <w:tcPr>
                  <w:tcW w:w="447" w:type="pct"/>
                  <w:vMerge w:val="continue"/>
                  <w:shd w:val="clear" w:color="auto" w:fill="auto"/>
                  <w:tcMar>
                    <w:top w:w="0" w:type="dxa"/>
                    <w:left w:w="108" w:type="dxa"/>
                    <w:bottom w:w="0" w:type="dxa"/>
                    <w:right w:w="108" w:type="dxa"/>
                  </w:tcMar>
                  <w:vAlign w:val="center"/>
                </w:tcPr>
                <w:p w14:paraId="22D81D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21"/>
                      <w:szCs w:val="21"/>
                      <w:highlight w:val="none"/>
                      <w:vertAlign w:val="baseline"/>
                      <w:lang w:val="en-US" w:eastAsia="zh-CN"/>
                    </w:rPr>
                  </w:pPr>
                </w:p>
              </w:tc>
            </w:tr>
            <w:tr w14:paraId="400BB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79" w:hRule="atLeast"/>
                <w:jc w:val="center"/>
              </w:trPr>
              <w:tc>
                <w:tcPr>
                  <w:tcW w:w="461" w:type="pct"/>
                  <w:vMerge w:val="continue"/>
                  <w:tcMar>
                    <w:top w:w="0" w:type="dxa"/>
                    <w:left w:w="108" w:type="dxa"/>
                    <w:bottom w:w="0" w:type="dxa"/>
                    <w:right w:w="108" w:type="dxa"/>
                  </w:tcMar>
                  <w:vAlign w:val="center"/>
                </w:tcPr>
                <w:p w14:paraId="5F5FCF9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931" w:type="pct"/>
                  <w:gridSpan w:val="2"/>
                  <w:tcMar>
                    <w:top w:w="0" w:type="dxa"/>
                    <w:left w:w="108" w:type="dxa"/>
                    <w:bottom w:w="0" w:type="dxa"/>
                    <w:right w:w="108" w:type="dxa"/>
                  </w:tcMar>
                  <w:vAlign w:val="center"/>
                </w:tcPr>
                <w:p w14:paraId="7CD2F2E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供电</w:t>
                  </w:r>
                </w:p>
              </w:tc>
              <w:tc>
                <w:tcPr>
                  <w:tcW w:w="3159" w:type="pct"/>
                  <w:tcMar>
                    <w:top w:w="0" w:type="dxa"/>
                    <w:left w:w="108" w:type="dxa"/>
                    <w:bottom w:w="0" w:type="dxa"/>
                    <w:right w:w="108" w:type="dxa"/>
                  </w:tcMar>
                  <w:vAlign w:val="center"/>
                </w:tcPr>
                <w:p w14:paraId="2381855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自备变压器接入附近电网</w:t>
                  </w:r>
                </w:p>
              </w:tc>
              <w:tc>
                <w:tcPr>
                  <w:tcW w:w="447" w:type="pct"/>
                  <w:vMerge w:val="continue"/>
                  <w:tcMar>
                    <w:top w:w="0" w:type="dxa"/>
                    <w:left w:w="108" w:type="dxa"/>
                    <w:bottom w:w="0" w:type="dxa"/>
                    <w:right w:w="108" w:type="dxa"/>
                  </w:tcMar>
                  <w:vAlign w:val="center"/>
                </w:tcPr>
                <w:p w14:paraId="01CE03A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Cs w:val="21"/>
                      <w:highlight w:val="none"/>
                      <w:lang w:val="en-US" w:eastAsia="zh-CN"/>
                    </w:rPr>
                  </w:pPr>
                </w:p>
              </w:tc>
            </w:tr>
            <w:tr w14:paraId="1493FD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restart"/>
                  <w:tcMar>
                    <w:top w:w="0" w:type="dxa"/>
                    <w:left w:w="108" w:type="dxa"/>
                    <w:bottom w:w="0" w:type="dxa"/>
                    <w:right w:w="108" w:type="dxa"/>
                  </w:tcMar>
                  <w:vAlign w:val="center"/>
                </w:tcPr>
                <w:p w14:paraId="5119B51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val="en-US" w:eastAsia="zh-CN"/>
                    </w:rPr>
                    <w:t>环保工程</w:t>
                  </w:r>
                </w:p>
              </w:tc>
              <w:tc>
                <w:tcPr>
                  <w:tcW w:w="931" w:type="pct"/>
                  <w:gridSpan w:val="2"/>
                  <w:tcMar>
                    <w:top w:w="0" w:type="dxa"/>
                    <w:left w:w="108" w:type="dxa"/>
                    <w:bottom w:w="0" w:type="dxa"/>
                    <w:right w:w="108" w:type="dxa"/>
                  </w:tcMar>
                  <w:vAlign w:val="center"/>
                </w:tcPr>
                <w:p w14:paraId="1895F84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废水</w:t>
                  </w:r>
                </w:p>
              </w:tc>
              <w:tc>
                <w:tcPr>
                  <w:tcW w:w="3159" w:type="pct"/>
                  <w:tcMar>
                    <w:top w:w="0" w:type="dxa"/>
                    <w:left w:w="108" w:type="dxa"/>
                    <w:bottom w:w="0" w:type="dxa"/>
                    <w:right w:w="108" w:type="dxa"/>
                  </w:tcMar>
                  <w:vAlign w:val="center"/>
                </w:tcPr>
                <w:p w14:paraId="34F1424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lang w:val="en-US" w:eastAsia="zh-CN"/>
                    </w:rPr>
                  </w:pPr>
                  <w:r>
                    <w:rPr>
                      <w:rFonts w:hint="eastAsia" w:cs="Times New Roman"/>
                      <w:b w:val="0"/>
                      <w:bCs w:val="0"/>
                      <w:color w:val="auto"/>
                      <w:sz w:val="21"/>
                      <w:szCs w:val="21"/>
                      <w:highlight w:val="none"/>
                      <w:vertAlign w:val="baseline"/>
                      <w:lang w:val="en-US" w:eastAsia="zh-CN"/>
                    </w:rPr>
                    <w:t>生产废水经厂区现有的处理量为120m</w:t>
                  </w:r>
                  <w:r>
                    <w:rPr>
                      <w:rFonts w:hint="eastAsia" w:cs="Times New Roman"/>
                      <w:b w:val="0"/>
                      <w:bCs w:val="0"/>
                      <w:color w:val="auto"/>
                      <w:sz w:val="21"/>
                      <w:szCs w:val="21"/>
                      <w:highlight w:val="none"/>
                      <w:vertAlign w:val="superscript"/>
                      <w:lang w:val="en-US" w:eastAsia="zh-CN"/>
                    </w:rPr>
                    <w:t>3</w:t>
                  </w:r>
                  <w:r>
                    <w:rPr>
                      <w:rFonts w:hint="eastAsia" w:cs="Times New Roman"/>
                      <w:b w:val="0"/>
                      <w:bCs w:val="0"/>
                      <w:color w:val="auto"/>
                      <w:sz w:val="21"/>
                      <w:szCs w:val="21"/>
                      <w:highlight w:val="none"/>
                      <w:vertAlign w:val="baseline"/>
                      <w:lang w:val="en-US" w:eastAsia="zh-CN"/>
                    </w:rPr>
                    <w:t>/d的污水处理站处理后，排入市政污水管网后最终由磴口县中涵水务有限公司处理</w:t>
                  </w:r>
                </w:p>
              </w:tc>
              <w:tc>
                <w:tcPr>
                  <w:tcW w:w="447" w:type="pct"/>
                  <w:tcMar>
                    <w:top w:w="0" w:type="dxa"/>
                    <w:left w:w="108" w:type="dxa"/>
                    <w:bottom w:w="0" w:type="dxa"/>
                    <w:right w:w="108" w:type="dxa"/>
                  </w:tcMar>
                  <w:vAlign w:val="center"/>
                </w:tcPr>
                <w:p w14:paraId="3E1CD29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依托现有</w:t>
                  </w:r>
                </w:p>
              </w:tc>
            </w:tr>
            <w:tr w14:paraId="2281BB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0B3CCBD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465" w:type="pct"/>
                  <w:vMerge w:val="restart"/>
                  <w:tcMar>
                    <w:top w:w="0" w:type="dxa"/>
                    <w:left w:w="108" w:type="dxa"/>
                    <w:bottom w:w="0" w:type="dxa"/>
                    <w:right w:w="108" w:type="dxa"/>
                  </w:tcMar>
                  <w:vAlign w:val="center"/>
                </w:tcPr>
                <w:p w14:paraId="25B2966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固体废物</w:t>
                  </w:r>
                </w:p>
              </w:tc>
              <w:tc>
                <w:tcPr>
                  <w:tcW w:w="466" w:type="pct"/>
                  <w:vMerge w:val="restart"/>
                  <w:tcMar>
                    <w:top w:w="0" w:type="dxa"/>
                    <w:left w:w="108" w:type="dxa"/>
                    <w:bottom w:w="0" w:type="dxa"/>
                    <w:right w:w="108" w:type="dxa"/>
                  </w:tcMar>
                  <w:vAlign w:val="center"/>
                </w:tcPr>
                <w:p w14:paraId="15EC71E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一般固废</w:t>
                  </w:r>
                </w:p>
              </w:tc>
              <w:tc>
                <w:tcPr>
                  <w:tcW w:w="3159" w:type="pct"/>
                  <w:tcMar>
                    <w:top w:w="0" w:type="dxa"/>
                    <w:left w:w="108" w:type="dxa"/>
                    <w:bottom w:w="0" w:type="dxa"/>
                    <w:right w:w="108" w:type="dxa"/>
                  </w:tcMar>
                  <w:vAlign w:val="center"/>
                </w:tcPr>
                <w:p w14:paraId="364699E4">
                  <w:pPr>
                    <w:pStyle w:val="12"/>
                    <w:keepNext w:val="0"/>
                    <w:keepLines w:val="0"/>
                    <w:pageBreakBefore w:val="0"/>
                    <w:kinsoku/>
                    <w:wordWrap/>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r>
                    <w:rPr>
                      <w:rFonts w:hint="eastAsia"/>
                      <w:color w:val="auto"/>
                      <w:highlight w:val="none"/>
                      <w:lang w:val="en-US" w:eastAsia="zh-CN"/>
                    </w:rPr>
                    <w:t>葵花籽壳、滤渣，袋装暂存至一般固废间送往饲料加工厂商作为饲料制造原料</w:t>
                  </w:r>
                </w:p>
              </w:tc>
              <w:tc>
                <w:tcPr>
                  <w:tcW w:w="447" w:type="pct"/>
                  <w:vMerge w:val="restart"/>
                  <w:tcMar>
                    <w:top w:w="0" w:type="dxa"/>
                    <w:left w:w="108" w:type="dxa"/>
                    <w:bottom w:w="0" w:type="dxa"/>
                    <w:right w:w="108" w:type="dxa"/>
                  </w:tcMar>
                  <w:vAlign w:val="center"/>
                </w:tcPr>
                <w:p w14:paraId="7085D53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依托现有</w:t>
                  </w:r>
                </w:p>
              </w:tc>
            </w:tr>
            <w:tr w14:paraId="3752E3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6C50F3B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465" w:type="pct"/>
                  <w:vMerge w:val="continue"/>
                  <w:tcMar>
                    <w:top w:w="0" w:type="dxa"/>
                    <w:left w:w="108" w:type="dxa"/>
                    <w:bottom w:w="0" w:type="dxa"/>
                    <w:right w:w="108" w:type="dxa"/>
                  </w:tcMar>
                  <w:vAlign w:val="center"/>
                </w:tcPr>
                <w:p w14:paraId="1A72A09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Cs w:val="21"/>
                      <w:highlight w:val="none"/>
                      <w:lang w:val="en-US" w:eastAsia="zh-CN"/>
                    </w:rPr>
                  </w:pPr>
                </w:p>
              </w:tc>
              <w:tc>
                <w:tcPr>
                  <w:tcW w:w="466" w:type="pct"/>
                  <w:vMerge w:val="continue"/>
                  <w:tcMar>
                    <w:top w:w="0" w:type="dxa"/>
                    <w:left w:w="108" w:type="dxa"/>
                    <w:bottom w:w="0" w:type="dxa"/>
                    <w:right w:w="108" w:type="dxa"/>
                  </w:tcMar>
                  <w:vAlign w:val="center"/>
                </w:tcPr>
                <w:p w14:paraId="6FFEA9A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Cs w:val="21"/>
                      <w:highlight w:val="none"/>
                      <w:lang w:val="en-US" w:eastAsia="zh-CN"/>
                    </w:rPr>
                  </w:pPr>
                </w:p>
              </w:tc>
              <w:tc>
                <w:tcPr>
                  <w:tcW w:w="3159" w:type="pct"/>
                  <w:tcMar>
                    <w:top w:w="0" w:type="dxa"/>
                    <w:left w:w="108" w:type="dxa"/>
                    <w:bottom w:w="0" w:type="dxa"/>
                    <w:right w:w="108" w:type="dxa"/>
                  </w:tcMar>
                  <w:vAlign w:val="center"/>
                </w:tcPr>
                <w:p w14:paraId="10C0CACF">
                  <w:pPr>
                    <w:pStyle w:val="12"/>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auto"/>
                      <w:highlight w:val="none"/>
                      <w:lang w:val="en-US" w:eastAsia="zh-CN"/>
                    </w:rPr>
                  </w:pPr>
                  <w:r>
                    <w:rPr>
                      <w:rFonts w:hint="eastAsia"/>
                      <w:color w:val="auto"/>
                      <w:highlight w:val="none"/>
                      <w:lang w:val="en-US" w:eastAsia="zh-CN"/>
                    </w:rPr>
                    <w:t>废硅藻土、废饼粉袋装暂存至一般固废间定期</w:t>
                  </w:r>
                  <w:r>
                    <w:rPr>
                      <w:rFonts w:hint="eastAsia" w:cs="Times New Roman"/>
                      <w:b w:val="0"/>
                      <w:bCs/>
                      <w:color w:val="auto"/>
                      <w:sz w:val="21"/>
                      <w:szCs w:val="21"/>
                      <w:highlight w:val="none"/>
                      <w:vertAlign w:val="baseline"/>
                      <w:lang w:val="en-US" w:eastAsia="zh-CN"/>
                    </w:rPr>
                    <w:t>由硅藻土、饼粉供应商更换后拉运处理（拉运协议见附件7）</w:t>
                  </w:r>
                </w:p>
              </w:tc>
              <w:tc>
                <w:tcPr>
                  <w:tcW w:w="447" w:type="pct"/>
                  <w:vMerge w:val="continue"/>
                  <w:tcMar>
                    <w:top w:w="0" w:type="dxa"/>
                    <w:left w:w="108" w:type="dxa"/>
                    <w:bottom w:w="0" w:type="dxa"/>
                    <w:right w:w="108" w:type="dxa"/>
                  </w:tcMar>
                  <w:vAlign w:val="center"/>
                </w:tcPr>
                <w:p w14:paraId="0EA0B7B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highlight w:val="none"/>
                      <w:lang w:val="en-US" w:eastAsia="zh-CN" w:bidi="ar"/>
                    </w:rPr>
                  </w:pPr>
                </w:p>
              </w:tc>
            </w:tr>
            <w:tr w14:paraId="23D4E6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55D727D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465" w:type="pct"/>
                  <w:vMerge w:val="continue"/>
                  <w:tcMar>
                    <w:top w:w="0" w:type="dxa"/>
                    <w:left w:w="108" w:type="dxa"/>
                    <w:bottom w:w="0" w:type="dxa"/>
                    <w:right w:w="108" w:type="dxa"/>
                  </w:tcMar>
                  <w:vAlign w:val="center"/>
                </w:tcPr>
                <w:p w14:paraId="5260C3F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Cs w:val="21"/>
                      <w:highlight w:val="none"/>
                      <w:lang w:val="en-US" w:eastAsia="zh-CN"/>
                    </w:rPr>
                  </w:pPr>
                </w:p>
              </w:tc>
              <w:tc>
                <w:tcPr>
                  <w:tcW w:w="466" w:type="pct"/>
                  <w:vMerge w:val="continue"/>
                  <w:tcMar>
                    <w:top w:w="0" w:type="dxa"/>
                    <w:left w:w="108" w:type="dxa"/>
                    <w:bottom w:w="0" w:type="dxa"/>
                    <w:right w:w="108" w:type="dxa"/>
                  </w:tcMar>
                  <w:vAlign w:val="center"/>
                </w:tcPr>
                <w:p w14:paraId="169F71A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Cs w:val="21"/>
                      <w:highlight w:val="none"/>
                      <w:lang w:val="en-US" w:eastAsia="zh-CN"/>
                    </w:rPr>
                  </w:pPr>
                </w:p>
              </w:tc>
              <w:tc>
                <w:tcPr>
                  <w:tcW w:w="3159" w:type="pct"/>
                  <w:tcMar>
                    <w:top w:w="0" w:type="dxa"/>
                    <w:left w:w="108" w:type="dxa"/>
                    <w:bottom w:w="0" w:type="dxa"/>
                    <w:right w:w="108" w:type="dxa"/>
                  </w:tcMar>
                  <w:vAlign w:val="center"/>
                </w:tcPr>
                <w:p w14:paraId="0311C2F4">
                  <w:pPr>
                    <w:pStyle w:val="12"/>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auto"/>
                      <w:highlight w:val="none"/>
                      <w:lang w:val="en-US" w:eastAsia="zh-CN"/>
                    </w:rPr>
                  </w:pPr>
                  <w:r>
                    <w:rPr>
                      <w:rFonts w:hint="eastAsia"/>
                      <w:color w:val="auto"/>
                      <w:highlight w:val="none"/>
                      <w:lang w:val="en-US" w:eastAsia="zh-CN"/>
                    </w:rPr>
                    <w:t>除尘灰</w:t>
                  </w:r>
                  <w:r>
                    <w:rPr>
                      <w:rFonts w:hint="eastAsia" w:ascii="Times New Roman" w:eastAsia="宋体"/>
                      <w:color w:val="auto"/>
                      <w:highlight w:val="none"/>
                      <w:lang w:val="en-US" w:eastAsia="zh-CN"/>
                    </w:rPr>
                    <w:t>袋装暂存至一般固废间送</w:t>
                  </w:r>
                  <w:r>
                    <w:rPr>
                      <w:rFonts w:hint="eastAsia"/>
                      <w:color w:val="auto"/>
                      <w:highlight w:val="none"/>
                      <w:lang w:val="en-US" w:eastAsia="zh-CN"/>
                    </w:rPr>
                    <w:t>往饲料加工厂商作为饲料制造原料</w:t>
                  </w:r>
                </w:p>
              </w:tc>
              <w:tc>
                <w:tcPr>
                  <w:tcW w:w="447" w:type="pct"/>
                  <w:vMerge w:val="continue"/>
                  <w:tcMar>
                    <w:top w:w="0" w:type="dxa"/>
                    <w:left w:w="108" w:type="dxa"/>
                    <w:bottom w:w="0" w:type="dxa"/>
                    <w:right w:w="108" w:type="dxa"/>
                  </w:tcMar>
                  <w:vAlign w:val="center"/>
                </w:tcPr>
                <w:p w14:paraId="08E09D2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highlight w:val="none"/>
                      <w:lang w:val="en-US" w:eastAsia="zh-CN" w:bidi="ar"/>
                    </w:rPr>
                  </w:pPr>
                </w:p>
              </w:tc>
            </w:tr>
            <w:tr w14:paraId="5BAF36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302D035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465" w:type="pct"/>
                  <w:vMerge w:val="continue"/>
                  <w:tcMar>
                    <w:top w:w="0" w:type="dxa"/>
                    <w:left w:w="108" w:type="dxa"/>
                    <w:bottom w:w="0" w:type="dxa"/>
                    <w:right w:w="108" w:type="dxa"/>
                  </w:tcMar>
                  <w:vAlign w:val="center"/>
                </w:tcPr>
                <w:p w14:paraId="0BA8BD0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Cs w:val="21"/>
                      <w:highlight w:val="none"/>
                      <w:lang w:val="en-US" w:eastAsia="zh-CN"/>
                    </w:rPr>
                  </w:pPr>
                </w:p>
              </w:tc>
              <w:tc>
                <w:tcPr>
                  <w:tcW w:w="466" w:type="pct"/>
                  <w:vMerge w:val="restart"/>
                  <w:tcMar>
                    <w:top w:w="0" w:type="dxa"/>
                    <w:left w:w="108" w:type="dxa"/>
                    <w:bottom w:w="0" w:type="dxa"/>
                    <w:right w:w="108" w:type="dxa"/>
                  </w:tcMar>
                  <w:vAlign w:val="center"/>
                </w:tcPr>
                <w:p w14:paraId="5CF8002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危险废物</w:t>
                  </w:r>
                </w:p>
              </w:tc>
              <w:tc>
                <w:tcPr>
                  <w:tcW w:w="3159" w:type="pct"/>
                  <w:tcMar>
                    <w:top w:w="0" w:type="dxa"/>
                    <w:left w:w="108" w:type="dxa"/>
                    <w:bottom w:w="0" w:type="dxa"/>
                    <w:right w:w="108" w:type="dxa"/>
                  </w:tcMar>
                  <w:vAlign w:val="center"/>
                </w:tcPr>
                <w:p w14:paraId="730B4F21">
                  <w:pPr>
                    <w:pStyle w:val="12"/>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auto"/>
                      <w:highlight w:val="none"/>
                      <w:lang w:val="en-US" w:eastAsia="zh-CN"/>
                    </w:rPr>
                  </w:pPr>
                  <w:r>
                    <w:rPr>
                      <w:rFonts w:hint="eastAsia"/>
                      <w:color w:val="auto"/>
                      <w:highlight w:val="none"/>
                      <w:lang w:val="en-US" w:eastAsia="zh-CN"/>
                    </w:rPr>
                    <w:t>废导热油，根据市场监督管理局特种设备监督检验所的检验结果（酸值、粘度、闪点等指标）决定</w:t>
                  </w:r>
                  <w:r>
                    <w:rPr>
                      <w:rFonts w:hint="eastAsia" w:cs="Times New Roman"/>
                      <w:b w:val="0"/>
                      <w:bCs/>
                      <w:color w:val="auto"/>
                      <w:sz w:val="21"/>
                      <w:szCs w:val="21"/>
                      <w:highlight w:val="none"/>
                      <w:vertAlign w:val="baseline"/>
                      <w:lang w:val="en-US" w:eastAsia="zh-CN"/>
                    </w:rPr>
                    <w:t>，如有更换桶装暂存至厂区现有危废间送有资质单位处置</w:t>
                  </w:r>
                </w:p>
              </w:tc>
              <w:tc>
                <w:tcPr>
                  <w:tcW w:w="447" w:type="pct"/>
                  <w:vMerge w:val="restart"/>
                  <w:tcMar>
                    <w:top w:w="0" w:type="dxa"/>
                    <w:left w:w="108" w:type="dxa"/>
                    <w:bottom w:w="0" w:type="dxa"/>
                    <w:right w:w="108" w:type="dxa"/>
                  </w:tcMar>
                  <w:vAlign w:val="center"/>
                </w:tcPr>
                <w:p w14:paraId="6D855C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依托现有</w:t>
                  </w:r>
                </w:p>
              </w:tc>
            </w:tr>
            <w:tr w14:paraId="79AC89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3AAAB6D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465" w:type="pct"/>
                  <w:vMerge w:val="continue"/>
                  <w:tcMar>
                    <w:top w:w="0" w:type="dxa"/>
                    <w:left w:w="108" w:type="dxa"/>
                    <w:bottom w:w="0" w:type="dxa"/>
                    <w:right w:w="108" w:type="dxa"/>
                  </w:tcMar>
                  <w:vAlign w:val="center"/>
                </w:tcPr>
                <w:p w14:paraId="7826E9B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Cs w:val="21"/>
                      <w:highlight w:val="none"/>
                      <w:lang w:val="en-US" w:eastAsia="zh-CN"/>
                    </w:rPr>
                  </w:pPr>
                </w:p>
              </w:tc>
              <w:tc>
                <w:tcPr>
                  <w:tcW w:w="466" w:type="pct"/>
                  <w:vMerge w:val="continue"/>
                  <w:tcMar>
                    <w:top w:w="0" w:type="dxa"/>
                    <w:left w:w="108" w:type="dxa"/>
                    <w:bottom w:w="0" w:type="dxa"/>
                    <w:right w:w="108" w:type="dxa"/>
                  </w:tcMar>
                  <w:vAlign w:val="center"/>
                </w:tcPr>
                <w:p w14:paraId="2062243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Cs w:val="21"/>
                      <w:highlight w:val="none"/>
                      <w:lang w:val="en-US" w:eastAsia="zh-CN"/>
                    </w:rPr>
                  </w:pPr>
                </w:p>
              </w:tc>
              <w:tc>
                <w:tcPr>
                  <w:tcW w:w="3159" w:type="pct"/>
                  <w:tcMar>
                    <w:top w:w="0" w:type="dxa"/>
                    <w:left w:w="108" w:type="dxa"/>
                    <w:bottom w:w="0" w:type="dxa"/>
                    <w:right w:w="108" w:type="dxa"/>
                  </w:tcMar>
                  <w:vAlign w:val="center"/>
                </w:tcPr>
                <w:p w14:paraId="1BB5AFB0">
                  <w:pPr>
                    <w:pStyle w:val="12"/>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auto"/>
                      <w:highlight w:val="none"/>
                      <w:lang w:val="en-US" w:eastAsia="zh-CN"/>
                    </w:rPr>
                  </w:pPr>
                  <w:r>
                    <w:rPr>
                      <w:rFonts w:hint="eastAsia"/>
                      <w:color w:val="auto"/>
                      <w:highlight w:val="none"/>
                      <w:lang w:val="en-US" w:eastAsia="zh-CN"/>
                    </w:rPr>
                    <w:t>废润滑油，修理替换后的废润滑油桶装暂存至厂区现有危废间送有资质单位处置</w:t>
                  </w:r>
                </w:p>
              </w:tc>
              <w:tc>
                <w:tcPr>
                  <w:tcW w:w="447" w:type="pct"/>
                  <w:vMerge w:val="continue"/>
                  <w:tcMar>
                    <w:top w:w="0" w:type="dxa"/>
                    <w:left w:w="108" w:type="dxa"/>
                    <w:bottom w:w="0" w:type="dxa"/>
                    <w:right w:w="108" w:type="dxa"/>
                  </w:tcMar>
                  <w:vAlign w:val="center"/>
                </w:tcPr>
                <w:p w14:paraId="41DFDC4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highlight w:val="none"/>
                      <w:lang w:val="en-US" w:eastAsia="zh-CN" w:bidi="ar"/>
                    </w:rPr>
                  </w:pPr>
                </w:p>
              </w:tc>
            </w:tr>
            <w:tr w14:paraId="289569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7BF32FC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931" w:type="pct"/>
                  <w:gridSpan w:val="2"/>
                  <w:tcMar>
                    <w:top w:w="0" w:type="dxa"/>
                    <w:left w:w="108" w:type="dxa"/>
                    <w:bottom w:w="0" w:type="dxa"/>
                    <w:right w:w="108" w:type="dxa"/>
                  </w:tcMar>
                  <w:vAlign w:val="center"/>
                </w:tcPr>
                <w:p w14:paraId="630CA4B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噪声</w:t>
                  </w:r>
                </w:p>
              </w:tc>
              <w:tc>
                <w:tcPr>
                  <w:tcW w:w="3159" w:type="pct"/>
                  <w:tcMar>
                    <w:top w:w="0" w:type="dxa"/>
                    <w:left w:w="108" w:type="dxa"/>
                    <w:bottom w:w="0" w:type="dxa"/>
                    <w:right w:w="108" w:type="dxa"/>
                  </w:tcMar>
                  <w:vAlign w:val="center"/>
                </w:tcPr>
                <w:p w14:paraId="7D5788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选择低噪声设备、基础</w:t>
                  </w:r>
                  <w:r>
                    <w:rPr>
                      <w:rFonts w:hint="default" w:ascii="Times New Roman" w:hAnsi="Times New Roman" w:eastAsia="宋体" w:cs="Times New Roman"/>
                      <w:color w:val="auto"/>
                      <w:kern w:val="0"/>
                      <w:sz w:val="21"/>
                      <w:szCs w:val="21"/>
                      <w:highlight w:val="none"/>
                      <w:lang w:val="en-US" w:eastAsia="zh-CN" w:bidi="ar"/>
                    </w:rPr>
                    <w:t>减振、</w:t>
                  </w:r>
                  <w:r>
                    <w:rPr>
                      <w:rFonts w:hint="eastAsia" w:cs="Times New Roman"/>
                      <w:color w:val="auto"/>
                      <w:kern w:val="0"/>
                      <w:sz w:val="21"/>
                      <w:szCs w:val="21"/>
                      <w:highlight w:val="none"/>
                      <w:lang w:val="en-US" w:eastAsia="zh-CN" w:bidi="ar"/>
                    </w:rPr>
                    <w:t>车间封闭隔声处理</w:t>
                  </w:r>
                </w:p>
              </w:tc>
              <w:tc>
                <w:tcPr>
                  <w:tcW w:w="447" w:type="pct"/>
                  <w:tcMar>
                    <w:top w:w="0" w:type="dxa"/>
                    <w:left w:w="108" w:type="dxa"/>
                    <w:bottom w:w="0" w:type="dxa"/>
                    <w:right w:w="108" w:type="dxa"/>
                  </w:tcMar>
                  <w:vAlign w:val="center"/>
                </w:tcPr>
                <w:p w14:paraId="1096541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3D25B6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691ED6F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931" w:type="pct"/>
                  <w:gridSpan w:val="2"/>
                  <w:vMerge w:val="restart"/>
                  <w:tcMar>
                    <w:top w:w="0" w:type="dxa"/>
                    <w:left w:w="108" w:type="dxa"/>
                    <w:bottom w:w="0" w:type="dxa"/>
                    <w:right w:w="108" w:type="dxa"/>
                  </w:tcMar>
                  <w:vAlign w:val="center"/>
                </w:tcPr>
                <w:p w14:paraId="38BABC8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废气</w:t>
                  </w:r>
                </w:p>
              </w:tc>
              <w:tc>
                <w:tcPr>
                  <w:tcW w:w="3159" w:type="pct"/>
                  <w:tcMar>
                    <w:top w:w="0" w:type="dxa"/>
                    <w:left w:w="108" w:type="dxa"/>
                    <w:bottom w:w="0" w:type="dxa"/>
                    <w:right w:w="108" w:type="dxa"/>
                  </w:tcMar>
                  <w:vAlign w:val="center"/>
                </w:tcPr>
                <w:p w14:paraId="5FB6CB0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室外料胚储存筒仓进料口排气筒产生的颗粒物采用</w:t>
                  </w:r>
                  <w:r>
                    <w:rPr>
                      <w:rFonts w:hint="eastAsia" w:cs="Times New Roman"/>
                      <w:color w:val="auto"/>
                      <w:kern w:val="0"/>
                      <w:sz w:val="21"/>
                      <w:szCs w:val="21"/>
                      <w:highlight w:val="none"/>
                      <w:lang w:val="en-US" w:eastAsia="zh-CN" w:bidi="ar"/>
                    </w:rPr>
                    <w:t>1台旋风除尘器+1台布袋除尘器处理后经1根15米高的排气筒排放</w:t>
                  </w:r>
                </w:p>
              </w:tc>
              <w:tc>
                <w:tcPr>
                  <w:tcW w:w="447" w:type="pct"/>
                  <w:tcMar>
                    <w:top w:w="0" w:type="dxa"/>
                    <w:left w:w="108" w:type="dxa"/>
                    <w:bottom w:w="0" w:type="dxa"/>
                    <w:right w:w="108" w:type="dxa"/>
                  </w:tcMar>
                  <w:vAlign w:val="center"/>
                </w:tcPr>
                <w:p w14:paraId="6989C3D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新建</w:t>
                  </w:r>
                </w:p>
              </w:tc>
            </w:tr>
            <w:tr w14:paraId="712C99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72A6F99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931" w:type="pct"/>
                  <w:gridSpan w:val="2"/>
                  <w:vMerge w:val="continue"/>
                  <w:tcMar>
                    <w:top w:w="0" w:type="dxa"/>
                    <w:left w:w="108" w:type="dxa"/>
                    <w:bottom w:w="0" w:type="dxa"/>
                    <w:right w:w="108" w:type="dxa"/>
                  </w:tcMar>
                  <w:vAlign w:val="center"/>
                </w:tcPr>
                <w:p w14:paraId="36DE001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3159" w:type="pct"/>
                  <w:tcMar>
                    <w:top w:w="0" w:type="dxa"/>
                    <w:left w:w="108" w:type="dxa"/>
                    <w:bottom w:w="0" w:type="dxa"/>
                    <w:right w:w="108" w:type="dxa"/>
                  </w:tcMar>
                  <w:vAlign w:val="center"/>
                </w:tcPr>
                <w:p w14:paraId="3B0D87E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提升机运输产生的颗粒物，生产车间全封闭，无组织排放</w:t>
                  </w:r>
                </w:p>
              </w:tc>
              <w:tc>
                <w:tcPr>
                  <w:tcW w:w="447" w:type="pct"/>
                  <w:tcMar>
                    <w:top w:w="0" w:type="dxa"/>
                    <w:left w:w="108" w:type="dxa"/>
                    <w:bottom w:w="0" w:type="dxa"/>
                    <w:right w:w="108" w:type="dxa"/>
                  </w:tcMar>
                  <w:vAlign w:val="center"/>
                </w:tcPr>
                <w:p w14:paraId="2F7C7D3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747475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643E4FD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931" w:type="pct"/>
                  <w:gridSpan w:val="2"/>
                  <w:vMerge w:val="continue"/>
                  <w:tcMar>
                    <w:top w:w="0" w:type="dxa"/>
                    <w:left w:w="108" w:type="dxa"/>
                    <w:bottom w:w="0" w:type="dxa"/>
                    <w:right w:w="108" w:type="dxa"/>
                  </w:tcMar>
                  <w:vAlign w:val="center"/>
                </w:tcPr>
                <w:p w14:paraId="0B0E450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3159" w:type="pct"/>
                  <w:tcMar>
                    <w:top w:w="0" w:type="dxa"/>
                    <w:left w:w="108" w:type="dxa"/>
                    <w:bottom w:w="0" w:type="dxa"/>
                    <w:right w:w="108" w:type="dxa"/>
                  </w:tcMar>
                  <w:vAlign w:val="center"/>
                </w:tcPr>
                <w:p w14:paraId="16AA080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清理除杂过程中产生的颗粒物，生产设备全封闭，无组织排放</w:t>
                  </w:r>
                </w:p>
              </w:tc>
              <w:tc>
                <w:tcPr>
                  <w:tcW w:w="447" w:type="pct"/>
                  <w:tcMar>
                    <w:top w:w="0" w:type="dxa"/>
                    <w:left w:w="108" w:type="dxa"/>
                    <w:bottom w:w="0" w:type="dxa"/>
                    <w:right w:w="108" w:type="dxa"/>
                  </w:tcMar>
                  <w:vAlign w:val="center"/>
                </w:tcPr>
                <w:p w14:paraId="332579A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63D141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26AAC6D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931" w:type="pct"/>
                  <w:gridSpan w:val="2"/>
                  <w:vMerge w:val="continue"/>
                  <w:tcMar>
                    <w:top w:w="0" w:type="dxa"/>
                    <w:left w:w="108" w:type="dxa"/>
                    <w:bottom w:w="0" w:type="dxa"/>
                    <w:right w:w="108" w:type="dxa"/>
                  </w:tcMar>
                  <w:vAlign w:val="center"/>
                </w:tcPr>
                <w:p w14:paraId="49E79D5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3159" w:type="pct"/>
                  <w:tcMar>
                    <w:top w:w="0" w:type="dxa"/>
                    <w:left w:w="108" w:type="dxa"/>
                    <w:bottom w:w="0" w:type="dxa"/>
                    <w:right w:w="108" w:type="dxa"/>
                  </w:tcMar>
                  <w:vAlign w:val="center"/>
                </w:tcPr>
                <w:p w14:paraId="2F775D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粉碎机封闭 设有可视窗口以便观察粉碎情况，物料通过与之连接的封闭管道输送。产生的颗粒物无组织排放</w:t>
                  </w:r>
                </w:p>
              </w:tc>
              <w:tc>
                <w:tcPr>
                  <w:tcW w:w="447" w:type="pct"/>
                  <w:tcMar>
                    <w:top w:w="0" w:type="dxa"/>
                    <w:left w:w="108" w:type="dxa"/>
                    <w:bottom w:w="0" w:type="dxa"/>
                    <w:right w:w="108" w:type="dxa"/>
                  </w:tcMar>
                  <w:vAlign w:val="center"/>
                </w:tcPr>
                <w:p w14:paraId="5D98AF8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50028D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4C3E7D3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931" w:type="pct"/>
                  <w:gridSpan w:val="2"/>
                  <w:vMerge w:val="continue"/>
                  <w:tcMar>
                    <w:top w:w="0" w:type="dxa"/>
                    <w:left w:w="108" w:type="dxa"/>
                    <w:bottom w:w="0" w:type="dxa"/>
                    <w:right w:w="108" w:type="dxa"/>
                  </w:tcMar>
                  <w:vAlign w:val="center"/>
                </w:tcPr>
                <w:p w14:paraId="3FFEAD5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3159" w:type="pct"/>
                  <w:tcMar>
                    <w:top w:w="0" w:type="dxa"/>
                    <w:left w:w="108" w:type="dxa"/>
                    <w:bottom w:w="0" w:type="dxa"/>
                    <w:right w:w="108" w:type="dxa"/>
                  </w:tcMar>
                  <w:vAlign w:val="center"/>
                </w:tcPr>
                <w:p w14:paraId="296B19B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在线筒仓封闭设置，物料通过与之连接的封闭管道输送。产生的颗粒物无组织排放</w:t>
                  </w:r>
                </w:p>
              </w:tc>
              <w:tc>
                <w:tcPr>
                  <w:tcW w:w="447" w:type="pct"/>
                  <w:tcMar>
                    <w:top w:w="0" w:type="dxa"/>
                    <w:left w:w="108" w:type="dxa"/>
                    <w:bottom w:w="0" w:type="dxa"/>
                    <w:right w:w="108" w:type="dxa"/>
                  </w:tcMar>
                  <w:vAlign w:val="center"/>
                </w:tcPr>
                <w:p w14:paraId="608698A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0DA75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2088C07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931" w:type="pct"/>
                  <w:gridSpan w:val="2"/>
                  <w:vMerge w:val="continue"/>
                  <w:tcMar>
                    <w:top w:w="0" w:type="dxa"/>
                    <w:left w:w="108" w:type="dxa"/>
                    <w:bottom w:w="0" w:type="dxa"/>
                    <w:right w:w="108" w:type="dxa"/>
                  </w:tcMar>
                  <w:vAlign w:val="center"/>
                </w:tcPr>
                <w:p w14:paraId="216C082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3159" w:type="pct"/>
                  <w:tcMar>
                    <w:top w:w="0" w:type="dxa"/>
                    <w:left w:w="108" w:type="dxa"/>
                    <w:bottom w:w="0" w:type="dxa"/>
                    <w:right w:w="108" w:type="dxa"/>
                  </w:tcMar>
                  <w:vAlign w:val="center"/>
                </w:tcPr>
                <w:p w14:paraId="5B88441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热萃取过程设备全封闭，产生的挥发性有机物无组织排放</w:t>
                  </w:r>
                </w:p>
              </w:tc>
              <w:tc>
                <w:tcPr>
                  <w:tcW w:w="447" w:type="pct"/>
                  <w:tcMar>
                    <w:top w:w="0" w:type="dxa"/>
                    <w:left w:w="108" w:type="dxa"/>
                    <w:bottom w:w="0" w:type="dxa"/>
                    <w:right w:w="108" w:type="dxa"/>
                  </w:tcMar>
                  <w:vAlign w:val="center"/>
                </w:tcPr>
                <w:p w14:paraId="7EE1CAF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08682B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61" w:type="pct"/>
                  <w:vMerge w:val="continue"/>
                  <w:tcMar>
                    <w:top w:w="0" w:type="dxa"/>
                    <w:left w:w="108" w:type="dxa"/>
                    <w:bottom w:w="0" w:type="dxa"/>
                    <w:right w:w="108" w:type="dxa"/>
                  </w:tcMar>
                  <w:vAlign w:val="center"/>
                </w:tcPr>
                <w:p w14:paraId="1C137AF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Cs w:val="21"/>
                      <w:highlight w:val="none"/>
                    </w:rPr>
                  </w:pPr>
                </w:p>
              </w:tc>
              <w:tc>
                <w:tcPr>
                  <w:tcW w:w="931" w:type="pct"/>
                  <w:gridSpan w:val="2"/>
                  <w:tcMar>
                    <w:top w:w="0" w:type="dxa"/>
                    <w:left w:w="108" w:type="dxa"/>
                    <w:bottom w:w="0" w:type="dxa"/>
                    <w:right w:w="108" w:type="dxa"/>
                  </w:tcMar>
                  <w:vAlign w:val="center"/>
                </w:tcPr>
                <w:p w14:paraId="107C2D1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防渗</w:t>
                  </w:r>
                </w:p>
              </w:tc>
              <w:tc>
                <w:tcPr>
                  <w:tcW w:w="3159" w:type="pct"/>
                  <w:tcMar>
                    <w:top w:w="0" w:type="dxa"/>
                    <w:left w:w="108" w:type="dxa"/>
                    <w:bottom w:w="0" w:type="dxa"/>
                    <w:right w:w="108" w:type="dxa"/>
                  </w:tcMar>
                  <w:vAlign w:val="center"/>
                </w:tcPr>
                <w:p w14:paraId="4690442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对生产车间地面进行混凝土硬化防渗设置，避免土壤环境污染。</w:t>
                  </w:r>
                </w:p>
              </w:tc>
              <w:tc>
                <w:tcPr>
                  <w:tcW w:w="447" w:type="pct"/>
                  <w:tcMar>
                    <w:top w:w="0" w:type="dxa"/>
                    <w:left w:w="108" w:type="dxa"/>
                    <w:bottom w:w="0" w:type="dxa"/>
                    <w:right w:w="108" w:type="dxa"/>
                  </w:tcMar>
                  <w:vAlign w:val="center"/>
                </w:tcPr>
                <w:p w14:paraId="0D5D2BB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利旧</w:t>
                  </w:r>
                </w:p>
              </w:tc>
            </w:tr>
          </w:tbl>
          <w:p w14:paraId="64BB8CF6">
            <w:pPr>
              <w:keepNext w:val="0"/>
              <w:keepLines w:val="0"/>
              <w:pageBreakBefore w:val="0"/>
              <w:kinsoku/>
              <w:wordWrap/>
              <w:overflowPunct/>
              <w:topLinePunct w:val="0"/>
              <w:autoSpaceDE/>
              <w:autoSpaceDN/>
              <w:bidi w:val="0"/>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9、</w:t>
            </w:r>
            <w:r>
              <w:rPr>
                <w:rFonts w:hint="default" w:ascii="Times New Roman" w:hAnsi="Times New Roman" w:eastAsia="宋体" w:cs="Times New Roman"/>
                <w:b/>
                <w:color w:val="auto"/>
                <w:sz w:val="24"/>
                <w:szCs w:val="24"/>
                <w:highlight w:val="none"/>
              </w:rPr>
              <w:t>原辅材料及能源消耗</w:t>
            </w:r>
          </w:p>
          <w:p w14:paraId="36D44313">
            <w:pPr>
              <w:keepNext w:val="0"/>
              <w:keepLines w:val="0"/>
              <w:pageBreakBefore w:val="0"/>
              <w:kinsoku/>
              <w:wordWrap/>
              <w:overflowPunct/>
              <w:topLinePunct w:val="0"/>
              <w:autoSpaceDE/>
              <w:autoSpaceDN/>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经生产建设单位提供资料本项目原料为</w:t>
            </w:r>
            <w:r>
              <w:rPr>
                <w:rFonts w:hint="eastAsia" w:cs="Times New Roman"/>
                <w:color w:val="auto"/>
                <w:sz w:val="24"/>
                <w:szCs w:val="24"/>
                <w:highlight w:val="none"/>
                <w:lang w:val="en-US" w:eastAsia="zh-CN"/>
              </w:rPr>
              <w:t>葵花籽</w:t>
            </w:r>
            <w:r>
              <w:rPr>
                <w:rFonts w:hint="default" w:ascii="Times New Roman" w:hAnsi="Times New Roman" w:eastAsia="宋体" w:cs="Times New Roman"/>
                <w:color w:val="auto"/>
                <w:sz w:val="24"/>
                <w:szCs w:val="24"/>
                <w:highlight w:val="none"/>
                <w:lang w:val="en-US" w:eastAsia="zh-CN"/>
              </w:rPr>
              <w:t>和</w:t>
            </w:r>
            <w:r>
              <w:rPr>
                <w:rFonts w:hint="eastAsia" w:cs="Times New Roman"/>
                <w:color w:val="auto"/>
                <w:sz w:val="24"/>
                <w:szCs w:val="24"/>
                <w:highlight w:val="none"/>
                <w:lang w:val="en-US" w:eastAsia="zh-CN"/>
              </w:rPr>
              <w:t>玉米胚芽</w:t>
            </w:r>
            <w:r>
              <w:rPr>
                <w:rFonts w:hint="default" w:ascii="Times New Roman" w:hAnsi="Times New Roman" w:eastAsia="宋体" w:cs="Times New Roman"/>
                <w:color w:val="auto"/>
                <w:sz w:val="24"/>
                <w:szCs w:val="24"/>
                <w:highlight w:val="none"/>
                <w:lang w:val="en-US" w:eastAsia="zh-CN"/>
              </w:rPr>
              <w:t>，年用量见下表，运输采用社会车辆。项目各原辅材料及能源消耗情况如下</w:t>
            </w:r>
          </w:p>
          <w:p w14:paraId="14DF07BA">
            <w:pPr>
              <w:keepNext w:val="0"/>
              <w:keepLines w:val="0"/>
              <w:pageBreakBefore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rPr>
              <w:t>表2-</w:t>
            </w:r>
            <w:r>
              <w:rPr>
                <w:rFonts w:hint="eastAsia"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rPr>
              <w:t xml:space="preserve">    项目原辅材料</w:t>
            </w:r>
            <w:r>
              <w:rPr>
                <w:rFonts w:hint="eastAsia" w:cs="Times New Roman"/>
                <w:b/>
                <w:color w:val="auto"/>
                <w:sz w:val="24"/>
                <w:szCs w:val="24"/>
                <w:highlight w:val="none"/>
                <w:lang w:val="en-US" w:eastAsia="zh-CN"/>
              </w:rPr>
              <w:t>消耗</w:t>
            </w:r>
            <w:r>
              <w:rPr>
                <w:rFonts w:hint="default" w:ascii="Times New Roman" w:hAnsi="Times New Roman" w:eastAsia="宋体" w:cs="Times New Roman"/>
                <w:b/>
                <w:color w:val="auto"/>
                <w:sz w:val="24"/>
                <w:szCs w:val="24"/>
                <w:highlight w:val="none"/>
              </w:rPr>
              <w:t>情况一览表</w:t>
            </w:r>
          </w:p>
          <w:tbl>
            <w:tblPr>
              <w:tblStyle w:val="22"/>
              <w:tblW w:w="79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2490"/>
              <w:gridCol w:w="1155"/>
              <w:gridCol w:w="930"/>
              <w:gridCol w:w="2692"/>
            </w:tblGrid>
            <w:tr w14:paraId="27942D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651" w:type="dxa"/>
                  <w:tcBorders>
                    <w:tl2br w:val="nil"/>
                    <w:tr2bl w:val="nil"/>
                  </w:tcBorders>
                  <w:vAlign w:val="center"/>
                </w:tcPr>
                <w:p w14:paraId="439E356F">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序号</w:t>
                  </w:r>
                </w:p>
              </w:tc>
              <w:tc>
                <w:tcPr>
                  <w:tcW w:w="2490" w:type="dxa"/>
                  <w:tcBorders>
                    <w:tl2br w:val="nil"/>
                    <w:tr2bl w:val="nil"/>
                  </w:tcBorders>
                  <w:vAlign w:val="center"/>
                </w:tcPr>
                <w:p w14:paraId="5726A5CF">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主要原辅材料名称</w:t>
                  </w:r>
                </w:p>
              </w:tc>
              <w:tc>
                <w:tcPr>
                  <w:tcW w:w="1155" w:type="dxa"/>
                  <w:tcBorders>
                    <w:tl2br w:val="nil"/>
                    <w:tr2bl w:val="nil"/>
                  </w:tcBorders>
                  <w:vAlign w:val="center"/>
                </w:tcPr>
                <w:p w14:paraId="1DCF329F">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单位</w:t>
                  </w:r>
                </w:p>
              </w:tc>
              <w:tc>
                <w:tcPr>
                  <w:tcW w:w="930" w:type="dxa"/>
                  <w:tcBorders>
                    <w:tl2br w:val="nil"/>
                    <w:tr2bl w:val="nil"/>
                  </w:tcBorders>
                  <w:vAlign w:val="center"/>
                </w:tcPr>
                <w:p w14:paraId="1DC20365">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年最大使</w:t>
                  </w:r>
                  <w:r>
                    <w:rPr>
                      <w:rFonts w:hint="default" w:ascii="Times New Roman" w:hAnsi="Times New Roman" w:eastAsia="宋体" w:cs="Times New Roman"/>
                      <w:b/>
                      <w:bCs/>
                      <w:color w:val="auto"/>
                      <w:sz w:val="21"/>
                      <w:szCs w:val="21"/>
                      <w:highlight w:val="none"/>
                      <w:vertAlign w:val="baseline"/>
                      <w:lang w:val="en-US" w:eastAsia="zh-CN"/>
                    </w:rPr>
                    <w:t>用量</w:t>
                  </w:r>
                </w:p>
              </w:tc>
              <w:tc>
                <w:tcPr>
                  <w:tcW w:w="2692" w:type="dxa"/>
                  <w:tcBorders>
                    <w:tl2br w:val="nil"/>
                    <w:tr2bl w:val="nil"/>
                  </w:tcBorders>
                  <w:vAlign w:val="center"/>
                </w:tcPr>
                <w:p w14:paraId="0DBEF51F">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备注</w:t>
                  </w:r>
                </w:p>
              </w:tc>
            </w:tr>
            <w:tr w14:paraId="42D5A1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918" w:type="dxa"/>
                  <w:gridSpan w:val="5"/>
                  <w:tcBorders>
                    <w:tl2br w:val="nil"/>
                    <w:tr2bl w:val="nil"/>
                  </w:tcBorders>
                  <w:vAlign w:val="center"/>
                </w:tcPr>
                <w:p w14:paraId="44AD21EC">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主料</w:t>
                  </w:r>
                </w:p>
              </w:tc>
            </w:tr>
            <w:tr w14:paraId="3C57CA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82" w:hRule="atLeast"/>
                <w:jc w:val="center"/>
              </w:trPr>
              <w:tc>
                <w:tcPr>
                  <w:tcW w:w="651" w:type="dxa"/>
                  <w:tcBorders>
                    <w:tl2br w:val="nil"/>
                    <w:tr2bl w:val="nil"/>
                  </w:tcBorders>
                  <w:vAlign w:val="center"/>
                </w:tcPr>
                <w:p w14:paraId="77B71D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w:t>
                  </w:r>
                </w:p>
              </w:tc>
              <w:tc>
                <w:tcPr>
                  <w:tcW w:w="2490" w:type="dxa"/>
                  <w:tcBorders>
                    <w:tl2br w:val="nil"/>
                    <w:tr2bl w:val="nil"/>
                  </w:tcBorders>
                  <w:vAlign w:val="center"/>
                </w:tcPr>
                <w:p w14:paraId="4C9E0FE6">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一级葵花油（精炼油）</w:t>
                  </w:r>
                </w:p>
              </w:tc>
              <w:tc>
                <w:tcPr>
                  <w:tcW w:w="1155" w:type="dxa"/>
                  <w:tcBorders>
                    <w:tl2br w:val="nil"/>
                    <w:tr2bl w:val="nil"/>
                  </w:tcBorders>
                  <w:vAlign w:val="center"/>
                </w:tcPr>
                <w:p w14:paraId="6B94E187">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930" w:type="dxa"/>
                  <w:tcBorders>
                    <w:tl2br w:val="nil"/>
                    <w:tr2bl w:val="nil"/>
                  </w:tcBorders>
                  <w:vAlign w:val="center"/>
                </w:tcPr>
                <w:p w14:paraId="282FF761">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1200</w:t>
                  </w:r>
                </w:p>
              </w:tc>
              <w:tc>
                <w:tcPr>
                  <w:tcW w:w="2692" w:type="dxa"/>
                  <w:vMerge w:val="restart"/>
                  <w:tcBorders>
                    <w:tl2br w:val="nil"/>
                    <w:tr2bl w:val="nil"/>
                  </w:tcBorders>
                  <w:vAlign w:val="center"/>
                </w:tcPr>
                <w:p w14:paraId="695E0327">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由精炼车间输送至一级油储存罐</w:t>
                  </w:r>
                </w:p>
              </w:tc>
            </w:tr>
            <w:tr w14:paraId="125DF4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82" w:hRule="atLeast"/>
                <w:jc w:val="center"/>
              </w:trPr>
              <w:tc>
                <w:tcPr>
                  <w:tcW w:w="651" w:type="dxa"/>
                  <w:tcBorders>
                    <w:tl2br w:val="nil"/>
                    <w:tr2bl w:val="nil"/>
                  </w:tcBorders>
                  <w:vAlign w:val="center"/>
                </w:tcPr>
                <w:p w14:paraId="473B1C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w:t>
                  </w:r>
                </w:p>
              </w:tc>
              <w:tc>
                <w:tcPr>
                  <w:tcW w:w="2490" w:type="dxa"/>
                  <w:tcBorders>
                    <w:tl2br w:val="nil"/>
                    <w:tr2bl w:val="nil"/>
                  </w:tcBorders>
                  <w:vAlign w:val="center"/>
                </w:tcPr>
                <w:p w14:paraId="5480BDF4">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一级玉米油（精炼油）</w:t>
                  </w:r>
                </w:p>
              </w:tc>
              <w:tc>
                <w:tcPr>
                  <w:tcW w:w="1155" w:type="dxa"/>
                  <w:tcBorders>
                    <w:tl2br w:val="nil"/>
                    <w:tr2bl w:val="nil"/>
                  </w:tcBorders>
                  <w:vAlign w:val="center"/>
                </w:tcPr>
                <w:p w14:paraId="63E3B5AF">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t/a</w:t>
                  </w:r>
                </w:p>
              </w:tc>
              <w:tc>
                <w:tcPr>
                  <w:tcW w:w="930" w:type="dxa"/>
                  <w:tcBorders>
                    <w:tl2br w:val="nil"/>
                    <w:tr2bl w:val="nil"/>
                  </w:tcBorders>
                  <w:vAlign w:val="center"/>
                </w:tcPr>
                <w:p w14:paraId="1E945AD7">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1200</w:t>
                  </w:r>
                </w:p>
              </w:tc>
              <w:tc>
                <w:tcPr>
                  <w:tcW w:w="2692" w:type="dxa"/>
                  <w:vMerge w:val="continue"/>
                  <w:tcBorders>
                    <w:tl2br w:val="nil"/>
                    <w:tr2bl w:val="nil"/>
                  </w:tcBorders>
                  <w:vAlign w:val="center"/>
                </w:tcPr>
                <w:p w14:paraId="6131E9F3">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eastAsia" w:cs="Times New Roman"/>
                      <w:b w:val="0"/>
                      <w:bCs w:val="0"/>
                      <w:color w:val="auto"/>
                      <w:sz w:val="21"/>
                      <w:szCs w:val="21"/>
                      <w:highlight w:val="none"/>
                      <w:vertAlign w:val="baseline"/>
                      <w:lang w:val="en-US" w:eastAsia="zh-CN"/>
                    </w:rPr>
                  </w:pPr>
                </w:p>
              </w:tc>
            </w:tr>
            <w:tr w14:paraId="3B7C69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51" w:type="dxa"/>
                  <w:tcBorders>
                    <w:tl2br w:val="nil"/>
                    <w:tr2bl w:val="nil"/>
                  </w:tcBorders>
                  <w:vAlign w:val="center"/>
                </w:tcPr>
                <w:p w14:paraId="3E70D7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3</w:t>
                  </w:r>
                </w:p>
              </w:tc>
              <w:tc>
                <w:tcPr>
                  <w:tcW w:w="2490" w:type="dxa"/>
                  <w:tcBorders>
                    <w:tl2br w:val="nil"/>
                    <w:tr2bl w:val="nil"/>
                  </w:tcBorders>
                  <w:vAlign w:val="center"/>
                </w:tcPr>
                <w:p w14:paraId="14EACDA9">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葵花籽（带壳）</w:t>
                  </w:r>
                </w:p>
              </w:tc>
              <w:tc>
                <w:tcPr>
                  <w:tcW w:w="1155" w:type="dxa"/>
                  <w:tcBorders>
                    <w:tl2br w:val="nil"/>
                    <w:tr2bl w:val="nil"/>
                  </w:tcBorders>
                  <w:vAlign w:val="center"/>
                </w:tcPr>
                <w:p w14:paraId="5C17B3ED">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930" w:type="dxa"/>
                  <w:tcBorders>
                    <w:tl2br w:val="nil"/>
                    <w:tr2bl w:val="nil"/>
                  </w:tcBorders>
                  <w:vAlign w:val="center"/>
                </w:tcPr>
                <w:p w14:paraId="014528B6">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695</w:t>
                  </w:r>
                </w:p>
              </w:tc>
              <w:tc>
                <w:tcPr>
                  <w:tcW w:w="2692" w:type="dxa"/>
                  <w:vMerge w:val="restart"/>
                  <w:tcBorders>
                    <w:tl2br w:val="nil"/>
                    <w:tr2bl w:val="nil"/>
                  </w:tcBorders>
                  <w:vAlign w:val="center"/>
                </w:tcPr>
                <w:p w14:paraId="2AD19279">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散装外购，储存于原辅料暂存库及室外原料储存罐，即用即买不在厂内大量存放</w:t>
                  </w:r>
                </w:p>
              </w:tc>
            </w:tr>
            <w:tr w14:paraId="537B79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51" w:type="dxa"/>
                  <w:tcBorders>
                    <w:tl2br w:val="nil"/>
                    <w:tr2bl w:val="nil"/>
                  </w:tcBorders>
                  <w:vAlign w:val="center"/>
                </w:tcPr>
                <w:p w14:paraId="13AE67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4</w:t>
                  </w:r>
                </w:p>
              </w:tc>
              <w:tc>
                <w:tcPr>
                  <w:tcW w:w="2490" w:type="dxa"/>
                  <w:tcBorders>
                    <w:tl2br w:val="nil"/>
                    <w:tr2bl w:val="nil"/>
                  </w:tcBorders>
                  <w:vAlign w:val="center"/>
                </w:tcPr>
                <w:p w14:paraId="443E1FC5">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玉米胚芽（干）</w:t>
                  </w:r>
                </w:p>
              </w:tc>
              <w:tc>
                <w:tcPr>
                  <w:tcW w:w="1155" w:type="dxa"/>
                  <w:tcBorders>
                    <w:tl2br w:val="nil"/>
                    <w:tr2bl w:val="nil"/>
                  </w:tcBorders>
                  <w:vAlign w:val="center"/>
                </w:tcPr>
                <w:p w14:paraId="1A9B229D">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930" w:type="dxa"/>
                  <w:tcBorders>
                    <w:tl2br w:val="nil"/>
                    <w:tr2bl w:val="nil"/>
                  </w:tcBorders>
                  <w:vAlign w:val="center"/>
                </w:tcPr>
                <w:p w14:paraId="425EE07E">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790</w:t>
                  </w:r>
                </w:p>
              </w:tc>
              <w:tc>
                <w:tcPr>
                  <w:tcW w:w="2692" w:type="dxa"/>
                  <w:vMerge w:val="continue"/>
                  <w:tcBorders>
                    <w:tl2br w:val="nil"/>
                    <w:tr2bl w:val="nil"/>
                  </w:tcBorders>
                  <w:vAlign w:val="center"/>
                </w:tcPr>
                <w:p w14:paraId="67DF6CE1">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eastAsia" w:cs="Times New Roman"/>
                      <w:b w:val="0"/>
                      <w:bCs w:val="0"/>
                      <w:color w:val="auto"/>
                      <w:sz w:val="21"/>
                      <w:szCs w:val="21"/>
                      <w:highlight w:val="none"/>
                      <w:vertAlign w:val="baseline"/>
                      <w:lang w:val="en-US" w:eastAsia="zh-CN"/>
                    </w:rPr>
                  </w:pPr>
                </w:p>
              </w:tc>
            </w:tr>
            <w:tr w14:paraId="1D6195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1" w:hRule="atLeast"/>
                <w:jc w:val="center"/>
              </w:trPr>
              <w:tc>
                <w:tcPr>
                  <w:tcW w:w="7918" w:type="dxa"/>
                  <w:gridSpan w:val="5"/>
                  <w:tcBorders>
                    <w:tl2br w:val="nil"/>
                    <w:tr2bl w:val="nil"/>
                  </w:tcBorders>
                  <w:vAlign w:val="center"/>
                </w:tcPr>
                <w:p w14:paraId="094D46E5">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辅料</w:t>
                  </w:r>
                </w:p>
              </w:tc>
            </w:tr>
            <w:tr w14:paraId="53CAB3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01" w:hRule="atLeast"/>
                <w:jc w:val="center"/>
              </w:trPr>
              <w:tc>
                <w:tcPr>
                  <w:tcW w:w="651" w:type="dxa"/>
                  <w:tcBorders>
                    <w:tl2br w:val="nil"/>
                    <w:tr2bl w:val="nil"/>
                  </w:tcBorders>
                  <w:vAlign w:val="center"/>
                </w:tcPr>
                <w:p w14:paraId="27E715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w:t>
                  </w:r>
                </w:p>
              </w:tc>
              <w:tc>
                <w:tcPr>
                  <w:tcW w:w="2490" w:type="dxa"/>
                  <w:tcBorders>
                    <w:tl2br w:val="nil"/>
                    <w:tr2bl w:val="nil"/>
                  </w:tcBorders>
                  <w:vAlign w:val="center"/>
                </w:tcPr>
                <w:p w14:paraId="21878A49">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硅藻土</w:t>
                  </w:r>
                </w:p>
              </w:tc>
              <w:tc>
                <w:tcPr>
                  <w:tcW w:w="1155" w:type="dxa"/>
                  <w:tcBorders>
                    <w:tl2br w:val="nil"/>
                    <w:tr2bl w:val="nil"/>
                  </w:tcBorders>
                  <w:vAlign w:val="center"/>
                </w:tcPr>
                <w:p w14:paraId="2AF4CD09">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t/a</w:t>
                  </w:r>
                </w:p>
              </w:tc>
              <w:tc>
                <w:tcPr>
                  <w:tcW w:w="930" w:type="dxa"/>
                  <w:tcBorders>
                    <w:tl2br w:val="nil"/>
                    <w:tr2bl w:val="nil"/>
                  </w:tcBorders>
                  <w:vAlign w:val="center"/>
                </w:tcPr>
                <w:p w14:paraId="37D4D58D">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8</w:t>
                  </w:r>
                </w:p>
              </w:tc>
              <w:tc>
                <w:tcPr>
                  <w:tcW w:w="2692" w:type="dxa"/>
                  <w:vMerge w:val="restart"/>
                  <w:tcBorders>
                    <w:tl2br w:val="nil"/>
                    <w:tr2bl w:val="nil"/>
                  </w:tcBorders>
                  <w:vAlign w:val="center"/>
                </w:tcPr>
                <w:p w14:paraId="66794F75">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外购，储存于</w:t>
                  </w:r>
                  <w:r>
                    <w:rPr>
                      <w:rFonts w:hint="eastAsia" w:cs="Times New Roman"/>
                      <w:color w:val="auto"/>
                      <w:sz w:val="21"/>
                      <w:szCs w:val="21"/>
                      <w:highlight w:val="none"/>
                      <w:lang w:val="en-US" w:eastAsia="zh-CN"/>
                    </w:rPr>
                    <w:t>原辅料暂存库</w:t>
                  </w:r>
                </w:p>
              </w:tc>
            </w:tr>
            <w:tr w14:paraId="49469E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651" w:type="dxa"/>
                  <w:tcBorders>
                    <w:tl2br w:val="nil"/>
                    <w:tr2bl w:val="nil"/>
                  </w:tcBorders>
                  <w:vAlign w:val="center"/>
                </w:tcPr>
                <w:p w14:paraId="5DC21F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w:t>
                  </w:r>
                </w:p>
              </w:tc>
              <w:tc>
                <w:tcPr>
                  <w:tcW w:w="2490" w:type="dxa"/>
                  <w:tcBorders>
                    <w:tl2br w:val="nil"/>
                    <w:tr2bl w:val="nil"/>
                  </w:tcBorders>
                  <w:vAlign w:val="center"/>
                </w:tcPr>
                <w:p w14:paraId="29527F7B">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饼粉</w:t>
                  </w:r>
                </w:p>
              </w:tc>
              <w:tc>
                <w:tcPr>
                  <w:tcW w:w="1155" w:type="dxa"/>
                  <w:tcBorders>
                    <w:tl2br w:val="nil"/>
                    <w:tr2bl w:val="nil"/>
                  </w:tcBorders>
                  <w:vAlign w:val="center"/>
                </w:tcPr>
                <w:p w14:paraId="61D61288">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t/a</w:t>
                  </w:r>
                </w:p>
              </w:tc>
              <w:tc>
                <w:tcPr>
                  <w:tcW w:w="930" w:type="dxa"/>
                  <w:tcBorders>
                    <w:tl2br w:val="nil"/>
                    <w:tr2bl w:val="nil"/>
                  </w:tcBorders>
                  <w:vAlign w:val="center"/>
                </w:tcPr>
                <w:p w14:paraId="0604B4BA">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5</w:t>
                  </w:r>
                </w:p>
              </w:tc>
              <w:tc>
                <w:tcPr>
                  <w:tcW w:w="2692" w:type="dxa"/>
                  <w:vMerge w:val="continue"/>
                  <w:tcBorders>
                    <w:tl2br w:val="nil"/>
                    <w:tr2bl w:val="nil"/>
                  </w:tcBorders>
                  <w:vAlign w:val="center"/>
                </w:tcPr>
                <w:p w14:paraId="3BB472CB">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14:paraId="527FDA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651" w:type="dxa"/>
                  <w:tcBorders>
                    <w:tl2br w:val="nil"/>
                    <w:tr2bl w:val="nil"/>
                  </w:tcBorders>
                  <w:vAlign w:val="center"/>
                </w:tcPr>
                <w:p w14:paraId="145593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3</w:t>
                  </w:r>
                </w:p>
              </w:tc>
              <w:tc>
                <w:tcPr>
                  <w:tcW w:w="2490" w:type="dxa"/>
                  <w:tcBorders>
                    <w:tl2br w:val="nil"/>
                    <w:tr2bl w:val="nil"/>
                  </w:tcBorders>
                  <w:vAlign w:val="center"/>
                </w:tcPr>
                <w:p w14:paraId="49EF7692">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bCs/>
                      <w:color w:val="auto"/>
                      <w:sz w:val="21"/>
                      <w:szCs w:val="21"/>
                      <w:highlight w:val="none"/>
                      <w:vertAlign w:val="baseline"/>
                      <w:lang w:val="en-US" w:eastAsia="zh-CN"/>
                    </w:rPr>
                  </w:pPr>
                  <w:r>
                    <w:rPr>
                      <w:rFonts w:hint="eastAsia"/>
                      <w:b w:val="0"/>
                      <w:bCs w:val="0"/>
                      <w:color w:val="auto"/>
                      <w:kern w:val="0"/>
                      <w:sz w:val="21"/>
                      <w:szCs w:val="21"/>
                      <w:highlight w:val="none"/>
                      <w:vertAlign w:val="baseline"/>
                      <w:lang w:val="en-US" w:eastAsia="zh-CN" w:bidi="ar"/>
                    </w:rPr>
                    <w:t>CK-202（主要成分为无水偏硅酸钠、软化水）</w:t>
                  </w:r>
                </w:p>
              </w:tc>
              <w:tc>
                <w:tcPr>
                  <w:tcW w:w="1155" w:type="dxa"/>
                  <w:tcBorders>
                    <w:tl2br w:val="nil"/>
                    <w:tr2bl w:val="nil"/>
                  </w:tcBorders>
                  <w:vAlign w:val="center"/>
                </w:tcPr>
                <w:p w14:paraId="15840520">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kg/a</w:t>
                  </w:r>
                </w:p>
              </w:tc>
              <w:tc>
                <w:tcPr>
                  <w:tcW w:w="930" w:type="dxa"/>
                  <w:tcBorders>
                    <w:tl2br w:val="nil"/>
                    <w:tr2bl w:val="nil"/>
                  </w:tcBorders>
                  <w:vAlign w:val="center"/>
                </w:tcPr>
                <w:p w14:paraId="1ACF6A99">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50</w:t>
                  </w:r>
                </w:p>
              </w:tc>
              <w:tc>
                <w:tcPr>
                  <w:tcW w:w="2692" w:type="dxa"/>
                  <w:tcBorders>
                    <w:tl2br w:val="nil"/>
                    <w:tr2bl w:val="nil"/>
                  </w:tcBorders>
                  <w:vAlign w:val="center"/>
                </w:tcPr>
                <w:p w14:paraId="687214C0">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外购25kg塑料桶装，储存于</w:t>
                  </w:r>
                  <w:r>
                    <w:rPr>
                      <w:rFonts w:hint="eastAsia" w:cs="Times New Roman"/>
                      <w:color w:val="auto"/>
                      <w:sz w:val="21"/>
                      <w:szCs w:val="21"/>
                      <w:highlight w:val="none"/>
                      <w:lang w:val="en-US" w:eastAsia="zh-CN"/>
                    </w:rPr>
                    <w:t>原辅料暂存库</w:t>
                  </w:r>
                </w:p>
              </w:tc>
            </w:tr>
            <w:tr w14:paraId="189A43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98" w:hRule="atLeast"/>
                <w:jc w:val="center"/>
              </w:trPr>
              <w:tc>
                <w:tcPr>
                  <w:tcW w:w="651" w:type="dxa"/>
                  <w:tcBorders>
                    <w:tl2br w:val="nil"/>
                    <w:tr2bl w:val="nil"/>
                  </w:tcBorders>
                  <w:vAlign w:val="center"/>
                </w:tcPr>
                <w:p w14:paraId="200707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4</w:t>
                  </w:r>
                </w:p>
              </w:tc>
              <w:tc>
                <w:tcPr>
                  <w:tcW w:w="2490" w:type="dxa"/>
                  <w:tcBorders>
                    <w:tl2br w:val="nil"/>
                    <w:tr2bl w:val="nil"/>
                  </w:tcBorders>
                  <w:vAlign w:val="center"/>
                </w:tcPr>
                <w:p w14:paraId="6F99A60A">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b w:val="0"/>
                      <w:bCs w:val="0"/>
                      <w:color w:val="auto"/>
                      <w:kern w:val="0"/>
                      <w:sz w:val="21"/>
                      <w:szCs w:val="21"/>
                      <w:highlight w:val="none"/>
                      <w:vertAlign w:val="baseline"/>
                      <w:lang w:val="en-US" w:eastAsia="zh-CN" w:bidi="ar"/>
                    </w:rPr>
                  </w:pPr>
                  <w:r>
                    <w:rPr>
                      <w:rFonts w:hint="eastAsia"/>
                      <w:b w:val="0"/>
                      <w:bCs w:val="0"/>
                      <w:color w:val="auto"/>
                      <w:kern w:val="0"/>
                      <w:sz w:val="21"/>
                      <w:szCs w:val="21"/>
                      <w:highlight w:val="none"/>
                      <w:vertAlign w:val="baseline"/>
                      <w:lang w:val="en-US" w:eastAsia="zh-CN" w:bidi="ar"/>
                    </w:rPr>
                    <w:t>导热油</w:t>
                  </w:r>
                </w:p>
              </w:tc>
              <w:tc>
                <w:tcPr>
                  <w:tcW w:w="1155" w:type="dxa"/>
                  <w:tcBorders>
                    <w:tl2br w:val="nil"/>
                    <w:tr2bl w:val="nil"/>
                  </w:tcBorders>
                  <w:vAlign w:val="center"/>
                </w:tcPr>
                <w:p w14:paraId="73787BD9">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t/a</w:t>
                  </w:r>
                </w:p>
              </w:tc>
              <w:tc>
                <w:tcPr>
                  <w:tcW w:w="930" w:type="dxa"/>
                  <w:tcBorders>
                    <w:tl2br w:val="nil"/>
                    <w:tr2bl w:val="nil"/>
                  </w:tcBorders>
                  <w:vAlign w:val="center"/>
                </w:tcPr>
                <w:p w14:paraId="6B842A6E">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2.55</w:t>
                  </w:r>
                </w:p>
              </w:tc>
              <w:tc>
                <w:tcPr>
                  <w:tcW w:w="2692" w:type="dxa"/>
                  <w:tcBorders>
                    <w:tl2br w:val="nil"/>
                    <w:tr2bl w:val="nil"/>
                  </w:tcBorders>
                  <w:vAlign w:val="center"/>
                </w:tcPr>
                <w:p w14:paraId="41823840">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外购，油桶装储存至机修间</w:t>
                  </w:r>
                </w:p>
              </w:tc>
            </w:tr>
          </w:tbl>
          <w:p w14:paraId="6815C96C">
            <w:pPr>
              <w:spacing w:line="440" w:lineRule="exact"/>
              <w:jc w:val="center"/>
              <w:rPr>
                <w:rFonts w:hint="eastAsia"/>
                <w:b/>
                <w:bCs/>
                <w:color w:val="auto"/>
                <w:kern w:val="0"/>
                <w:sz w:val="24"/>
                <w:highlight w:val="none"/>
                <w:lang w:val="en-US" w:eastAsia="zh-CN" w:bidi="ar"/>
              </w:rPr>
            </w:pPr>
            <w:r>
              <w:rPr>
                <w:rFonts w:hint="eastAsia"/>
                <w:b/>
                <w:bCs/>
                <w:color w:val="auto"/>
                <w:kern w:val="0"/>
                <w:sz w:val="24"/>
                <w:highlight w:val="none"/>
                <w:lang w:bidi="ar"/>
              </w:rPr>
              <w:t>表</w:t>
            </w:r>
            <w:r>
              <w:rPr>
                <w:rFonts w:hint="eastAsia"/>
                <w:b/>
                <w:bCs/>
                <w:color w:val="auto"/>
                <w:kern w:val="0"/>
                <w:sz w:val="24"/>
                <w:highlight w:val="none"/>
                <w:lang w:val="en-US" w:eastAsia="zh-CN" w:bidi="ar"/>
              </w:rPr>
              <w:t>2-4项目辅料理化性质一览表</w:t>
            </w:r>
          </w:p>
          <w:tbl>
            <w:tblPr>
              <w:tblStyle w:val="22"/>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3"/>
              <w:gridCol w:w="1680"/>
              <w:gridCol w:w="5445"/>
            </w:tblGrid>
            <w:tr w14:paraId="3F6A67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713" w:type="dxa"/>
                  <w:tcBorders>
                    <w:tl2br w:val="nil"/>
                    <w:tr2bl w:val="nil"/>
                  </w:tcBorders>
                  <w:vAlign w:val="center"/>
                </w:tcPr>
                <w:p w14:paraId="780D47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kern w:val="0"/>
                      <w:sz w:val="21"/>
                      <w:szCs w:val="21"/>
                      <w:highlight w:val="none"/>
                      <w:vertAlign w:val="baseline"/>
                      <w:lang w:val="en-US" w:eastAsia="zh-CN" w:bidi="ar"/>
                    </w:rPr>
                  </w:pPr>
                  <w:r>
                    <w:rPr>
                      <w:rFonts w:hint="eastAsia"/>
                      <w:b/>
                      <w:bCs/>
                      <w:color w:val="auto"/>
                      <w:kern w:val="0"/>
                      <w:sz w:val="21"/>
                      <w:szCs w:val="21"/>
                      <w:highlight w:val="none"/>
                      <w:vertAlign w:val="baseline"/>
                      <w:lang w:val="en-US" w:eastAsia="zh-CN" w:bidi="ar"/>
                    </w:rPr>
                    <w:t>序号</w:t>
                  </w:r>
                </w:p>
              </w:tc>
              <w:tc>
                <w:tcPr>
                  <w:tcW w:w="1680" w:type="dxa"/>
                  <w:tcBorders>
                    <w:tl2br w:val="nil"/>
                    <w:tr2bl w:val="nil"/>
                  </w:tcBorders>
                  <w:vAlign w:val="center"/>
                </w:tcPr>
                <w:p w14:paraId="76344E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kern w:val="0"/>
                      <w:sz w:val="21"/>
                      <w:szCs w:val="21"/>
                      <w:highlight w:val="none"/>
                      <w:vertAlign w:val="baseline"/>
                      <w:lang w:val="en-US" w:eastAsia="zh-CN" w:bidi="ar"/>
                    </w:rPr>
                  </w:pPr>
                  <w:r>
                    <w:rPr>
                      <w:rFonts w:hint="eastAsia"/>
                      <w:b/>
                      <w:bCs/>
                      <w:color w:val="auto"/>
                      <w:kern w:val="0"/>
                      <w:sz w:val="21"/>
                      <w:szCs w:val="21"/>
                      <w:highlight w:val="none"/>
                      <w:vertAlign w:val="baseline"/>
                      <w:lang w:val="en-US" w:eastAsia="zh-CN" w:bidi="ar"/>
                    </w:rPr>
                    <w:t>辅料名称</w:t>
                  </w:r>
                </w:p>
              </w:tc>
              <w:tc>
                <w:tcPr>
                  <w:tcW w:w="5445" w:type="dxa"/>
                  <w:tcBorders>
                    <w:tl2br w:val="nil"/>
                    <w:tr2bl w:val="nil"/>
                  </w:tcBorders>
                  <w:vAlign w:val="center"/>
                </w:tcPr>
                <w:p w14:paraId="6FC9A0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kern w:val="0"/>
                      <w:sz w:val="21"/>
                      <w:szCs w:val="21"/>
                      <w:highlight w:val="none"/>
                      <w:vertAlign w:val="baseline"/>
                      <w:lang w:val="en-US" w:eastAsia="zh-CN" w:bidi="ar"/>
                    </w:rPr>
                  </w:pPr>
                  <w:r>
                    <w:rPr>
                      <w:rFonts w:hint="eastAsia"/>
                      <w:b/>
                      <w:bCs/>
                      <w:color w:val="auto"/>
                      <w:kern w:val="0"/>
                      <w:sz w:val="21"/>
                      <w:szCs w:val="21"/>
                      <w:highlight w:val="none"/>
                      <w:vertAlign w:val="baseline"/>
                      <w:lang w:val="en-US" w:eastAsia="zh-CN" w:bidi="ar"/>
                    </w:rPr>
                    <w:t>理化性质</w:t>
                  </w:r>
                </w:p>
              </w:tc>
            </w:tr>
            <w:tr w14:paraId="479BC3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trPr>
              <w:tc>
                <w:tcPr>
                  <w:tcW w:w="713" w:type="dxa"/>
                  <w:tcBorders>
                    <w:tl2br w:val="nil"/>
                    <w:tr2bl w:val="nil"/>
                  </w:tcBorders>
                  <w:vAlign w:val="center"/>
                </w:tcPr>
                <w:p w14:paraId="2EA8F4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kern w:val="0"/>
                      <w:sz w:val="21"/>
                      <w:szCs w:val="21"/>
                      <w:highlight w:val="none"/>
                      <w:vertAlign w:val="baseline"/>
                      <w:lang w:val="en-US" w:eastAsia="zh-CN" w:bidi="ar"/>
                    </w:rPr>
                  </w:pPr>
                  <w:r>
                    <w:rPr>
                      <w:rFonts w:hint="eastAsia"/>
                      <w:b w:val="0"/>
                      <w:bCs w:val="0"/>
                      <w:color w:val="auto"/>
                      <w:kern w:val="0"/>
                      <w:sz w:val="21"/>
                      <w:szCs w:val="21"/>
                      <w:highlight w:val="none"/>
                      <w:vertAlign w:val="baseline"/>
                      <w:lang w:val="en-US" w:eastAsia="zh-CN" w:bidi="ar"/>
                    </w:rPr>
                    <w:t>1</w:t>
                  </w:r>
                </w:p>
              </w:tc>
              <w:tc>
                <w:tcPr>
                  <w:tcW w:w="1680" w:type="dxa"/>
                  <w:tcBorders>
                    <w:tl2br w:val="nil"/>
                    <w:tr2bl w:val="nil"/>
                  </w:tcBorders>
                  <w:vAlign w:val="center"/>
                </w:tcPr>
                <w:p w14:paraId="31B6A4E4">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b w:val="0"/>
                      <w:bCs w:val="0"/>
                      <w:color w:val="auto"/>
                      <w:kern w:val="0"/>
                      <w:sz w:val="21"/>
                      <w:szCs w:val="21"/>
                      <w:highlight w:val="none"/>
                      <w:vertAlign w:val="baseline"/>
                      <w:lang w:val="en-US" w:eastAsia="zh-CN" w:bidi="ar"/>
                    </w:rPr>
                  </w:pPr>
                  <w:r>
                    <w:rPr>
                      <w:rFonts w:hint="eastAsia"/>
                      <w:b w:val="0"/>
                      <w:bCs w:val="0"/>
                      <w:color w:val="auto"/>
                      <w:kern w:val="0"/>
                      <w:sz w:val="21"/>
                      <w:szCs w:val="21"/>
                      <w:highlight w:val="none"/>
                      <w:vertAlign w:val="baseline"/>
                      <w:lang w:val="en-US" w:eastAsia="zh-CN" w:bidi="ar"/>
                    </w:rPr>
                    <w:t>硅藻土（作为助滤剂使用）</w:t>
                  </w:r>
                </w:p>
              </w:tc>
              <w:tc>
                <w:tcPr>
                  <w:tcW w:w="5445" w:type="dxa"/>
                  <w:tcBorders>
                    <w:tl2br w:val="nil"/>
                    <w:tr2bl w:val="nil"/>
                  </w:tcBorders>
                  <w:vAlign w:val="center"/>
                </w:tcPr>
                <w:p w14:paraId="699634D8">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b w:val="0"/>
                      <w:bCs w:val="0"/>
                      <w:color w:val="auto"/>
                      <w:kern w:val="0"/>
                      <w:sz w:val="21"/>
                      <w:szCs w:val="21"/>
                      <w:highlight w:val="none"/>
                      <w:vertAlign w:val="baseline"/>
                      <w:lang w:val="en-US" w:eastAsia="zh-CN" w:bidi="ar"/>
                    </w:rPr>
                  </w:pPr>
                  <w:r>
                    <w:rPr>
                      <w:rFonts w:hint="default"/>
                      <w:b w:val="0"/>
                      <w:bCs w:val="0"/>
                      <w:color w:val="auto"/>
                      <w:kern w:val="0"/>
                      <w:sz w:val="21"/>
                      <w:szCs w:val="21"/>
                      <w:highlight w:val="none"/>
                      <w:vertAlign w:val="baseline"/>
                      <w:lang w:val="en-US" w:eastAsia="zh-CN" w:bidi="ar"/>
                    </w:rPr>
                    <w:t>无定形的SiO</w:t>
                  </w:r>
                  <w:r>
                    <w:rPr>
                      <w:rFonts w:hint="default"/>
                      <w:b w:val="0"/>
                      <w:bCs w:val="0"/>
                      <w:color w:val="auto"/>
                      <w:kern w:val="0"/>
                      <w:sz w:val="21"/>
                      <w:szCs w:val="21"/>
                      <w:highlight w:val="none"/>
                      <w:vertAlign w:val="subscript"/>
                      <w:lang w:val="en-US" w:eastAsia="zh-CN" w:bidi="ar"/>
                    </w:rPr>
                    <w:t>2</w:t>
                  </w:r>
                  <w:r>
                    <w:rPr>
                      <w:rFonts w:hint="default"/>
                      <w:b w:val="0"/>
                      <w:bCs w:val="0"/>
                      <w:color w:val="auto"/>
                      <w:kern w:val="0"/>
                      <w:sz w:val="21"/>
                      <w:szCs w:val="21"/>
                      <w:highlight w:val="none"/>
                      <w:vertAlign w:val="baseline"/>
                      <w:lang w:val="en-US" w:eastAsia="zh-CN" w:bidi="ar"/>
                    </w:rPr>
                    <w:t>组成，含有少量Fe</w:t>
                  </w:r>
                  <w:r>
                    <w:rPr>
                      <w:rFonts w:hint="default"/>
                      <w:b w:val="0"/>
                      <w:bCs w:val="0"/>
                      <w:color w:val="auto"/>
                      <w:kern w:val="0"/>
                      <w:sz w:val="21"/>
                      <w:szCs w:val="21"/>
                      <w:highlight w:val="none"/>
                      <w:vertAlign w:val="subscript"/>
                      <w:lang w:val="en-US" w:eastAsia="zh-CN" w:bidi="ar"/>
                    </w:rPr>
                    <w:t>2</w:t>
                  </w:r>
                  <w:r>
                    <w:rPr>
                      <w:rFonts w:hint="default"/>
                      <w:b w:val="0"/>
                      <w:bCs w:val="0"/>
                      <w:color w:val="auto"/>
                      <w:kern w:val="0"/>
                      <w:sz w:val="21"/>
                      <w:szCs w:val="21"/>
                      <w:highlight w:val="none"/>
                      <w:vertAlign w:val="baseline"/>
                      <w:lang w:val="en-US" w:eastAsia="zh-CN" w:bidi="ar"/>
                    </w:rPr>
                    <w:t>O</w:t>
                  </w:r>
                  <w:r>
                    <w:rPr>
                      <w:rFonts w:hint="default"/>
                      <w:b w:val="0"/>
                      <w:bCs w:val="0"/>
                      <w:color w:val="auto"/>
                      <w:kern w:val="0"/>
                      <w:sz w:val="21"/>
                      <w:szCs w:val="21"/>
                      <w:highlight w:val="none"/>
                      <w:vertAlign w:val="subscript"/>
                      <w:lang w:val="en-US" w:eastAsia="zh-CN" w:bidi="ar"/>
                    </w:rPr>
                    <w:t>3</w:t>
                  </w:r>
                  <w:r>
                    <w:rPr>
                      <w:rFonts w:hint="default"/>
                      <w:b w:val="0"/>
                      <w:bCs w:val="0"/>
                      <w:color w:val="auto"/>
                      <w:kern w:val="0"/>
                      <w:sz w:val="21"/>
                      <w:szCs w:val="21"/>
                      <w:highlight w:val="none"/>
                      <w:vertAlign w:val="baseline"/>
                      <w:lang w:val="en-US" w:eastAsia="zh-CN" w:bidi="ar"/>
                    </w:rPr>
                    <w:t>、CaO、MgO、Al</w:t>
                  </w:r>
                  <w:r>
                    <w:rPr>
                      <w:rFonts w:hint="default"/>
                      <w:b w:val="0"/>
                      <w:bCs w:val="0"/>
                      <w:color w:val="auto"/>
                      <w:kern w:val="0"/>
                      <w:sz w:val="21"/>
                      <w:szCs w:val="21"/>
                      <w:highlight w:val="none"/>
                      <w:vertAlign w:val="subscript"/>
                      <w:lang w:val="en-US" w:eastAsia="zh-CN" w:bidi="ar"/>
                    </w:rPr>
                    <w:t>2</w:t>
                  </w:r>
                  <w:r>
                    <w:rPr>
                      <w:rFonts w:hint="default"/>
                      <w:b w:val="0"/>
                      <w:bCs w:val="0"/>
                      <w:color w:val="auto"/>
                      <w:kern w:val="0"/>
                      <w:sz w:val="21"/>
                      <w:szCs w:val="21"/>
                      <w:highlight w:val="none"/>
                      <w:vertAlign w:val="baseline"/>
                      <w:lang w:val="en-US" w:eastAsia="zh-CN" w:bidi="ar"/>
                    </w:rPr>
                    <w:t>O</w:t>
                  </w:r>
                  <w:r>
                    <w:rPr>
                      <w:rFonts w:hint="default"/>
                      <w:b w:val="0"/>
                      <w:bCs w:val="0"/>
                      <w:color w:val="auto"/>
                      <w:kern w:val="0"/>
                      <w:sz w:val="21"/>
                      <w:szCs w:val="21"/>
                      <w:highlight w:val="none"/>
                      <w:vertAlign w:val="subscript"/>
                      <w:lang w:val="en-US" w:eastAsia="zh-CN" w:bidi="ar"/>
                    </w:rPr>
                    <w:t>3</w:t>
                  </w:r>
                  <w:r>
                    <w:rPr>
                      <w:rFonts w:hint="default"/>
                      <w:b w:val="0"/>
                      <w:bCs w:val="0"/>
                      <w:color w:val="auto"/>
                      <w:kern w:val="0"/>
                      <w:sz w:val="21"/>
                      <w:szCs w:val="21"/>
                      <w:highlight w:val="none"/>
                      <w:vertAlign w:val="baseline"/>
                      <w:lang w:val="en-US" w:eastAsia="zh-CN" w:bidi="ar"/>
                    </w:rPr>
                    <w:t>及有机杂质，通常呈浅黄色或浅灰色，质软，多孔而轻，工业上常用来作为保温材料、过滤材料、填料、研磨材料、水玻璃原料、脱色剂及硅藻土助滤剂，催化剂载体等</w:t>
                  </w:r>
                  <w:r>
                    <w:rPr>
                      <w:rFonts w:hint="eastAsia"/>
                      <w:b w:val="0"/>
                      <w:bCs w:val="0"/>
                      <w:color w:val="auto"/>
                      <w:kern w:val="0"/>
                      <w:sz w:val="21"/>
                      <w:szCs w:val="21"/>
                      <w:highlight w:val="none"/>
                      <w:vertAlign w:val="baseline"/>
                      <w:lang w:val="en-US" w:eastAsia="zh-CN" w:bidi="ar"/>
                    </w:rPr>
                    <w:t>（使生产过程中没结团的小体积杂质结团便于后面更好的压滤出渣）</w:t>
                  </w:r>
                  <w:r>
                    <w:rPr>
                      <w:rFonts w:hint="default"/>
                      <w:b w:val="0"/>
                      <w:bCs w:val="0"/>
                      <w:color w:val="auto"/>
                      <w:kern w:val="0"/>
                      <w:sz w:val="21"/>
                      <w:szCs w:val="21"/>
                      <w:highlight w:val="none"/>
                      <w:vertAlign w:val="baseline"/>
                      <w:lang w:val="en-US" w:eastAsia="zh-CN" w:bidi="ar"/>
                    </w:rPr>
                    <w:t>。</w:t>
                  </w:r>
                </w:p>
              </w:tc>
            </w:tr>
            <w:tr w14:paraId="153FBB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713" w:type="dxa"/>
                  <w:tcBorders>
                    <w:tl2br w:val="nil"/>
                    <w:tr2bl w:val="nil"/>
                  </w:tcBorders>
                  <w:vAlign w:val="center"/>
                </w:tcPr>
                <w:p w14:paraId="42CC29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kern w:val="0"/>
                      <w:sz w:val="21"/>
                      <w:szCs w:val="21"/>
                      <w:highlight w:val="none"/>
                      <w:vertAlign w:val="baseline"/>
                      <w:lang w:val="en-US" w:eastAsia="zh-CN" w:bidi="ar"/>
                    </w:rPr>
                  </w:pPr>
                  <w:r>
                    <w:rPr>
                      <w:rFonts w:hint="eastAsia"/>
                      <w:b w:val="0"/>
                      <w:bCs w:val="0"/>
                      <w:color w:val="auto"/>
                      <w:kern w:val="0"/>
                      <w:sz w:val="21"/>
                      <w:szCs w:val="21"/>
                      <w:highlight w:val="none"/>
                      <w:vertAlign w:val="baseline"/>
                      <w:lang w:val="en-US" w:eastAsia="zh-CN" w:bidi="ar"/>
                    </w:rPr>
                    <w:t>2</w:t>
                  </w:r>
                </w:p>
              </w:tc>
              <w:tc>
                <w:tcPr>
                  <w:tcW w:w="1680" w:type="dxa"/>
                  <w:tcBorders>
                    <w:tl2br w:val="nil"/>
                    <w:tr2bl w:val="nil"/>
                  </w:tcBorders>
                  <w:vAlign w:val="center"/>
                </w:tcPr>
                <w:p w14:paraId="581456F3">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b w:val="0"/>
                      <w:bCs w:val="0"/>
                      <w:color w:val="auto"/>
                      <w:kern w:val="0"/>
                      <w:sz w:val="21"/>
                      <w:szCs w:val="21"/>
                      <w:highlight w:val="none"/>
                      <w:vertAlign w:val="baseline"/>
                      <w:lang w:val="en-US" w:eastAsia="zh-CN" w:bidi="ar"/>
                    </w:rPr>
                  </w:pPr>
                  <w:r>
                    <w:rPr>
                      <w:rFonts w:hint="eastAsia"/>
                      <w:b w:val="0"/>
                      <w:bCs w:val="0"/>
                      <w:color w:val="auto"/>
                      <w:kern w:val="0"/>
                      <w:sz w:val="21"/>
                      <w:szCs w:val="21"/>
                      <w:highlight w:val="none"/>
                      <w:vertAlign w:val="baseline"/>
                      <w:lang w:val="en-US" w:eastAsia="zh-CN" w:bidi="ar"/>
                    </w:rPr>
                    <w:t>饼粉（作为吸水剂使用）</w:t>
                  </w:r>
                </w:p>
              </w:tc>
              <w:tc>
                <w:tcPr>
                  <w:tcW w:w="5445" w:type="dxa"/>
                  <w:tcBorders>
                    <w:tl2br w:val="nil"/>
                    <w:tr2bl w:val="nil"/>
                  </w:tcBorders>
                  <w:vAlign w:val="center"/>
                </w:tcPr>
                <w:p w14:paraId="2EFEEF7A">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b w:val="0"/>
                      <w:bCs w:val="0"/>
                      <w:color w:val="auto"/>
                      <w:kern w:val="0"/>
                      <w:sz w:val="21"/>
                      <w:szCs w:val="21"/>
                      <w:highlight w:val="none"/>
                      <w:vertAlign w:val="baseline"/>
                      <w:lang w:val="en-US" w:eastAsia="zh-CN" w:bidi="ar"/>
                    </w:rPr>
                  </w:pPr>
                  <w:r>
                    <w:rPr>
                      <w:rFonts w:hint="eastAsia"/>
                      <w:b w:val="0"/>
                      <w:bCs w:val="0"/>
                      <w:color w:val="auto"/>
                      <w:kern w:val="0"/>
                      <w:sz w:val="21"/>
                      <w:szCs w:val="21"/>
                      <w:highlight w:val="none"/>
                      <w:vertAlign w:val="baseline"/>
                      <w:lang w:val="en-US" w:eastAsia="zh-CN" w:bidi="ar"/>
                    </w:rPr>
                    <w:t>主要成分为各类淀粉（主要包括玉米淀粉、葵花淀粉等），具有糊化特性，呈颗粒形态和粒度分布，具有结晶结构，且具有吸水性和抗酶解性能。</w:t>
                  </w:r>
                </w:p>
              </w:tc>
            </w:tr>
            <w:tr w14:paraId="3377AB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713" w:type="dxa"/>
                  <w:tcBorders>
                    <w:tl2br w:val="nil"/>
                    <w:tr2bl w:val="nil"/>
                  </w:tcBorders>
                  <w:vAlign w:val="center"/>
                </w:tcPr>
                <w:p w14:paraId="126DAA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kern w:val="0"/>
                      <w:sz w:val="21"/>
                      <w:szCs w:val="21"/>
                      <w:highlight w:val="none"/>
                      <w:vertAlign w:val="baseline"/>
                      <w:lang w:val="en-US" w:eastAsia="zh-CN" w:bidi="ar"/>
                    </w:rPr>
                  </w:pPr>
                  <w:r>
                    <w:rPr>
                      <w:rFonts w:hint="eastAsia"/>
                      <w:b w:val="0"/>
                      <w:bCs w:val="0"/>
                      <w:color w:val="auto"/>
                      <w:kern w:val="0"/>
                      <w:sz w:val="21"/>
                      <w:szCs w:val="21"/>
                      <w:highlight w:val="none"/>
                      <w:vertAlign w:val="baseline"/>
                      <w:lang w:val="en-US" w:eastAsia="zh-CN" w:bidi="ar"/>
                    </w:rPr>
                    <w:t>3</w:t>
                  </w:r>
                </w:p>
              </w:tc>
              <w:tc>
                <w:tcPr>
                  <w:tcW w:w="1680" w:type="dxa"/>
                  <w:tcBorders>
                    <w:tl2br w:val="nil"/>
                    <w:tr2bl w:val="nil"/>
                  </w:tcBorders>
                  <w:vAlign w:val="center"/>
                </w:tcPr>
                <w:p w14:paraId="7B998572">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b w:val="0"/>
                      <w:bCs w:val="0"/>
                      <w:color w:val="auto"/>
                      <w:kern w:val="0"/>
                      <w:sz w:val="21"/>
                      <w:szCs w:val="21"/>
                      <w:highlight w:val="none"/>
                      <w:vertAlign w:val="baseline"/>
                      <w:lang w:val="en-US" w:eastAsia="zh-CN" w:bidi="ar"/>
                    </w:rPr>
                  </w:pPr>
                  <w:r>
                    <w:rPr>
                      <w:rFonts w:hint="eastAsia"/>
                      <w:b w:val="0"/>
                      <w:bCs w:val="0"/>
                      <w:color w:val="auto"/>
                      <w:kern w:val="0"/>
                      <w:sz w:val="21"/>
                      <w:szCs w:val="21"/>
                      <w:highlight w:val="none"/>
                      <w:vertAlign w:val="baseline"/>
                      <w:lang w:val="en-US" w:eastAsia="zh-CN" w:bidi="ar"/>
                    </w:rPr>
                    <w:t>CK-202（作为清洗剂）</w:t>
                  </w:r>
                </w:p>
              </w:tc>
              <w:tc>
                <w:tcPr>
                  <w:tcW w:w="5445" w:type="dxa"/>
                  <w:tcBorders>
                    <w:tl2br w:val="nil"/>
                    <w:tr2bl w:val="nil"/>
                  </w:tcBorders>
                  <w:vAlign w:val="center"/>
                </w:tcPr>
                <w:p w14:paraId="1C49082B">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b w:val="0"/>
                      <w:bCs w:val="0"/>
                      <w:color w:val="auto"/>
                      <w:kern w:val="0"/>
                      <w:sz w:val="21"/>
                      <w:szCs w:val="21"/>
                      <w:highlight w:val="none"/>
                      <w:vertAlign w:val="baseline"/>
                      <w:lang w:val="en-US" w:eastAsia="zh-CN" w:bidi="ar"/>
                    </w:rPr>
                  </w:pPr>
                  <w:r>
                    <w:rPr>
                      <w:rFonts w:hint="eastAsia"/>
                      <w:b w:val="0"/>
                      <w:bCs w:val="0"/>
                      <w:color w:val="auto"/>
                      <w:kern w:val="0"/>
                      <w:sz w:val="21"/>
                      <w:szCs w:val="21"/>
                      <w:highlight w:val="none"/>
                      <w:vertAlign w:val="baseline"/>
                      <w:lang w:val="en-US" w:eastAsia="zh-CN" w:bidi="ar"/>
                    </w:rPr>
                    <w:t>主要成分为无水偏硅酸钠、软化水。浅淡黄色液体、略有刺激性气味、pH值≥13，用于油脂精炼装置生产中出现的重质油垢、胶垢的专用水基清洗剂。</w:t>
                  </w:r>
                </w:p>
                <w:p w14:paraId="5196EF0C">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b w:val="0"/>
                      <w:bCs w:val="0"/>
                      <w:color w:val="auto"/>
                      <w:kern w:val="0"/>
                      <w:sz w:val="21"/>
                      <w:szCs w:val="21"/>
                      <w:highlight w:val="none"/>
                      <w:vertAlign w:val="baseline"/>
                      <w:lang w:val="en-US" w:eastAsia="zh-CN" w:bidi="ar"/>
                    </w:rPr>
                  </w:pPr>
                  <w:r>
                    <w:rPr>
                      <w:rFonts w:hint="eastAsia"/>
                      <w:b w:val="0"/>
                      <w:bCs w:val="0"/>
                      <w:color w:val="auto"/>
                      <w:kern w:val="0"/>
                      <w:sz w:val="21"/>
                      <w:szCs w:val="21"/>
                      <w:highlight w:val="none"/>
                      <w:vertAlign w:val="baseline"/>
                      <w:lang w:val="en-US" w:eastAsia="zh-CN" w:bidi="ar"/>
                    </w:rPr>
                    <w:t>（</w:t>
                  </w:r>
                  <w:r>
                    <w:rPr>
                      <w:rFonts w:ascii="Arial" w:hAnsi="Arial" w:eastAsia="宋体" w:cs="Arial"/>
                      <w:i w:val="0"/>
                      <w:iCs w:val="0"/>
                      <w:caps w:val="0"/>
                      <w:color w:val="auto"/>
                      <w:spacing w:val="0"/>
                      <w:sz w:val="21"/>
                      <w:szCs w:val="21"/>
                      <w:highlight w:val="none"/>
                      <w:shd w:val="clear" w:fill="FFFFFF"/>
                    </w:rPr>
                    <w:t>五水偏硅酸钠易溶于水和稀碱液中，不溶于醇和酸。其水溶液呈碱性，具有去垢、乳化、分散、湿润、渗透性及对PH值有缓冲能力。此外，五水偏硅酸钠是一种无毒、无味、无公害的白色粉末状的结晶颗粒，具有一定的稳定性</w:t>
                  </w:r>
                  <w:r>
                    <w:rPr>
                      <w:rFonts w:hint="eastAsia"/>
                      <w:b w:val="0"/>
                      <w:bCs w:val="0"/>
                      <w:color w:val="auto"/>
                      <w:kern w:val="0"/>
                      <w:sz w:val="21"/>
                      <w:szCs w:val="21"/>
                      <w:highlight w:val="none"/>
                      <w:vertAlign w:val="baseline"/>
                      <w:lang w:val="en-US" w:eastAsia="zh-CN" w:bidi="ar"/>
                    </w:rPr>
                    <w:t>）</w:t>
                  </w:r>
                </w:p>
              </w:tc>
            </w:tr>
          </w:tbl>
          <w:p w14:paraId="4CA06D81">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lang w:val="en-US" w:eastAsia="zh-CN"/>
              </w:rPr>
              <w:t>10、产品方案</w:t>
            </w:r>
          </w:p>
          <w:p w14:paraId="7908D30D">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b/>
                <w:color w:val="auto"/>
                <w:sz w:val="24"/>
                <w:szCs w:val="24"/>
                <w:highlight w:val="none"/>
              </w:rPr>
            </w:pPr>
            <w:r>
              <w:rPr>
                <w:rFonts w:hint="eastAsia" w:cs="Times New Roman"/>
                <w:b w:val="0"/>
                <w:bCs/>
                <w:color w:val="auto"/>
                <w:sz w:val="24"/>
                <w:szCs w:val="24"/>
                <w:highlight w:val="none"/>
                <w:lang w:val="en-US" w:eastAsia="zh-CN"/>
              </w:rPr>
              <w:t>根据建设单位提供资料，浓香油生产比例为一级油（</w:t>
            </w:r>
            <w:r>
              <w:rPr>
                <w:rFonts w:hint="eastAsia" w:cs="Times New Roman"/>
                <w:b w:val="0"/>
                <w:bCs w:val="0"/>
                <w:color w:val="auto"/>
                <w:sz w:val="21"/>
                <w:szCs w:val="21"/>
                <w:highlight w:val="none"/>
                <w:vertAlign w:val="baseline"/>
                <w:lang w:val="en-US" w:eastAsia="zh-CN"/>
              </w:rPr>
              <w:t>精炼油）：</w:t>
            </w:r>
            <w:r>
              <w:rPr>
                <w:rFonts w:hint="eastAsia" w:cs="Times New Roman"/>
                <w:b w:val="0"/>
                <w:bCs/>
                <w:color w:val="auto"/>
                <w:sz w:val="24"/>
                <w:szCs w:val="24"/>
                <w:highlight w:val="none"/>
                <w:lang w:val="en-US" w:eastAsia="zh-CN"/>
              </w:rPr>
              <w:t>原料油=8:2；葵花籽壳仁率占比2:8，葵花籽仁出油率：出渣率=54%：46%；玉米胚芽出油率：出渣率=38%：62%。</w:t>
            </w:r>
            <w:r>
              <w:rPr>
                <w:rFonts w:hint="default" w:ascii="Times New Roman" w:hAnsi="Times New Roman" w:eastAsia="宋体" w:cs="Times New Roman"/>
                <w:b w:val="0"/>
                <w:bCs/>
                <w:color w:val="auto"/>
                <w:sz w:val="24"/>
                <w:szCs w:val="24"/>
                <w:highlight w:val="none"/>
                <w:lang w:val="en-US" w:eastAsia="zh-CN"/>
              </w:rPr>
              <w:t>项目</w:t>
            </w:r>
            <w:r>
              <w:rPr>
                <w:rFonts w:hint="eastAsia" w:cs="Times New Roman"/>
                <w:b w:val="0"/>
                <w:bCs/>
                <w:color w:val="auto"/>
                <w:sz w:val="24"/>
                <w:szCs w:val="24"/>
                <w:highlight w:val="none"/>
                <w:lang w:val="en-US" w:eastAsia="zh-CN"/>
              </w:rPr>
              <w:t>物料平衡</w:t>
            </w:r>
            <w:r>
              <w:rPr>
                <w:rFonts w:hint="default" w:ascii="Times New Roman" w:hAnsi="Times New Roman" w:eastAsia="宋体" w:cs="Times New Roman"/>
                <w:b w:val="0"/>
                <w:bCs/>
                <w:color w:val="auto"/>
                <w:sz w:val="24"/>
                <w:szCs w:val="24"/>
                <w:highlight w:val="none"/>
                <w:lang w:val="en-US" w:eastAsia="zh-CN"/>
              </w:rPr>
              <w:t>如下</w:t>
            </w:r>
            <w:r>
              <w:rPr>
                <w:rFonts w:hint="eastAsia" w:cs="Times New Roman"/>
                <w:b w:val="0"/>
                <w:bCs/>
                <w:color w:val="auto"/>
                <w:sz w:val="24"/>
                <w:szCs w:val="24"/>
                <w:highlight w:val="none"/>
                <w:lang w:val="en-US" w:eastAsia="zh-CN"/>
              </w:rPr>
              <w:t>表，物料平衡如下图2-1</w:t>
            </w:r>
            <w:r>
              <w:rPr>
                <w:rFonts w:hint="default" w:ascii="Times New Roman" w:hAnsi="Times New Roman" w:eastAsia="宋体" w:cs="Times New Roman"/>
                <w:b w:val="0"/>
                <w:bCs/>
                <w:color w:val="auto"/>
                <w:sz w:val="24"/>
                <w:szCs w:val="24"/>
                <w:highlight w:val="none"/>
                <w:lang w:val="en-US" w:eastAsia="zh-CN"/>
              </w:rPr>
              <w:t>。</w:t>
            </w:r>
          </w:p>
          <w:p w14:paraId="6B63A7B3">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imes New Roman" w:hAnsi="Times New Roman" w:eastAsia="宋体" w:cs="Times New Roman"/>
                <w:b/>
                <w:i w:val="0"/>
                <w:iCs w:val="0"/>
                <w:color w:val="auto"/>
                <w:sz w:val="24"/>
                <w:szCs w:val="24"/>
                <w:highlight w:val="none"/>
                <w:lang w:val="en-US"/>
              </w:rPr>
            </w:pPr>
            <w:r>
              <w:rPr>
                <w:rFonts w:hint="default" w:ascii="Times New Roman" w:hAnsi="Times New Roman" w:eastAsia="宋体" w:cs="Times New Roman"/>
                <w:b/>
                <w:color w:val="auto"/>
                <w:sz w:val="24"/>
                <w:szCs w:val="24"/>
                <w:highlight w:val="none"/>
              </w:rPr>
              <w:t>表2-</w:t>
            </w:r>
            <w:r>
              <w:rPr>
                <w:rFonts w:hint="eastAsia" w:cs="Times New Roman"/>
                <w:b/>
                <w:color w:val="auto"/>
                <w:sz w:val="24"/>
                <w:szCs w:val="24"/>
                <w:highlight w:val="none"/>
                <w:lang w:val="en-US" w:eastAsia="zh-CN"/>
              </w:rPr>
              <w:t>5</w:t>
            </w:r>
            <w:r>
              <w:rPr>
                <w:rFonts w:hint="default" w:ascii="Times New Roman" w:hAnsi="Times New Roman" w:eastAsia="宋体" w:cs="Times New Roman"/>
                <w:b/>
                <w:color w:val="auto"/>
                <w:sz w:val="24"/>
                <w:szCs w:val="24"/>
                <w:highlight w:val="none"/>
              </w:rPr>
              <w:t xml:space="preserve">   </w:t>
            </w:r>
            <w:r>
              <w:rPr>
                <w:rFonts w:hint="eastAsia" w:cs="Times New Roman"/>
                <w:b/>
                <w:color w:val="auto"/>
                <w:sz w:val="24"/>
                <w:szCs w:val="24"/>
                <w:highlight w:val="none"/>
                <w:lang w:val="en-US" w:eastAsia="zh-CN"/>
              </w:rPr>
              <w:t>项目物料平衡表</w:t>
            </w:r>
          </w:p>
          <w:tbl>
            <w:tblPr>
              <w:tblStyle w:val="22"/>
              <w:tblW w:w="7879" w:type="dxa"/>
              <w:jc w:val="center"/>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fixed"/>
              <w:tblCellMar>
                <w:top w:w="0" w:type="dxa"/>
                <w:left w:w="108" w:type="dxa"/>
                <w:bottom w:w="0" w:type="dxa"/>
                <w:right w:w="108" w:type="dxa"/>
              </w:tblCellMar>
            </w:tblPr>
            <w:tblGrid>
              <w:gridCol w:w="717"/>
              <w:gridCol w:w="2441"/>
              <w:gridCol w:w="1056"/>
              <w:gridCol w:w="2175"/>
              <w:gridCol w:w="1490"/>
            </w:tblGrid>
            <w:tr w14:paraId="64886D6C">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90" w:hRule="atLeast"/>
                <w:jc w:val="center"/>
              </w:trPr>
              <w:tc>
                <w:tcPr>
                  <w:tcW w:w="4214" w:type="dxa"/>
                  <w:gridSpan w:val="3"/>
                  <w:tcBorders>
                    <w:tl2br w:val="nil"/>
                    <w:tr2bl w:val="nil"/>
                  </w:tcBorders>
                  <w:vAlign w:val="center"/>
                </w:tcPr>
                <w:p w14:paraId="3CFB0CDE">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投入（t/a）</w:t>
                  </w:r>
                </w:p>
              </w:tc>
              <w:tc>
                <w:tcPr>
                  <w:tcW w:w="3665" w:type="dxa"/>
                  <w:gridSpan w:val="2"/>
                  <w:tcBorders>
                    <w:tl2br w:val="nil"/>
                    <w:tr2bl w:val="nil"/>
                  </w:tcBorders>
                  <w:vAlign w:val="center"/>
                </w:tcPr>
                <w:p w14:paraId="48296208">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产出（t/a）</w:t>
                  </w:r>
                </w:p>
              </w:tc>
            </w:tr>
            <w:tr w14:paraId="6567791B">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487" w:hRule="atLeast"/>
                <w:jc w:val="center"/>
              </w:trPr>
              <w:tc>
                <w:tcPr>
                  <w:tcW w:w="717" w:type="dxa"/>
                  <w:tcBorders>
                    <w:tl2br w:val="nil"/>
                    <w:tr2bl w:val="nil"/>
                  </w:tcBorders>
                  <w:vAlign w:val="center"/>
                </w:tcPr>
                <w:p w14:paraId="1F5B5A5C">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序号</w:t>
                  </w:r>
                </w:p>
              </w:tc>
              <w:tc>
                <w:tcPr>
                  <w:tcW w:w="2441" w:type="dxa"/>
                  <w:tcBorders>
                    <w:tl2br w:val="nil"/>
                    <w:tr2bl w:val="nil"/>
                  </w:tcBorders>
                  <w:vAlign w:val="center"/>
                </w:tcPr>
                <w:p w14:paraId="68248D0E">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物料名称</w:t>
                  </w:r>
                </w:p>
              </w:tc>
              <w:tc>
                <w:tcPr>
                  <w:tcW w:w="1056" w:type="dxa"/>
                  <w:tcBorders>
                    <w:tl2br w:val="nil"/>
                    <w:tr2bl w:val="nil"/>
                  </w:tcBorders>
                  <w:vAlign w:val="center"/>
                </w:tcPr>
                <w:p w14:paraId="4DBC8450">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用量</w:t>
                  </w:r>
                </w:p>
              </w:tc>
              <w:tc>
                <w:tcPr>
                  <w:tcW w:w="2175" w:type="dxa"/>
                  <w:tcBorders>
                    <w:tl2br w:val="nil"/>
                    <w:tr2bl w:val="nil"/>
                  </w:tcBorders>
                  <w:vAlign w:val="center"/>
                </w:tcPr>
                <w:p w14:paraId="512948C8">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物料名称</w:t>
                  </w:r>
                </w:p>
              </w:tc>
              <w:tc>
                <w:tcPr>
                  <w:tcW w:w="1490" w:type="dxa"/>
                  <w:tcBorders>
                    <w:tl2br w:val="nil"/>
                    <w:tr2bl w:val="nil"/>
                  </w:tcBorders>
                  <w:vAlign w:val="center"/>
                </w:tcPr>
                <w:p w14:paraId="02AD0C61">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产量</w:t>
                  </w:r>
                </w:p>
              </w:tc>
            </w:tr>
            <w:tr w14:paraId="4467B715">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227" w:hRule="atLeast"/>
                <w:jc w:val="center"/>
              </w:trPr>
              <w:tc>
                <w:tcPr>
                  <w:tcW w:w="7879" w:type="dxa"/>
                  <w:gridSpan w:val="5"/>
                  <w:tcBorders>
                    <w:tl2br w:val="nil"/>
                    <w:tr2bl w:val="nil"/>
                  </w:tcBorders>
                  <w:vAlign w:val="center"/>
                </w:tcPr>
                <w:p w14:paraId="55C2C2CB">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葵花籽浓香油</w:t>
                  </w:r>
                </w:p>
              </w:tc>
            </w:tr>
            <w:tr w14:paraId="7B5E2407">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170" w:hRule="atLeast"/>
                <w:jc w:val="center"/>
              </w:trPr>
              <w:tc>
                <w:tcPr>
                  <w:tcW w:w="717" w:type="dxa"/>
                  <w:tcBorders>
                    <w:tl2br w:val="nil"/>
                    <w:tr2bl w:val="nil"/>
                  </w:tcBorders>
                  <w:vAlign w:val="center"/>
                </w:tcPr>
                <w:p w14:paraId="4539E995">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w:t>
                  </w:r>
                </w:p>
              </w:tc>
              <w:tc>
                <w:tcPr>
                  <w:tcW w:w="2441" w:type="dxa"/>
                  <w:tcBorders>
                    <w:tl2br w:val="nil"/>
                    <w:tr2bl w:val="nil"/>
                  </w:tcBorders>
                  <w:vAlign w:val="center"/>
                </w:tcPr>
                <w:p w14:paraId="1A3D9F1A">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一级葵花油（精炼油）</w:t>
                  </w:r>
                </w:p>
              </w:tc>
              <w:tc>
                <w:tcPr>
                  <w:tcW w:w="1056" w:type="dxa"/>
                  <w:tcBorders>
                    <w:tl2br w:val="nil"/>
                    <w:tr2bl w:val="nil"/>
                  </w:tcBorders>
                  <w:vAlign w:val="center"/>
                </w:tcPr>
                <w:p w14:paraId="4222CA90">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1200</w:t>
                  </w:r>
                </w:p>
              </w:tc>
              <w:tc>
                <w:tcPr>
                  <w:tcW w:w="2175" w:type="dxa"/>
                  <w:tcBorders>
                    <w:tl2br w:val="nil"/>
                    <w:tr2bl w:val="nil"/>
                  </w:tcBorders>
                  <w:vAlign w:val="center"/>
                </w:tcPr>
                <w:p w14:paraId="6F48DBFC">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葵花籽浓香油</w:t>
                  </w:r>
                </w:p>
              </w:tc>
              <w:tc>
                <w:tcPr>
                  <w:tcW w:w="1490" w:type="dxa"/>
                  <w:tcBorders>
                    <w:tl2br w:val="nil"/>
                    <w:tr2bl w:val="nil"/>
                  </w:tcBorders>
                  <w:vAlign w:val="center"/>
                </w:tcPr>
                <w:p w14:paraId="69CF305F">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1500</w:t>
                  </w:r>
                </w:p>
              </w:tc>
            </w:tr>
            <w:tr w14:paraId="10CAC7FD">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287" w:hRule="atLeast"/>
                <w:jc w:val="center"/>
              </w:trPr>
              <w:tc>
                <w:tcPr>
                  <w:tcW w:w="717" w:type="dxa"/>
                  <w:vMerge w:val="restart"/>
                  <w:tcBorders>
                    <w:tl2br w:val="nil"/>
                    <w:tr2bl w:val="nil"/>
                  </w:tcBorders>
                  <w:vAlign w:val="center"/>
                </w:tcPr>
                <w:p w14:paraId="67D8AA68">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w:t>
                  </w:r>
                </w:p>
              </w:tc>
              <w:tc>
                <w:tcPr>
                  <w:tcW w:w="2441" w:type="dxa"/>
                  <w:vMerge w:val="restart"/>
                  <w:tcBorders>
                    <w:tl2br w:val="nil"/>
                    <w:tr2bl w:val="nil"/>
                  </w:tcBorders>
                  <w:vAlign w:val="center"/>
                </w:tcPr>
                <w:p w14:paraId="1327A1D2">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葵花籽（带壳）</w:t>
                  </w:r>
                </w:p>
              </w:tc>
              <w:tc>
                <w:tcPr>
                  <w:tcW w:w="1056" w:type="dxa"/>
                  <w:vMerge w:val="restart"/>
                  <w:tcBorders>
                    <w:tl2br w:val="nil"/>
                    <w:tr2bl w:val="nil"/>
                  </w:tcBorders>
                  <w:vAlign w:val="center"/>
                </w:tcPr>
                <w:p w14:paraId="2A914D68">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695</w:t>
                  </w:r>
                </w:p>
              </w:tc>
              <w:tc>
                <w:tcPr>
                  <w:tcW w:w="2175" w:type="dxa"/>
                  <w:tcBorders>
                    <w:tl2br w:val="nil"/>
                    <w:tr2bl w:val="nil"/>
                  </w:tcBorders>
                  <w:vAlign w:val="center"/>
                </w:tcPr>
                <w:p w14:paraId="63E9A5DB">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葵花籽壳</w:t>
                  </w:r>
                </w:p>
              </w:tc>
              <w:tc>
                <w:tcPr>
                  <w:tcW w:w="1490" w:type="dxa"/>
                  <w:tcBorders>
                    <w:tl2br w:val="nil"/>
                    <w:tr2bl w:val="nil"/>
                  </w:tcBorders>
                  <w:vAlign w:val="center"/>
                </w:tcPr>
                <w:p w14:paraId="1D88B8D5">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139</w:t>
                  </w:r>
                </w:p>
              </w:tc>
            </w:tr>
            <w:tr w14:paraId="7C6A3911">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287" w:hRule="atLeast"/>
                <w:jc w:val="center"/>
              </w:trPr>
              <w:tc>
                <w:tcPr>
                  <w:tcW w:w="717" w:type="dxa"/>
                  <w:vMerge w:val="continue"/>
                  <w:tcBorders>
                    <w:tl2br w:val="nil"/>
                    <w:tr2bl w:val="nil"/>
                  </w:tcBorders>
                  <w:vAlign w:val="center"/>
                </w:tcPr>
                <w:p w14:paraId="5B45571C">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p>
              </w:tc>
              <w:tc>
                <w:tcPr>
                  <w:tcW w:w="2441" w:type="dxa"/>
                  <w:vMerge w:val="continue"/>
                  <w:tcBorders>
                    <w:tl2br w:val="nil"/>
                    <w:tr2bl w:val="nil"/>
                  </w:tcBorders>
                  <w:vAlign w:val="center"/>
                </w:tcPr>
                <w:p w14:paraId="64DB0EAE">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s="Times New Roman"/>
                      <w:b w:val="0"/>
                      <w:bCs w:val="0"/>
                      <w:color w:val="auto"/>
                      <w:sz w:val="21"/>
                      <w:szCs w:val="21"/>
                      <w:highlight w:val="none"/>
                      <w:vertAlign w:val="baseline"/>
                      <w:lang w:val="en-US" w:eastAsia="zh-CN"/>
                    </w:rPr>
                  </w:pPr>
                </w:p>
              </w:tc>
              <w:tc>
                <w:tcPr>
                  <w:tcW w:w="1056" w:type="dxa"/>
                  <w:vMerge w:val="continue"/>
                  <w:tcBorders>
                    <w:tl2br w:val="nil"/>
                    <w:tr2bl w:val="nil"/>
                  </w:tcBorders>
                  <w:vAlign w:val="center"/>
                </w:tcPr>
                <w:p w14:paraId="00FC2A87">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eastAsia" w:cs="Times New Roman"/>
                      <w:b w:val="0"/>
                      <w:bCs w:val="0"/>
                      <w:color w:val="auto"/>
                      <w:sz w:val="21"/>
                      <w:szCs w:val="21"/>
                      <w:highlight w:val="none"/>
                      <w:vertAlign w:val="baseline"/>
                      <w:lang w:val="en-US" w:eastAsia="zh-CN"/>
                    </w:rPr>
                  </w:pPr>
                </w:p>
              </w:tc>
              <w:tc>
                <w:tcPr>
                  <w:tcW w:w="2175" w:type="dxa"/>
                  <w:tcBorders>
                    <w:tl2br w:val="nil"/>
                    <w:tr2bl w:val="nil"/>
                  </w:tcBorders>
                  <w:vAlign w:val="center"/>
                </w:tcPr>
                <w:p w14:paraId="2367EE11">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葵花籽滤渣</w:t>
                  </w:r>
                </w:p>
              </w:tc>
              <w:tc>
                <w:tcPr>
                  <w:tcW w:w="1490" w:type="dxa"/>
                  <w:tcBorders>
                    <w:tl2br w:val="nil"/>
                    <w:tr2bl w:val="nil"/>
                  </w:tcBorders>
                  <w:vAlign w:val="center"/>
                </w:tcPr>
                <w:p w14:paraId="1FC41FDB">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256</w:t>
                  </w:r>
                </w:p>
              </w:tc>
            </w:tr>
            <w:tr w14:paraId="16C101CA">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287" w:hRule="atLeast"/>
                <w:jc w:val="center"/>
              </w:trPr>
              <w:tc>
                <w:tcPr>
                  <w:tcW w:w="7879" w:type="dxa"/>
                  <w:gridSpan w:val="5"/>
                  <w:tcBorders>
                    <w:tl2br w:val="nil"/>
                    <w:tr2bl w:val="nil"/>
                  </w:tcBorders>
                  <w:vAlign w:val="center"/>
                </w:tcPr>
                <w:p w14:paraId="5C482621">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玉米胚芽浓香油</w:t>
                  </w:r>
                </w:p>
              </w:tc>
            </w:tr>
            <w:tr w14:paraId="05FE7E99">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287" w:hRule="atLeast"/>
                <w:jc w:val="center"/>
              </w:trPr>
              <w:tc>
                <w:tcPr>
                  <w:tcW w:w="717" w:type="dxa"/>
                  <w:tcBorders>
                    <w:tl2br w:val="nil"/>
                    <w:tr2bl w:val="nil"/>
                  </w:tcBorders>
                  <w:vAlign w:val="center"/>
                </w:tcPr>
                <w:p w14:paraId="3BED5B7C">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3</w:t>
                  </w:r>
                </w:p>
              </w:tc>
              <w:tc>
                <w:tcPr>
                  <w:tcW w:w="2441" w:type="dxa"/>
                  <w:tcBorders>
                    <w:tl2br w:val="nil"/>
                    <w:tr2bl w:val="nil"/>
                  </w:tcBorders>
                  <w:vAlign w:val="center"/>
                </w:tcPr>
                <w:p w14:paraId="2B2F4FDD">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一级玉米油（精炼油）</w:t>
                  </w:r>
                </w:p>
              </w:tc>
              <w:tc>
                <w:tcPr>
                  <w:tcW w:w="1056" w:type="dxa"/>
                  <w:tcBorders>
                    <w:tl2br w:val="nil"/>
                    <w:tr2bl w:val="nil"/>
                  </w:tcBorders>
                  <w:vAlign w:val="center"/>
                </w:tcPr>
                <w:p w14:paraId="6E2E1731">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1200</w:t>
                  </w:r>
                </w:p>
              </w:tc>
              <w:tc>
                <w:tcPr>
                  <w:tcW w:w="2175" w:type="dxa"/>
                  <w:tcBorders>
                    <w:tl2br w:val="nil"/>
                    <w:tr2bl w:val="nil"/>
                  </w:tcBorders>
                  <w:vAlign w:val="center"/>
                </w:tcPr>
                <w:p w14:paraId="79EB17A1">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玉米胚芽浓香油</w:t>
                  </w:r>
                </w:p>
              </w:tc>
              <w:tc>
                <w:tcPr>
                  <w:tcW w:w="1490" w:type="dxa"/>
                  <w:tcBorders>
                    <w:tl2br w:val="nil"/>
                    <w:tr2bl w:val="nil"/>
                  </w:tcBorders>
                  <w:vAlign w:val="center"/>
                </w:tcPr>
                <w:p w14:paraId="3763434A">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1500</w:t>
                  </w:r>
                </w:p>
              </w:tc>
            </w:tr>
            <w:tr w14:paraId="726390C1">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102" w:hRule="atLeast"/>
                <w:jc w:val="center"/>
              </w:trPr>
              <w:tc>
                <w:tcPr>
                  <w:tcW w:w="717" w:type="dxa"/>
                  <w:tcBorders>
                    <w:tl2br w:val="nil"/>
                    <w:tr2bl w:val="nil"/>
                  </w:tcBorders>
                  <w:vAlign w:val="center"/>
                </w:tcPr>
                <w:p w14:paraId="2D129E6A">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4</w:t>
                  </w:r>
                </w:p>
              </w:tc>
              <w:tc>
                <w:tcPr>
                  <w:tcW w:w="2441" w:type="dxa"/>
                  <w:tcBorders>
                    <w:tl2br w:val="nil"/>
                    <w:tr2bl w:val="nil"/>
                  </w:tcBorders>
                  <w:vAlign w:val="center"/>
                </w:tcPr>
                <w:p w14:paraId="5D8688B5">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玉米胚芽</w:t>
                  </w:r>
                </w:p>
              </w:tc>
              <w:tc>
                <w:tcPr>
                  <w:tcW w:w="1056" w:type="dxa"/>
                  <w:tcBorders>
                    <w:tl2br w:val="nil"/>
                    <w:tr2bl w:val="nil"/>
                  </w:tcBorders>
                  <w:vAlign w:val="center"/>
                </w:tcPr>
                <w:p w14:paraId="01AD64EE">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790</w:t>
                  </w:r>
                </w:p>
              </w:tc>
              <w:tc>
                <w:tcPr>
                  <w:tcW w:w="2175" w:type="dxa"/>
                  <w:tcBorders>
                    <w:tl2br w:val="nil"/>
                    <w:tr2bl w:val="nil"/>
                  </w:tcBorders>
                  <w:vAlign w:val="center"/>
                </w:tcPr>
                <w:p w14:paraId="739AFBFD">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玉米胚芽滤渣</w:t>
                  </w:r>
                </w:p>
              </w:tc>
              <w:tc>
                <w:tcPr>
                  <w:tcW w:w="1490" w:type="dxa"/>
                  <w:tcBorders>
                    <w:tl2br w:val="nil"/>
                    <w:tr2bl w:val="nil"/>
                  </w:tcBorders>
                  <w:vAlign w:val="center"/>
                </w:tcPr>
                <w:p w14:paraId="0B50753B">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490</w:t>
                  </w:r>
                </w:p>
              </w:tc>
            </w:tr>
            <w:tr w14:paraId="65ADFF42">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102" w:hRule="atLeast"/>
                <w:jc w:val="center"/>
              </w:trPr>
              <w:tc>
                <w:tcPr>
                  <w:tcW w:w="7879" w:type="dxa"/>
                  <w:gridSpan w:val="5"/>
                  <w:tcBorders>
                    <w:tl2br w:val="nil"/>
                    <w:tr2bl w:val="nil"/>
                  </w:tcBorders>
                  <w:vAlign w:val="center"/>
                </w:tcPr>
                <w:p w14:paraId="43573DF4">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通用辅料</w:t>
                  </w:r>
                </w:p>
              </w:tc>
            </w:tr>
            <w:tr w14:paraId="06AD0B14">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287" w:hRule="atLeast"/>
                <w:jc w:val="center"/>
              </w:trPr>
              <w:tc>
                <w:tcPr>
                  <w:tcW w:w="717" w:type="dxa"/>
                  <w:tcBorders>
                    <w:tl2br w:val="nil"/>
                    <w:tr2bl w:val="nil"/>
                  </w:tcBorders>
                  <w:vAlign w:val="center"/>
                </w:tcPr>
                <w:p w14:paraId="066B9763">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5</w:t>
                  </w:r>
                </w:p>
              </w:tc>
              <w:tc>
                <w:tcPr>
                  <w:tcW w:w="2441" w:type="dxa"/>
                  <w:tcBorders>
                    <w:tl2br w:val="nil"/>
                    <w:tr2bl w:val="nil"/>
                  </w:tcBorders>
                  <w:vAlign w:val="center"/>
                </w:tcPr>
                <w:p w14:paraId="347DB4B8">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硅藻土</w:t>
                  </w:r>
                </w:p>
              </w:tc>
              <w:tc>
                <w:tcPr>
                  <w:tcW w:w="1056" w:type="dxa"/>
                  <w:tcBorders>
                    <w:tl2br w:val="nil"/>
                    <w:tr2bl w:val="nil"/>
                  </w:tcBorders>
                  <w:vAlign w:val="center"/>
                </w:tcPr>
                <w:p w14:paraId="6B3C5A27">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8</w:t>
                  </w:r>
                </w:p>
              </w:tc>
              <w:tc>
                <w:tcPr>
                  <w:tcW w:w="2175" w:type="dxa"/>
                  <w:tcBorders>
                    <w:tl2br w:val="nil"/>
                    <w:tr2bl w:val="nil"/>
                  </w:tcBorders>
                  <w:vAlign w:val="center"/>
                </w:tcPr>
                <w:p w14:paraId="4C4AB575">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废硅藻土</w:t>
                  </w:r>
                </w:p>
              </w:tc>
              <w:tc>
                <w:tcPr>
                  <w:tcW w:w="1490" w:type="dxa"/>
                  <w:tcBorders>
                    <w:tl2br w:val="nil"/>
                    <w:tr2bl w:val="nil"/>
                  </w:tcBorders>
                  <w:vAlign w:val="center"/>
                </w:tcPr>
                <w:p w14:paraId="41F486D0">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8</w:t>
                  </w:r>
                </w:p>
              </w:tc>
            </w:tr>
            <w:tr w14:paraId="2652BC0B">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282" w:hRule="atLeast"/>
                <w:jc w:val="center"/>
              </w:trPr>
              <w:tc>
                <w:tcPr>
                  <w:tcW w:w="717" w:type="dxa"/>
                  <w:tcBorders>
                    <w:tl2br w:val="nil"/>
                    <w:tr2bl w:val="nil"/>
                  </w:tcBorders>
                  <w:vAlign w:val="center"/>
                </w:tcPr>
                <w:p w14:paraId="3A280F98">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6</w:t>
                  </w:r>
                </w:p>
              </w:tc>
              <w:tc>
                <w:tcPr>
                  <w:tcW w:w="2441" w:type="dxa"/>
                  <w:tcBorders>
                    <w:tl2br w:val="nil"/>
                    <w:tr2bl w:val="nil"/>
                  </w:tcBorders>
                  <w:vAlign w:val="center"/>
                </w:tcPr>
                <w:p w14:paraId="2D24158B">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饼粉</w:t>
                  </w:r>
                </w:p>
              </w:tc>
              <w:tc>
                <w:tcPr>
                  <w:tcW w:w="1056" w:type="dxa"/>
                  <w:tcBorders>
                    <w:tl2br w:val="nil"/>
                    <w:tr2bl w:val="nil"/>
                  </w:tcBorders>
                  <w:vAlign w:val="center"/>
                </w:tcPr>
                <w:p w14:paraId="08D78E37">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eastAsia"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5</w:t>
                  </w:r>
                </w:p>
              </w:tc>
              <w:tc>
                <w:tcPr>
                  <w:tcW w:w="2175" w:type="dxa"/>
                  <w:tcBorders>
                    <w:tl2br w:val="nil"/>
                    <w:tr2bl w:val="nil"/>
                  </w:tcBorders>
                  <w:vAlign w:val="center"/>
                </w:tcPr>
                <w:p w14:paraId="31F9BDF7">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废饼粉</w:t>
                  </w:r>
                </w:p>
              </w:tc>
              <w:tc>
                <w:tcPr>
                  <w:tcW w:w="1490" w:type="dxa"/>
                  <w:tcBorders>
                    <w:tl2br w:val="nil"/>
                    <w:tr2bl w:val="nil"/>
                  </w:tcBorders>
                  <w:vAlign w:val="center"/>
                </w:tcPr>
                <w:p w14:paraId="19259D4E">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5</w:t>
                  </w:r>
                </w:p>
              </w:tc>
            </w:tr>
            <w:tr w14:paraId="29DE0016">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313" w:hRule="atLeast"/>
                <w:jc w:val="center"/>
              </w:trPr>
              <w:tc>
                <w:tcPr>
                  <w:tcW w:w="3158" w:type="dxa"/>
                  <w:gridSpan w:val="2"/>
                  <w:tcBorders>
                    <w:tl2br w:val="nil"/>
                    <w:tr2bl w:val="nil"/>
                  </w:tcBorders>
                  <w:vAlign w:val="center"/>
                </w:tcPr>
                <w:p w14:paraId="508ECD9F">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合计</w:t>
                  </w:r>
                </w:p>
              </w:tc>
              <w:tc>
                <w:tcPr>
                  <w:tcW w:w="1056" w:type="dxa"/>
                  <w:tcBorders>
                    <w:tl2br w:val="nil"/>
                    <w:tr2bl w:val="nil"/>
                  </w:tcBorders>
                  <w:vAlign w:val="center"/>
                </w:tcPr>
                <w:p w14:paraId="39D52FD1">
                  <w:pPr>
                    <w:pStyle w:val="5"/>
                    <w:keepNext w:val="0"/>
                    <w:keepLines w:val="0"/>
                    <w:pageBreakBefore w:val="0"/>
                    <w:kinsoku/>
                    <w:wordWrap/>
                    <w:overflowPunct/>
                    <w:topLinePunct w:val="0"/>
                    <w:autoSpaceDE/>
                    <w:autoSpaceDN/>
                    <w:bidi w:val="0"/>
                    <w:adjustRightInd/>
                    <w:snapToGrid/>
                    <w:spacing w:after="0" w:line="240" w:lineRule="auto"/>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3898</w:t>
                  </w:r>
                </w:p>
              </w:tc>
              <w:tc>
                <w:tcPr>
                  <w:tcW w:w="2175" w:type="dxa"/>
                  <w:tcBorders>
                    <w:tl2br w:val="nil"/>
                    <w:tr2bl w:val="nil"/>
                  </w:tcBorders>
                  <w:vAlign w:val="center"/>
                </w:tcPr>
                <w:p w14:paraId="28E65AAB">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合计</w:t>
                  </w:r>
                </w:p>
              </w:tc>
              <w:tc>
                <w:tcPr>
                  <w:tcW w:w="1490" w:type="dxa"/>
                  <w:tcBorders>
                    <w:tl2br w:val="nil"/>
                    <w:tr2bl w:val="nil"/>
                  </w:tcBorders>
                  <w:vAlign w:val="center"/>
                </w:tcPr>
                <w:p w14:paraId="5858E0D3">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3898</w:t>
                  </w:r>
                </w:p>
              </w:tc>
            </w:tr>
          </w:tbl>
          <w:p w14:paraId="142E8D9A">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drawing>
                <wp:inline distT="0" distB="0" distL="114300" distR="114300">
                  <wp:extent cx="4305935" cy="3462655"/>
                  <wp:effectExtent l="0" t="0" r="0" b="0"/>
                  <wp:docPr id="15" name="ECB019B1-382A-4266-B25C-5B523AA43C14-1" descr="C:/Users/Administrator/AppData/Local/Temp/wps.xwsnjN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CB019B1-382A-4266-B25C-5B523AA43C14-1" descr="C:/Users/Administrator/AppData/Local/Temp/wps.xwsnjNwps"/>
                          <pic:cNvPicPr>
                            <a:picLocks noChangeAspect="1"/>
                          </pic:cNvPicPr>
                        </pic:nvPicPr>
                        <pic:blipFill>
                          <a:blip r:embed="rId9"/>
                          <a:srcRect l="2400" t="5200" r="1327" b="2214"/>
                          <a:stretch>
                            <a:fillRect/>
                          </a:stretch>
                        </pic:blipFill>
                        <pic:spPr>
                          <a:xfrm>
                            <a:off x="0" y="0"/>
                            <a:ext cx="4305935" cy="3462655"/>
                          </a:xfrm>
                          <a:prstGeom prst="rect">
                            <a:avLst/>
                          </a:prstGeom>
                        </pic:spPr>
                      </pic:pic>
                    </a:graphicData>
                  </a:graphic>
                </wp:inline>
              </w:drawing>
            </w:r>
          </w:p>
          <w:p w14:paraId="06DA9DCD">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4"/>
                <w:highlight w:val="none"/>
                <w:lang w:val="en-US" w:eastAsia="zh-CN"/>
              </w:rPr>
            </w:pPr>
            <w:r>
              <w:rPr>
                <w:rFonts w:hint="eastAsia" w:cs="Times New Roman"/>
                <w:b/>
                <w:bCs/>
                <w:color w:val="auto"/>
                <w:sz w:val="24"/>
                <w:highlight w:val="none"/>
                <w:lang w:val="en-US" w:eastAsia="zh-CN"/>
              </w:rPr>
              <w:t>图2-1项目物料平衡图</w:t>
            </w:r>
          </w:p>
          <w:p w14:paraId="17E68A63">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表2-</w:t>
            </w:r>
            <w:r>
              <w:rPr>
                <w:rFonts w:hint="eastAsia"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lang w:val="en-US" w:eastAsia="zh-CN"/>
              </w:rPr>
              <w:t>产品质量执行标准</w:t>
            </w:r>
          </w:p>
          <w:tbl>
            <w:tblPr>
              <w:tblStyle w:val="22"/>
              <w:tblW w:w="76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3"/>
              <w:gridCol w:w="6016"/>
            </w:tblGrid>
            <w:tr w14:paraId="513A8B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623" w:type="dxa"/>
                  <w:tcBorders>
                    <w:tl2br w:val="nil"/>
                    <w:tr2bl w:val="nil"/>
                  </w:tcBorders>
                  <w:vAlign w:val="center"/>
                </w:tcPr>
                <w:p w14:paraId="40763A8D">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项目</w:t>
                  </w:r>
                </w:p>
              </w:tc>
              <w:tc>
                <w:tcPr>
                  <w:tcW w:w="6016" w:type="dxa"/>
                  <w:tcBorders>
                    <w:tl2br w:val="nil"/>
                    <w:tr2bl w:val="nil"/>
                  </w:tcBorders>
                  <w:vAlign w:val="center"/>
                </w:tcPr>
                <w:p w14:paraId="63AB76AB">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执行标准</w:t>
                  </w:r>
                </w:p>
              </w:tc>
            </w:tr>
            <w:tr w14:paraId="2618A3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23" w:type="dxa"/>
                  <w:tcBorders>
                    <w:tl2br w:val="nil"/>
                    <w:tr2bl w:val="nil"/>
                  </w:tcBorders>
                  <w:vAlign w:val="center"/>
                </w:tcPr>
                <w:p w14:paraId="5CB03CFE">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植物油</w:t>
                  </w:r>
                </w:p>
              </w:tc>
              <w:tc>
                <w:tcPr>
                  <w:tcW w:w="6016" w:type="dxa"/>
                  <w:tcBorders>
                    <w:tl2br w:val="nil"/>
                    <w:tr2bl w:val="nil"/>
                  </w:tcBorders>
                  <w:vAlign w:val="center"/>
                </w:tcPr>
                <w:p w14:paraId="6D13D75C">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GB 2716-2018《食品安全国家标准 植物油》</w:t>
                  </w:r>
                </w:p>
              </w:tc>
            </w:tr>
          </w:tbl>
          <w:p w14:paraId="1DE02589">
            <w:pPr>
              <w:pStyle w:val="5"/>
              <w:keepNext w:val="0"/>
              <w:keepLines w:val="0"/>
              <w:pageBreakBefore w:val="0"/>
              <w:widowControl w:val="0"/>
              <w:kinsoku/>
              <w:wordWrap/>
              <w:overflowPunct/>
              <w:topLinePunct w:val="0"/>
              <w:autoSpaceDE/>
              <w:autoSpaceDN/>
              <w:bidi w:val="0"/>
              <w:adjustRightInd/>
              <w:snapToGrid/>
              <w:spacing w:after="0" w:line="360" w:lineRule="auto"/>
              <w:ind w:firstLine="482" w:firstLineChars="200"/>
              <w:jc w:val="both"/>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11</w:t>
            </w:r>
            <w:r>
              <w:rPr>
                <w:rFonts w:hint="default" w:ascii="Times New Roman" w:hAnsi="Times New Roman" w:eastAsia="宋体" w:cs="Times New Roman"/>
                <w:b/>
                <w:bCs/>
                <w:color w:val="auto"/>
                <w:sz w:val="24"/>
                <w:highlight w:val="none"/>
              </w:rPr>
              <w:t>、主要生产设备</w:t>
            </w:r>
          </w:p>
          <w:p w14:paraId="3B0CB96F">
            <w:pPr>
              <w:keepNext w:val="0"/>
              <w:keepLines w:val="0"/>
              <w:pageBreakBefore w:val="0"/>
              <w:kinsoku/>
              <w:wordWrap/>
              <w:overflowPunct/>
              <w:topLinePunct w:val="0"/>
              <w:autoSpaceDE/>
              <w:autoSpaceDN/>
              <w:bidi w:val="0"/>
              <w:spacing w:line="360" w:lineRule="auto"/>
              <w:ind w:firstLine="480" w:firstLineChars="200"/>
              <w:rPr>
                <w:rFonts w:hint="default" w:ascii="Times New Roman" w:hAnsi="Times New Roman" w:eastAsia="宋体" w:cs="Times New Roman"/>
                <w:color w:val="auto"/>
                <w:sz w:val="24"/>
                <w:szCs w:val="21"/>
                <w:highlight w:val="none"/>
              </w:rPr>
            </w:pPr>
            <w:r>
              <w:rPr>
                <w:rFonts w:hint="default" w:ascii="Times New Roman" w:hAnsi="Times New Roman" w:eastAsia="宋体" w:cs="Times New Roman"/>
                <w:color w:val="auto"/>
                <w:sz w:val="24"/>
                <w:szCs w:val="21"/>
                <w:highlight w:val="none"/>
              </w:rPr>
              <w:t>本项目主要生产设备见表2-</w:t>
            </w:r>
            <w:r>
              <w:rPr>
                <w:rFonts w:hint="eastAsia" w:cs="Times New Roman"/>
                <w:color w:val="auto"/>
                <w:sz w:val="24"/>
                <w:szCs w:val="21"/>
                <w:highlight w:val="none"/>
                <w:lang w:val="en-US" w:eastAsia="zh-CN"/>
              </w:rPr>
              <w:t>7</w:t>
            </w:r>
            <w:r>
              <w:rPr>
                <w:rFonts w:hint="default" w:ascii="Times New Roman" w:hAnsi="Times New Roman" w:eastAsia="宋体" w:cs="Times New Roman"/>
                <w:color w:val="auto"/>
                <w:sz w:val="24"/>
                <w:szCs w:val="21"/>
                <w:highlight w:val="none"/>
              </w:rPr>
              <w:t>。</w:t>
            </w:r>
          </w:p>
          <w:p w14:paraId="7232A7C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4"/>
                <w:highlight w:val="none"/>
                <w:lang w:eastAsia="zh-CN"/>
              </w:rPr>
            </w:pPr>
            <w:bookmarkStart w:id="6" w:name="_Hlk173860215"/>
            <w:r>
              <w:rPr>
                <w:rFonts w:hint="default" w:ascii="Times New Roman" w:hAnsi="Times New Roman" w:eastAsia="宋体" w:cs="Times New Roman"/>
                <w:b/>
                <w:color w:val="auto"/>
                <w:sz w:val="24"/>
                <w:highlight w:val="none"/>
              </w:rPr>
              <w:t>表2-</w:t>
            </w:r>
            <w:r>
              <w:rPr>
                <w:rFonts w:hint="eastAsia" w:cs="Times New Roman"/>
                <w:b/>
                <w:color w:val="auto"/>
                <w:sz w:val="24"/>
                <w:highlight w:val="none"/>
                <w:lang w:val="en-US" w:eastAsia="zh-CN"/>
              </w:rPr>
              <w:t>7生产</w:t>
            </w:r>
            <w:r>
              <w:rPr>
                <w:rFonts w:hint="default" w:ascii="Times New Roman" w:hAnsi="Times New Roman" w:eastAsia="宋体" w:cs="Times New Roman"/>
                <w:b/>
                <w:color w:val="auto"/>
                <w:sz w:val="24"/>
                <w:highlight w:val="none"/>
              </w:rPr>
              <w:t>设备一览表</w:t>
            </w:r>
          </w:p>
          <w:tbl>
            <w:tblPr>
              <w:tblStyle w:val="21"/>
              <w:tblW w:w="507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42"/>
              <w:gridCol w:w="2490"/>
              <w:gridCol w:w="4113"/>
              <w:gridCol w:w="713"/>
            </w:tblGrid>
            <w:tr w14:paraId="78D1C4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403" w:type="pct"/>
                  <w:shd w:val="clear" w:color="auto" w:fill="auto"/>
                  <w:vAlign w:val="center"/>
                </w:tcPr>
                <w:p w14:paraId="1461F498">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564" w:type="pct"/>
                  <w:shd w:val="clear" w:color="auto" w:fill="auto"/>
                  <w:vAlign w:val="center"/>
                </w:tcPr>
                <w:p w14:paraId="0CF137F3">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设备名称</w:t>
                  </w:r>
                </w:p>
              </w:tc>
              <w:tc>
                <w:tcPr>
                  <w:tcW w:w="2584" w:type="pct"/>
                  <w:shd w:val="clear" w:color="auto" w:fill="auto"/>
                  <w:vAlign w:val="center"/>
                </w:tcPr>
                <w:p w14:paraId="1CFC18C1">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型号</w:t>
                  </w:r>
                  <w:r>
                    <w:rPr>
                      <w:rFonts w:hint="default" w:ascii="Times New Roman" w:hAnsi="Times New Roman" w:eastAsia="宋体" w:cs="Times New Roman"/>
                      <w:b/>
                      <w:bCs/>
                      <w:color w:val="auto"/>
                      <w:sz w:val="21"/>
                      <w:szCs w:val="21"/>
                      <w:highlight w:val="none"/>
                      <w:lang w:val="en-US" w:eastAsia="zh-CN"/>
                    </w:rPr>
                    <w:t>/规格</w:t>
                  </w:r>
                </w:p>
              </w:tc>
              <w:tc>
                <w:tcPr>
                  <w:tcW w:w="447" w:type="pct"/>
                  <w:shd w:val="clear" w:color="auto" w:fill="auto"/>
                  <w:vAlign w:val="center"/>
                </w:tcPr>
                <w:p w14:paraId="0E4E75CA">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数量</w:t>
                  </w:r>
                </w:p>
              </w:tc>
            </w:tr>
            <w:tr w14:paraId="202C2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94" w:hRule="atLeast"/>
                <w:jc w:val="center"/>
              </w:trPr>
              <w:tc>
                <w:tcPr>
                  <w:tcW w:w="5000" w:type="pct"/>
                  <w:gridSpan w:val="4"/>
                  <w:shd w:val="clear" w:color="auto" w:fill="auto"/>
                  <w:vAlign w:val="center"/>
                </w:tcPr>
                <w:p w14:paraId="7FEE65EA">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预处理1</w:t>
                  </w:r>
                </w:p>
              </w:tc>
            </w:tr>
            <w:tr w14:paraId="7ECA14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2" w:hRule="atLeast"/>
                <w:jc w:val="center"/>
              </w:trPr>
              <w:tc>
                <w:tcPr>
                  <w:tcW w:w="403" w:type="pct"/>
                  <w:shd w:val="clear" w:color="auto" w:fill="auto"/>
                  <w:vAlign w:val="center"/>
                </w:tcPr>
                <w:p w14:paraId="4A13DB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564" w:type="pct"/>
                  <w:shd w:val="clear" w:color="auto" w:fill="auto"/>
                  <w:vAlign w:val="center"/>
                </w:tcPr>
                <w:p w14:paraId="3310152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提升机</w:t>
                  </w:r>
                </w:p>
              </w:tc>
              <w:tc>
                <w:tcPr>
                  <w:tcW w:w="2584" w:type="pct"/>
                  <w:shd w:val="clear" w:color="auto" w:fill="auto"/>
                  <w:vAlign w:val="center"/>
                </w:tcPr>
                <w:p w14:paraId="0930F97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单机功率4KW</w:t>
                  </w:r>
                </w:p>
              </w:tc>
              <w:tc>
                <w:tcPr>
                  <w:tcW w:w="447" w:type="pct"/>
                  <w:shd w:val="clear" w:color="auto" w:fill="auto"/>
                  <w:vAlign w:val="center"/>
                </w:tcPr>
                <w:p w14:paraId="58F7687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093EF5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4E3E14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564" w:type="pct"/>
                  <w:shd w:val="clear" w:color="auto" w:fill="auto"/>
                  <w:vAlign w:val="center"/>
                </w:tcPr>
                <w:p w14:paraId="6CCE426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吸风分离器</w:t>
                  </w:r>
                </w:p>
              </w:tc>
              <w:tc>
                <w:tcPr>
                  <w:tcW w:w="2584" w:type="pct"/>
                  <w:shd w:val="clear" w:color="auto" w:fill="auto"/>
                  <w:vAlign w:val="center"/>
                </w:tcPr>
                <w:p w14:paraId="69B83050">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6C4FA85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0C7076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9" w:hRule="atLeast"/>
                <w:jc w:val="center"/>
              </w:trPr>
              <w:tc>
                <w:tcPr>
                  <w:tcW w:w="403" w:type="pct"/>
                  <w:shd w:val="clear" w:color="auto" w:fill="auto"/>
                  <w:vAlign w:val="center"/>
                </w:tcPr>
                <w:p w14:paraId="03AA87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564" w:type="pct"/>
                  <w:shd w:val="clear" w:color="auto" w:fill="auto"/>
                  <w:vAlign w:val="center"/>
                </w:tcPr>
                <w:p w14:paraId="2D77F03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单筒初清筛</w:t>
                  </w:r>
                </w:p>
              </w:tc>
              <w:tc>
                <w:tcPr>
                  <w:tcW w:w="2584" w:type="pct"/>
                  <w:shd w:val="clear" w:color="auto" w:fill="auto"/>
                  <w:vAlign w:val="center"/>
                </w:tcPr>
                <w:p w14:paraId="262B5DDD">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olor w:val="auto"/>
                      <w:highlight w:val="none"/>
                      <w:lang w:val="en-US" w:eastAsia="zh-CN"/>
                    </w:rPr>
                  </w:pPr>
                  <w:r>
                    <w:rPr>
                      <w:rFonts w:hint="eastAsia" w:cs="Times New Roman"/>
                      <w:color w:val="auto"/>
                      <w:sz w:val="21"/>
                      <w:szCs w:val="21"/>
                      <w:highlight w:val="none"/>
                      <w:lang w:val="en-US" w:eastAsia="zh-CN"/>
                    </w:rPr>
                    <w:t>全封闭设置，单机功率1.1KW</w:t>
                  </w:r>
                </w:p>
              </w:tc>
              <w:tc>
                <w:tcPr>
                  <w:tcW w:w="447" w:type="pct"/>
                  <w:shd w:val="clear" w:color="auto" w:fill="auto"/>
                  <w:vAlign w:val="center"/>
                </w:tcPr>
                <w:p w14:paraId="16E0BE1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1台</w:t>
                  </w:r>
                </w:p>
              </w:tc>
            </w:tr>
            <w:tr w14:paraId="310E0B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066FD1C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564" w:type="pct"/>
                  <w:shd w:val="clear" w:color="auto" w:fill="auto"/>
                  <w:vAlign w:val="center"/>
                </w:tcPr>
                <w:p w14:paraId="634CDE2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永磁筒</w:t>
                  </w:r>
                </w:p>
              </w:tc>
              <w:tc>
                <w:tcPr>
                  <w:tcW w:w="2584" w:type="pct"/>
                  <w:shd w:val="clear" w:color="auto" w:fill="auto"/>
                  <w:vAlign w:val="center"/>
                </w:tcPr>
                <w:p w14:paraId="1C532C4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7A391825">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6018FB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76508A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564" w:type="pct"/>
                  <w:shd w:val="clear" w:color="auto" w:fill="auto"/>
                  <w:vAlign w:val="center"/>
                </w:tcPr>
                <w:p w14:paraId="44EBC93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提升机</w:t>
                  </w:r>
                </w:p>
              </w:tc>
              <w:tc>
                <w:tcPr>
                  <w:tcW w:w="2584" w:type="pct"/>
                  <w:shd w:val="clear" w:color="auto" w:fill="auto"/>
                  <w:vAlign w:val="center"/>
                </w:tcPr>
                <w:p w14:paraId="748CDD25">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单机功率4KW</w:t>
                  </w:r>
                </w:p>
              </w:tc>
              <w:tc>
                <w:tcPr>
                  <w:tcW w:w="447" w:type="pct"/>
                  <w:shd w:val="clear" w:color="auto" w:fill="auto"/>
                  <w:vAlign w:val="center"/>
                </w:tcPr>
                <w:p w14:paraId="7EE8D59D">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4DA136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4D12BC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564" w:type="pct"/>
                  <w:shd w:val="clear" w:color="auto" w:fill="auto"/>
                  <w:vAlign w:val="center"/>
                </w:tcPr>
                <w:p w14:paraId="5CA22541">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室外玉米筒仓</w:t>
                  </w:r>
                </w:p>
              </w:tc>
              <w:tc>
                <w:tcPr>
                  <w:tcW w:w="2584" w:type="pct"/>
                  <w:shd w:val="clear" w:color="auto" w:fill="auto"/>
                  <w:vAlign w:val="center"/>
                </w:tcPr>
                <w:p w14:paraId="104A0F50">
                  <w:pPr>
                    <w:keepNext w:val="0"/>
                    <w:keepLines w:val="0"/>
                    <w:widowControl/>
                    <w:suppressLineNumbers w:val="0"/>
                    <w:jc w:val="center"/>
                    <w:textAlignment w:val="center"/>
                    <w:rPr>
                      <w:rFonts w:hint="default" w:ascii="宋体" w:hAnsi="宋体" w:eastAsia="宋体" w:cs="宋体"/>
                      <w:i w:val="0"/>
                      <w:iCs w:val="0"/>
                      <w:color w:val="auto"/>
                      <w:kern w:val="2"/>
                      <w:sz w:val="24"/>
                      <w:szCs w:val="24"/>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shd w:val="clear" w:color="auto" w:fill="auto"/>
                      <w:lang w:val="en-US" w:eastAsia="zh-CN" w:bidi="ar"/>
                    </w:rPr>
                    <w:t>仓顶2台风机，仓底2台风机，出料口1台手电一体闸门共计5台电机</w:t>
                  </w:r>
                </w:p>
              </w:tc>
              <w:tc>
                <w:tcPr>
                  <w:tcW w:w="447" w:type="pct"/>
                  <w:shd w:val="clear" w:color="auto" w:fill="auto"/>
                  <w:vAlign w:val="center"/>
                </w:tcPr>
                <w:p w14:paraId="5AB68D05">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1套</w:t>
                  </w:r>
                </w:p>
              </w:tc>
            </w:tr>
            <w:tr w14:paraId="7BBE6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4F9FBE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6.1</w:t>
                  </w:r>
                </w:p>
              </w:tc>
              <w:tc>
                <w:tcPr>
                  <w:tcW w:w="1564" w:type="pct"/>
                  <w:shd w:val="clear" w:color="auto" w:fill="auto"/>
                  <w:vAlign w:val="center"/>
                </w:tcPr>
                <w:p w14:paraId="1516BA96">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仓顶引风机A</w:t>
                  </w:r>
                </w:p>
              </w:tc>
              <w:tc>
                <w:tcPr>
                  <w:tcW w:w="2584" w:type="pct"/>
                  <w:shd w:val="clear" w:color="auto" w:fill="auto"/>
                  <w:vAlign w:val="center"/>
                </w:tcPr>
                <w:p w14:paraId="1BCF8224">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单机功率0.55KW</w:t>
                  </w:r>
                </w:p>
              </w:tc>
              <w:tc>
                <w:tcPr>
                  <w:tcW w:w="447" w:type="pct"/>
                  <w:shd w:val="clear" w:color="auto" w:fill="auto"/>
                  <w:vAlign w:val="center"/>
                </w:tcPr>
                <w:p w14:paraId="61CBC51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69ED9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2" w:hRule="atLeast"/>
                <w:jc w:val="center"/>
              </w:trPr>
              <w:tc>
                <w:tcPr>
                  <w:tcW w:w="403" w:type="pct"/>
                  <w:shd w:val="clear" w:color="auto" w:fill="auto"/>
                  <w:vAlign w:val="center"/>
                </w:tcPr>
                <w:p w14:paraId="048DE9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6.2</w:t>
                  </w:r>
                </w:p>
              </w:tc>
              <w:tc>
                <w:tcPr>
                  <w:tcW w:w="1564" w:type="pct"/>
                  <w:shd w:val="clear" w:color="auto" w:fill="auto"/>
                  <w:vAlign w:val="center"/>
                </w:tcPr>
                <w:p w14:paraId="65AB8044">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仓顶引风机B</w:t>
                  </w:r>
                </w:p>
              </w:tc>
              <w:tc>
                <w:tcPr>
                  <w:tcW w:w="2584" w:type="pct"/>
                  <w:shd w:val="clear" w:color="auto" w:fill="auto"/>
                  <w:vAlign w:val="center"/>
                </w:tcPr>
                <w:p w14:paraId="5A69664D">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单机功率0.55KW</w:t>
                  </w:r>
                </w:p>
              </w:tc>
              <w:tc>
                <w:tcPr>
                  <w:tcW w:w="447" w:type="pct"/>
                  <w:shd w:val="clear" w:color="auto" w:fill="auto"/>
                  <w:vAlign w:val="center"/>
                </w:tcPr>
                <w:p w14:paraId="5C032903">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785E10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8" w:hRule="atLeast"/>
                <w:jc w:val="center"/>
              </w:trPr>
              <w:tc>
                <w:tcPr>
                  <w:tcW w:w="403" w:type="pct"/>
                  <w:shd w:val="clear" w:color="auto" w:fill="auto"/>
                  <w:vAlign w:val="center"/>
                </w:tcPr>
                <w:p w14:paraId="750C67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6.3</w:t>
                  </w:r>
                </w:p>
              </w:tc>
              <w:tc>
                <w:tcPr>
                  <w:tcW w:w="1564" w:type="pct"/>
                  <w:shd w:val="clear" w:color="auto" w:fill="auto"/>
                  <w:vAlign w:val="center"/>
                </w:tcPr>
                <w:p w14:paraId="143B6423">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仓底鼓风机A</w:t>
                  </w:r>
                </w:p>
              </w:tc>
              <w:tc>
                <w:tcPr>
                  <w:tcW w:w="2584" w:type="pct"/>
                  <w:shd w:val="clear" w:color="auto" w:fill="auto"/>
                  <w:vAlign w:val="center"/>
                </w:tcPr>
                <w:p w14:paraId="03E0CCE5">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单机功率7.5KW</w:t>
                  </w:r>
                </w:p>
              </w:tc>
              <w:tc>
                <w:tcPr>
                  <w:tcW w:w="447" w:type="pct"/>
                  <w:shd w:val="clear" w:color="auto" w:fill="auto"/>
                  <w:vAlign w:val="center"/>
                </w:tcPr>
                <w:p w14:paraId="1159C788">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390AFF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1" w:hRule="atLeast"/>
                <w:jc w:val="center"/>
              </w:trPr>
              <w:tc>
                <w:tcPr>
                  <w:tcW w:w="403" w:type="pct"/>
                  <w:shd w:val="clear" w:color="auto" w:fill="auto"/>
                  <w:vAlign w:val="center"/>
                </w:tcPr>
                <w:p w14:paraId="2711A2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6.4</w:t>
                  </w:r>
                </w:p>
              </w:tc>
              <w:tc>
                <w:tcPr>
                  <w:tcW w:w="1564" w:type="pct"/>
                  <w:shd w:val="clear" w:color="auto" w:fill="auto"/>
                  <w:vAlign w:val="center"/>
                </w:tcPr>
                <w:p w14:paraId="0AE6D4A4">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仓底鼓风机B</w:t>
                  </w:r>
                </w:p>
              </w:tc>
              <w:tc>
                <w:tcPr>
                  <w:tcW w:w="2584" w:type="pct"/>
                  <w:shd w:val="clear" w:color="auto" w:fill="auto"/>
                  <w:vAlign w:val="center"/>
                </w:tcPr>
                <w:p w14:paraId="68DE6C8F">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单机功率7.5KW</w:t>
                  </w:r>
                </w:p>
              </w:tc>
              <w:tc>
                <w:tcPr>
                  <w:tcW w:w="447" w:type="pct"/>
                  <w:shd w:val="clear" w:color="auto" w:fill="auto"/>
                  <w:vAlign w:val="center"/>
                </w:tcPr>
                <w:p w14:paraId="5015BC9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6273BC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9" w:hRule="atLeast"/>
                <w:jc w:val="center"/>
              </w:trPr>
              <w:tc>
                <w:tcPr>
                  <w:tcW w:w="403" w:type="pct"/>
                  <w:shd w:val="clear" w:color="auto" w:fill="auto"/>
                  <w:vAlign w:val="center"/>
                </w:tcPr>
                <w:p w14:paraId="0CE575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1564" w:type="pct"/>
                  <w:shd w:val="clear" w:color="auto" w:fill="auto"/>
                  <w:vAlign w:val="center"/>
                </w:tcPr>
                <w:p w14:paraId="2F5DA5F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手电一体闸门</w:t>
                  </w:r>
                </w:p>
              </w:tc>
              <w:tc>
                <w:tcPr>
                  <w:tcW w:w="2584" w:type="pct"/>
                  <w:shd w:val="clear" w:color="auto" w:fill="auto"/>
                  <w:vAlign w:val="center"/>
                </w:tcPr>
                <w:p w14:paraId="45F820B5">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 xml:space="preserve">单机功率0.37KW </w:t>
                  </w:r>
                </w:p>
              </w:tc>
              <w:tc>
                <w:tcPr>
                  <w:tcW w:w="447" w:type="pct"/>
                  <w:shd w:val="clear" w:color="auto" w:fill="auto"/>
                  <w:vAlign w:val="center"/>
                </w:tcPr>
                <w:p w14:paraId="4A76538B">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1套</w:t>
                  </w:r>
                </w:p>
              </w:tc>
            </w:tr>
            <w:tr w14:paraId="2514A2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8" w:hRule="atLeast"/>
                <w:jc w:val="center"/>
              </w:trPr>
              <w:tc>
                <w:tcPr>
                  <w:tcW w:w="403" w:type="pct"/>
                  <w:shd w:val="clear" w:color="auto" w:fill="auto"/>
                  <w:vAlign w:val="center"/>
                </w:tcPr>
                <w:p w14:paraId="62D275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1564" w:type="pct"/>
                  <w:shd w:val="clear" w:color="auto" w:fill="auto"/>
                  <w:vAlign w:val="center"/>
                </w:tcPr>
                <w:p w14:paraId="240FAAF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室外葵花籽筒仓</w:t>
                  </w:r>
                </w:p>
              </w:tc>
              <w:tc>
                <w:tcPr>
                  <w:tcW w:w="2584" w:type="pct"/>
                  <w:shd w:val="clear" w:color="auto" w:fill="auto"/>
                  <w:vAlign w:val="center"/>
                </w:tcPr>
                <w:p w14:paraId="681469AF">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仓顶2台风机，仓底2台风机，出料口1台手电一体闸门共计5台电机</w:t>
                  </w:r>
                </w:p>
              </w:tc>
              <w:tc>
                <w:tcPr>
                  <w:tcW w:w="447" w:type="pct"/>
                  <w:shd w:val="clear" w:color="auto" w:fill="auto"/>
                  <w:vAlign w:val="center"/>
                </w:tcPr>
                <w:p w14:paraId="60D873B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1套</w:t>
                  </w:r>
                </w:p>
              </w:tc>
            </w:tr>
            <w:tr w14:paraId="029BA7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93" w:hRule="atLeast"/>
                <w:jc w:val="center"/>
              </w:trPr>
              <w:tc>
                <w:tcPr>
                  <w:tcW w:w="403" w:type="pct"/>
                  <w:shd w:val="clear" w:color="auto" w:fill="auto"/>
                  <w:vAlign w:val="center"/>
                </w:tcPr>
                <w:p w14:paraId="2C2A15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7.1</w:t>
                  </w:r>
                </w:p>
              </w:tc>
              <w:tc>
                <w:tcPr>
                  <w:tcW w:w="1564" w:type="pct"/>
                  <w:shd w:val="clear" w:color="auto" w:fill="auto"/>
                  <w:vAlign w:val="center"/>
                </w:tcPr>
                <w:p w14:paraId="6DC812D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仓顶引风机A</w:t>
                  </w:r>
                </w:p>
              </w:tc>
              <w:tc>
                <w:tcPr>
                  <w:tcW w:w="2584" w:type="pct"/>
                  <w:shd w:val="clear" w:color="auto" w:fill="auto"/>
                  <w:vAlign w:val="center"/>
                </w:tcPr>
                <w:p w14:paraId="1561509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单机功率0.55KW</w:t>
                  </w:r>
                </w:p>
              </w:tc>
              <w:tc>
                <w:tcPr>
                  <w:tcW w:w="447" w:type="pct"/>
                  <w:shd w:val="clear" w:color="auto" w:fill="auto"/>
                  <w:vAlign w:val="center"/>
                </w:tcPr>
                <w:p w14:paraId="06D7E8F4">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0DBD5B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2E3573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1564" w:type="pct"/>
                  <w:shd w:val="clear" w:color="auto" w:fill="auto"/>
                  <w:vAlign w:val="center"/>
                </w:tcPr>
                <w:p w14:paraId="5E78BFA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仓顶引风机B</w:t>
                  </w:r>
                </w:p>
              </w:tc>
              <w:tc>
                <w:tcPr>
                  <w:tcW w:w="2584" w:type="pct"/>
                  <w:shd w:val="clear" w:color="auto" w:fill="auto"/>
                  <w:vAlign w:val="center"/>
                </w:tcPr>
                <w:p w14:paraId="77E01DE7">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单机功率0.55KW</w:t>
                  </w:r>
                </w:p>
              </w:tc>
              <w:tc>
                <w:tcPr>
                  <w:tcW w:w="447" w:type="pct"/>
                  <w:shd w:val="clear" w:color="auto" w:fill="auto"/>
                  <w:vAlign w:val="center"/>
                </w:tcPr>
                <w:p w14:paraId="2DC6B5E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22C9F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9" w:hRule="atLeast"/>
                <w:jc w:val="center"/>
              </w:trPr>
              <w:tc>
                <w:tcPr>
                  <w:tcW w:w="403" w:type="pct"/>
                  <w:shd w:val="clear" w:color="auto" w:fill="auto"/>
                  <w:vAlign w:val="center"/>
                </w:tcPr>
                <w:p w14:paraId="162C9A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7.3</w:t>
                  </w:r>
                </w:p>
              </w:tc>
              <w:tc>
                <w:tcPr>
                  <w:tcW w:w="1564" w:type="pct"/>
                  <w:shd w:val="clear" w:color="auto" w:fill="auto"/>
                  <w:vAlign w:val="center"/>
                </w:tcPr>
                <w:p w14:paraId="11C646F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仓底鼓风机A</w:t>
                  </w:r>
                </w:p>
              </w:tc>
              <w:tc>
                <w:tcPr>
                  <w:tcW w:w="2584" w:type="pct"/>
                  <w:shd w:val="clear" w:color="auto" w:fill="auto"/>
                  <w:vAlign w:val="center"/>
                </w:tcPr>
                <w:p w14:paraId="17253A4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单机功率7.5KW</w:t>
                  </w:r>
                </w:p>
              </w:tc>
              <w:tc>
                <w:tcPr>
                  <w:tcW w:w="447" w:type="pct"/>
                  <w:shd w:val="clear" w:color="auto" w:fill="auto"/>
                  <w:vAlign w:val="center"/>
                </w:tcPr>
                <w:p w14:paraId="3CE2D491">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73D8E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3" w:hRule="atLeast"/>
                <w:jc w:val="center"/>
              </w:trPr>
              <w:tc>
                <w:tcPr>
                  <w:tcW w:w="403" w:type="pct"/>
                  <w:shd w:val="clear" w:color="auto" w:fill="auto"/>
                  <w:vAlign w:val="center"/>
                </w:tcPr>
                <w:p w14:paraId="0D30B8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7.4</w:t>
                  </w:r>
                </w:p>
              </w:tc>
              <w:tc>
                <w:tcPr>
                  <w:tcW w:w="1564" w:type="pct"/>
                  <w:shd w:val="clear" w:color="auto" w:fill="auto"/>
                  <w:vAlign w:val="center"/>
                </w:tcPr>
                <w:p w14:paraId="7CC623C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仓底鼓风机B</w:t>
                  </w:r>
                </w:p>
              </w:tc>
              <w:tc>
                <w:tcPr>
                  <w:tcW w:w="2584" w:type="pct"/>
                  <w:shd w:val="clear" w:color="auto" w:fill="auto"/>
                  <w:vAlign w:val="center"/>
                </w:tcPr>
                <w:p w14:paraId="5AA337BB">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单机功率7.5KW</w:t>
                  </w:r>
                </w:p>
              </w:tc>
              <w:tc>
                <w:tcPr>
                  <w:tcW w:w="447" w:type="pct"/>
                  <w:shd w:val="clear" w:color="auto" w:fill="auto"/>
                  <w:vAlign w:val="center"/>
                </w:tcPr>
                <w:p w14:paraId="733F22B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D3543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4EB925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c>
                <w:tcPr>
                  <w:tcW w:w="1564" w:type="pct"/>
                  <w:shd w:val="clear" w:color="auto" w:fill="auto"/>
                  <w:vAlign w:val="center"/>
                </w:tcPr>
                <w:p w14:paraId="45D58E9D">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手电一体闸门</w:t>
                  </w:r>
                </w:p>
              </w:tc>
              <w:tc>
                <w:tcPr>
                  <w:tcW w:w="2584" w:type="pct"/>
                  <w:shd w:val="clear" w:color="auto" w:fill="auto"/>
                  <w:vAlign w:val="center"/>
                </w:tcPr>
                <w:p w14:paraId="7835E9E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 xml:space="preserve">单机功率0.37KW </w:t>
                  </w:r>
                </w:p>
              </w:tc>
              <w:tc>
                <w:tcPr>
                  <w:tcW w:w="447" w:type="pct"/>
                  <w:shd w:val="clear" w:color="auto" w:fill="auto"/>
                  <w:vAlign w:val="center"/>
                </w:tcPr>
                <w:p w14:paraId="1199AB29">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21EA9C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5D8541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564" w:type="pct"/>
                  <w:shd w:val="clear" w:color="auto" w:fill="auto"/>
                  <w:vAlign w:val="center"/>
                </w:tcPr>
                <w:p w14:paraId="365E27E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室外筒仓除尘器</w:t>
                  </w:r>
                </w:p>
              </w:tc>
              <w:tc>
                <w:tcPr>
                  <w:tcW w:w="2584" w:type="pct"/>
                  <w:shd w:val="clear" w:color="auto" w:fill="auto"/>
                  <w:vAlign w:val="center"/>
                </w:tcPr>
                <w:p w14:paraId="448A48EB">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预处理除尘器含1台4联沙克龙，2台关风器，1台脉冲除尘器，1台除尘器风机，合计3台电机</w:t>
                  </w:r>
                </w:p>
              </w:tc>
              <w:tc>
                <w:tcPr>
                  <w:tcW w:w="447" w:type="pct"/>
                  <w:shd w:val="clear" w:color="auto" w:fill="auto"/>
                  <w:vAlign w:val="center"/>
                </w:tcPr>
                <w:p w14:paraId="0EB5116F">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1套</w:t>
                  </w:r>
                </w:p>
              </w:tc>
            </w:tr>
            <w:tr w14:paraId="21C7AC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403" w:type="pct"/>
                  <w:shd w:val="clear" w:color="auto" w:fill="auto"/>
                  <w:vAlign w:val="center"/>
                </w:tcPr>
                <w:p w14:paraId="1A5447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8.1</w:t>
                  </w:r>
                </w:p>
              </w:tc>
              <w:tc>
                <w:tcPr>
                  <w:tcW w:w="1564" w:type="pct"/>
                  <w:shd w:val="clear" w:color="auto" w:fill="auto"/>
                  <w:vAlign w:val="center"/>
                </w:tcPr>
                <w:p w14:paraId="3216419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沙克龙</w:t>
                  </w:r>
                </w:p>
              </w:tc>
              <w:tc>
                <w:tcPr>
                  <w:tcW w:w="2584" w:type="pct"/>
                  <w:shd w:val="clear" w:color="auto" w:fill="auto"/>
                  <w:vAlign w:val="center"/>
                </w:tcPr>
                <w:p w14:paraId="3BF72951">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旋风除尘器</w:t>
                  </w:r>
                </w:p>
              </w:tc>
              <w:tc>
                <w:tcPr>
                  <w:tcW w:w="447" w:type="pct"/>
                  <w:shd w:val="clear" w:color="auto" w:fill="auto"/>
                  <w:vAlign w:val="center"/>
                </w:tcPr>
                <w:p w14:paraId="17D8594D">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009B6C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15ECAC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8.2</w:t>
                  </w:r>
                </w:p>
              </w:tc>
              <w:tc>
                <w:tcPr>
                  <w:tcW w:w="1564" w:type="pct"/>
                  <w:shd w:val="clear" w:color="auto" w:fill="auto"/>
                  <w:vAlign w:val="center"/>
                </w:tcPr>
                <w:p w14:paraId="3582682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关风器</w:t>
                  </w:r>
                </w:p>
              </w:tc>
              <w:tc>
                <w:tcPr>
                  <w:tcW w:w="2584" w:type="pct"/>
                  <w:shd w:val="clear" w:color="auto" w:fill="auto"/>
                  <w:vAlign w:val="center"/>
                </w:tcPr>
                <w:p w14:paraId="0931A131">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单机功率2.2KW</w:t>
                  </w:r>
                </w:p>
              </w:tc>
              <w:tc>
                <w:tcPr>
                  <w:tcW w:w="447" w:type="pct"/>
                  <w:shd w:val="clear" w:color="auto" w:fill="auto"/>
                  <w:vAlign w:val="center"/>
                </w:tcPr>
                <w:p w14:paraId="73A216CA">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7DAC8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17AD89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8.3</w:t>
                  </w:r>
                </w:p>
              </w:tc>
              <w:tc>
                <w:tcPr>
                  <w:tcW w:w="1564" w:type="pct"/>
                  <w:shd w:val="clear" w:color="auto" w:fill="auto"/>
                  <w:vAlign w:val="center"/>
                </w:tcPr>
                <w:p w14:paraId="03BF861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脉冲除尘器</w:t>
                  </w:r>
                </w:p>
              </w:tc>
              <w:tc>
                <w:tcPr>
                  <w:tcW w:w="2584" w:type="pct"/>
                  <w:shd w:val="clear" w:color="auto" w:fill="auto"/>
                  <w:vAlign w:val="center"/>
                </w:tcPr>
                <w:p w14:paraId="150B5154">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布袋除尘器</w:t>
                  </w:r>
                </w:p>
              </w:tc>
              <w:tc>
                <w:tcPr>
                  <w:tcW w:w="447" w:type="pct"/>
                  <w:shd w:val="clear" w:color="auto" w:fill="auto"/>
                  <w:vAlign w:val="center"/>
                </w:tcPr>
                <w:p w14:paraId="0E655D2F">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2027DE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7F77CD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8.4</w:t>
                  </w:r>
                </w:p>
              </w:tc>
              <w:tc>
                <w:tcPr>
                  <w:tcW w:w="1564" w:type="pct"/>
                  <w:shd w:val="clear" w:color="auto" w:fill="auto"/>
                  <w:vAlign w:val="center"/>
                </w:tcPr>
                <w:p w14:paraId="714878D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关风器</w:t>
                  </w:r>
                </w:p>
              </w:tc>
              <w:tc>
                <w:tcPr>
                  <w:tcW w:w="2584" w:type="pct"/>
                  <w:shd w:val="clear" w:color="auto" w:fill="auto"/>
                  <w:vAlign w:val="center"/>
                </w:tcPr>
                <w:p w14:paraId="230324D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单机功率2.2KW</w:t>
                  </w:r>
                </w:p>
              </w:tc>
              <w:tc>
                <w:tcPr>
                  <w:tcW w:w="447" w:type="pct"/>
                  <w:shd w:val="clear" w:color="auto" w:fill="auto"/>
                  <w:vAlign w:val="center"/>
                </w:tcPr>
                <w:p w14:paraId="4055D9FD">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66EE8E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0AA368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1564" w:type="pct"/>
                  <w:shd w:val="clear" w:color="auto" w:fill="auto"/>
                  <w:vAlign w:val="center"/>
                </w:tcPr>
                <w:p w14:paraId="0616E5DD">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除尘器风机</w:t>
                  </w:r>
                </w:p>
              </w:tc>
              <w:tc>
                <w:tcPr>
                  <w:tcW w:w="2584" w:type="pct"/>
                  <w:shd w:val="clear" w:color="auto" w:fill="auto"/>
                  <w:vAlign w:val="center"/>
                </w:tcPr>
                <w:p w14:paraId="37F396AC">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单机功率7.5KW</w:t>
                  </w:r>
                </w:p>
              </w:tc>
              <w:tc>
                <w:tcPr>
                  <w:tcW w:w="447" w:type="pct"/>
                  <w:shd w:val="clear" w:color="auto" w:fill="auto"/>
                  <w:vAlign w:val="center"/>
                </w:tcPr>
                <w:p w14:paraId="3DD26EB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19EE25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2BAE7E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1564" w:type="pct"/>
                  <w:shd w:val="clear" w:color="auto" w:fill="auto"/>
                  <w:vAlign w:val="center"/>
                </w:tcPr>
                <w:p w14:paraId="7B73AD9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刮板输送机</w:t>
                  </w:r>
                  <w:r>
                    <w:rPr>
                      <w:rFonts w:hint="eastAsia" w:ascii="Times New Roman" w:hAnsi="Times New Roman" w:cs="Times New Roman"/>
                      <w:i w:val="0"/>
                      <w:iCs w:val="0"/>
                      <w:color w:val="auto"/>
                      <w:kern w:val="0"/>
                      <w:sz w:val="21"/>
                      <w:szCs w:val="21"/>
                      <w:highlight w:val="none"/>
                      <w:u w:val="none"/>
                      <w:lang w:val="en-US" w:eastAsia="zh-CN" w:bidi="ar"/>
                    </w:rPr>
                    <w:t>A</w:t>
                  </w:r>
                </w:p>
              </w:tc>
              <w:tc>
                <w:tcPr>
                  <w:tcW w:w="2584" w:type="pct"/>
                  <w:shd w:val="clear" w:color="auto" w:fill="auto"/>
                  <w:vAlign w:val="center"/>
                </w:tcPr>
                <w:p w14:paraId="5720C294">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单机功率7.5KW</w:t>
                  </w:r>
                </w:p>
              </w:tc>
              <w:tc>
                <w:tcPr>
                  <w:tcW w:w="447" w:type="pct"/>
                  <w:shd w:val="clear" w:color="auto" w:fill="auto"/>
                  <w:vAlign w:val="center"/>
                </w:tcPr>
                <w:p w14:paraId="4A61976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00BE4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6" w:hRule="atLeast"/>
                <w:jc w:val="center"/>
              </w:trPr>
              <w:tc>
                <w:tcPr>
                  <w:tcW w:w="403" w:type="pct"/>
                  <w:shd w:val="clear" w:color="auto" w:fill="auto"/>
                  <w:vAlign w:val="center"/>
                </w:tcPr>
                <w:p w14:paraId="35DFF8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564" w:type="pct"/>
                  <w:shd w:val="clear" w:color="auto" w:fill="auto"/>
                  <w:vAlign w:val="center"/>
                </w:tcPr>
                <w:p w14:paraId="4626E95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刮板输送机</w:t>
                  </w:r>
                  <w:r>
                    <w:rPr>
                      <w:rFonts w:hint="eastAsia" w:ascii="Times New Roman" w:hAnsi="Times New Roman" w:cs="Times New Roman"/>
                      <w:i w:val="0"/>
                      <w:iCs w:val="0"/>
                      <w:color w:val="auto"/>
                      <w:kern w:val="0"/>
                      <w:sz w:val="21"/>
                      <w:szCs w:val="21"/>
                      <w:highlight w:val="none"/>
                      <w:u w:val="none"/>
                      <w:lang w:val="en-US" w:eastAsia="zh-CN" w:bidi="ar"/>
                    </w:rPr>
                    <w:t>B</w:t>
                  </w:r>
                </w:p>
              </w:tc>
              <w:tc>
                <w:tcPr>
                  <w:tcW w:w="2584" w:type="pct"/>
                  <w:shd w:val="clear" w:color="auto" w:fill="auto"/>
                  <w:vAlign w:val="center"/>
                </w:tcPr>
                <w:p w14:paraId="3883DA7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单机功率4KW</w:t>
                  </w:r>
                </w:p>
              </w:tc>
              <w:tc>
                <w:tcPr>
                  <w:tcW w:w="447" w:type="pct"/>
                  <w:shd w:val="clear" w:color="auto" w:fill="auto"/>
                  <w:vAlign w:val="center"/>
                </w:tcPr>
                <w:p w14:paraId="2334FE6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2台</w:t>
                  </w:r>
                </w:p>
              </w:tc>
            </w:tr>
            <w:tr w14:paraId="2E447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5000" w:type="pct"/>
                  <w:gridSpan w:val="4"/>
                  <w:shd w:val="clear" w:color="auto" w:fill="auto"/>
                  <w:vAlign w:val="center"/>
                </w:tcPr>
                <w:p w14:paraId="7D296E0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bCs/>
                      <w:color w:val="auto"/>
                      <w:sz w:val="21"/>
                      <w:szCs w:val="21"/>
                      <w:highlight w:val="none"/>
                      <w:lang w:val="en-US" w:eastAsia="zh-CN"/>
                    </w:rPr>
                    <w:t>预处理2</w:t>
                  </w:r>
                </w:p>
              </w:tc>
            </w:tr>
            <w:tr w14:paraId="7CB81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3F2816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1564" w:type="pct"/>
                  <w:shd w:val="clear" w:color="auto" w:fill="auto"/>
                  <w:vAlign w:val="center"/>
                </w:tcPr>
                <w:p w14:paraId="2B075E8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除杂去石组合机</w:t>
                  </w:r>
                </w:p>
              </w:tc>
              <w:tc>
                <w:tcPr>
                  <w:tcW w:w="2584" w:type="pct"/>
                  <w:shd w:val="clear" w:color="auto" w:fill="auto"/>
                  <w:vAlign w:val="center"/>
                </w:tcPr>
                <w:p w14:paraId="086FB679">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单机功率8KW，处理量0.8-1.2T/h，含2*2KW震动电机，1*4KW风机。共计3台电机，整机配置小电柜，按钮控制启停</w:t>
                  </w:r>
                </w:p>
              </w:tc>
              <w:tc>
                <w:tcPr>
                  <w:tcW w:w="447" w:type="pct"/>
                  <w:shd w:val="clear" w:color="auto" w:fill="auto"/>
                  <w:vAlign w:val="center"/>
                </w:tcPr>
                <w:p w14:paraId="7DCDB067">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2899A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4" w:hRule="atLeast"/>
                <w:jc w:val="center"/>
              </w:trPr>
              <w:tc>
                <w:tcPr>
                  <w:tcW w:w="403" w:type="pct"/>
                  <w:shd w:val="clear" w:color="auto" w:fill="auto"/>
                  <w:vAlign w:val="center"/>
                </w:tcPr>
                <w:p w14:paraId="6566FB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1564" w:type="pct"/>
                  <w:shd w:val="clear" w:color="auto" w:fill="auto"/>
                  <w:vAlign w:val="center"/>
                </w:tcPr>
                <w:p w14:paraId="59730E0B">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葵花籽剥壳机</w:t>
                  </w:r>
                </w:p>
              </w:tc>
              <w:tc>
                <w:tcPr>
                  <w:tcW w:w="2584" w:type="pct"/>
                  <w:shd w:val="clear" w:color="auto" w:fill="auto"/>
                  <w:vAlign w:val="center"/>
                </w:tcPr>
                <w:p w14:paraId="1330E51C">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临河永明机械KTF—2；单机功率29KW，处理量0.8-2.5T/h；含2*2.2KW提升机电机，2*4KW剥壳机头电机，2*5.5KW引风机，2*0.55KW震动电机，2*1.5KW出皮绞龙电机，1*1.5KW输送机电机。共计11台电机。整机有PLC控制柜</w:t>
                  </w:r>
                </w:p>
              </w:tc>
              <w:tc>
                <w:tcPr>
                  <w:tcW w:w="447" w:type="pct"/>
                  <w:shd w:val="clear" w:color="auto" w:fill="auto"/>
                  <w:vAlign w:val="center"/>
                </w:tcPr>
                <w:p w14:paraId="51EA4C38">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7F7B9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0BA8E6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1564" w:type="pct"/>
                  <w:shd w:val="clear" w:color="auto" w:fill="auto"/>
                  <w:vAlign w:val="center"/>
                </w:tcPr>
                <w:p w14:paraId="3B073BB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提升机</w:t>
                  </w:r>
                </w:p>
              </w:tc>
              <w:tc>
                <w:tcPr>
                  <w:tcW w:w="2584" w:type="pct"/>
                  <w:shd w:val="clear" w:color="auto" w:fill="auto"/>
                  <w:vAlign w:val="center"/>
                </w:tcPr>
                <w:p w14:paraId="0B339C66">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单机功率4KW，5T/h，并入剥壳机</w:t>
                  </w:r>
                </w:p>
              </w:tc>
              <w:tc>
                <w:tcPr>
                  <w:tcW w:w="447" w:type="pct"/>
                  <w:shd w:val="clear" w:color="auto" w:fill="auto"/>
                  <w:vAlign w:val="center"/>
                </w:tcPr>
                <w:p w14:paraId="0348CB7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81C0A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6CD431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564" w:type="pct"/>
                  <w:shd w:val="clear" w:color="auto" w:fill="auto"/>
                  <w:vAlign w:val="center"/>
                </w:tcPr>
                <w:p w14:paraId="4311B5A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粉碎机</w:t>
                  </w:r>
                </w:p>
              </w:tc>
              <w:tc>
                <w:tcPr>
                  <w:tcW w:w="2584" w:type="pct"/>
                  <w:shd w:val="clear" w:color="auto" w:fill="auto"/>
                  <w:vAlign w:val="center"/>
                </w:tcPr>
                <w:p w14:paraId="158D6AB3">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default"/>
                      <w:color w:val="auto"/>
                      <w:highlight w:val="none"/>
                      <w:lang w:val="en-US" w:eastAsia="zh-CN"/>
                    </w:rPr>
                  </w:pPr>
                  <w:r>
                    <w:rPr>
                      <w:rFonts w:hint="eastAsia" w:cs="Times New Roman"/>
                      <w:color w:val="auto"/>
                      <w:sz w:val="21"/>
                      <w:szCs w:val="21"/>
                      <w:highlight w:val="none"/>
                      <w:lang w:val="en-US" w:eastAsia="zh-CN"/>
                    </w:rPr>
                    <w:t>全封闭设置，PE-800SS(M)；单机功率22KW，粉碎能力500—1000kg/h</w:t>
                  </w:r>
                </w:p>
              </w:tc>
              <w:tc>
                <w:tcPr>
                  <w:tcW w:w="447" w:type="pct"/>
                  <w:shd w:val="clear" w:color="auto" w:fill="auto"/>
                  <w:vAlign w:val="center"/>
                </w:tcPr>
                <w:p w14:paraId="461D0A30">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0B42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0" w:hRule="atLeast"/>
                <w:jc w:val="center"/>
              </w:trPr>
              <w:tc>
                <w:tcPr>
                  <w:tcW w:w="403" w:type="pct"/>
                  <w:shd w:val="clear" w:color="auto" w:fill="auto"/>
                  <w:vAlign w:val="center"/>
                </w:tcPr>
                <w:p w14:paraId="5A2A01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1564" w:type="pct"/>
                  <w:shd w:val="clear" w:color="auto" w:fill="auto"/>
                  <w:vAlign w:val="center"/>
                </w:tcPr>
                <w:p w14:paraId="246ECF34">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粉碎机出料输送机</w:t>
                  </w:r>
                </w:p>
              </w:tc>
              <w:tc>
                <w:tcPr>
                  <w:tcW w:w="2584" w:type="pct"/>
                  <w:shd w:val="clear" w:color="auto" w:fill="auto"/>
                  <w:vAlign w:val="center"/>
                </w:tcPr>
                <w:p w14:paraId="08A683D5">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单机功率2.2KW</w:t>
                  </w:r>
                </w:p>
              </w:tc>
              <w:tc>
                <w:tcPr>
                  <w:tcW w:w="447" w:type="pct"/>
                  <w:shd w:val="clear" w:color="auto" w:fill="auto"/>
                  <w:vAlign w:val="center"/>
                </w:tcPr>
                <w:p w14:paraId="75E66C47">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716D6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143BB3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w:t>
                  </w:r>
                </w:p>
              </w:tc>
              <w:tc>
                <w:tcPr>
                  <w:tcW w:w="1564" w:type="pct"/>
                  <w:shd w:val="clear" w:color="auto" w:fill="auto"/>
                  <w:vAlign w:val="center"/>
                </w:tcPr>
                <w:p w14:paraId="679FC6EB">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提升机</w:t>
                  </w:r>
                </w:p>
              </w:tc>
              <w:tc>
                <w:tcPr>
                  <w:tcW w:w="2584" w:type="pct"/>
                  <w:shd w:val="clear" w:color="auto" w:fill="auto"/>
                  <w:vAlign w:val="center"/>
                </w:tcPr>
                <w:p w14:paraId="7834B696">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单机功率4KW，5T/h</w:t>
                  </w:r>
                </w:p>
              </w:tc>
              <w:tc>
                <w:tcPr>
                  <w:tcW w:w="447" w:type="pct"/>
                  <w:shd w:val="clear" w:color="auto" w:fill="auto"/>
                  <w:vAlign w:val="center"/>
                </w:tcPr>
                <w:p w14:paraId="59C9AC59">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0D3CD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9" w:hRule="atLeast"/>
                <w:jc w:val="center"/>
              </w:trPr>
              <w:tc>
                <w:tcPr>
                  <w:tcW w:w="403" w:type="pct"/>
                  <w:shd w:val="clear" w:color="auto" w:fill="auto"/>
                  <w:vAlign w:val="center"/>
                </w:tcPr>
                <w:p w14:paraId="6D6498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1564" w:type="pct"/>
                  <w:shd w:val="clear" w:color="auto" w:fill="auto"/>
                  <w:vAlign w:val="center"/>
                </w:tcPr>
                <w:p w14:paraId="74BCE066">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在线筒仓</w:t>
                  </w:r>
                </w:p>
              </w:tc>
              <w:tc>
                <w:tcPr>
                  <w:tcW w:w="2584" w:type="pct"/>
                  <w:shd w:val="clear" w:color="auto" w:fill="auto"/>
                  <w:vAlign w:val="center"/>
                </w:tcPr>
                <w:p w14:paraId="6AFF6074">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储存容积6m</w:t>
                  </w:r>
                  <w:r>
                    <w:rPr>
                      <w:rFonts w:hint="eastAsia" w:cs="Times New Roman"/>
                      <w:color w:val="auto"/>
                      <w:sz w:val="21"/>
                      <w:szCs w:val="21"/>
                      <w:highlight w:val="none"/>
                      <w:vertAlign w:val="superscript"/>
                      <w:lang w:val="en-US" w:eastAsia="zh-CN"/>
                    </w:rPr>
                    <w:t>3</w:t>
                  </w:r>
                </w:p>
              </w:tc>
              <w:tc>
                <w:tcPr>
                  <w:tcW w:w="447" w:type="pct"/>
                  <w:shd w:val="clear" w:color="auto" w:fill="auto"/>
                  <w:vAlign w:val="center"/>
                </w:tcPr>
                <w:p w14:paraId="0931BC49">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47C6C2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8" w:hRule="atLeast"/>
                <w:jc w:val="center"/>
              </w:trPr>
              <w:tc>
                <w:tcPr>
                  <w:tcW w:w="403" w:type="pct"/>
                  <w:shd w:val="clear" w:color="auto" w:fill="auto"/>
                  <w:vAlign w:val="center"/>
                </w:tcPr>
                <w:p w14:paraId="7A7580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1564" w:type="pct"/>
                  <w:shd w:val="clear" w:color="auto" w:fill="auto"/>
                  <w:vAlign w:val="center"/>
                </w:tcPr>
                <w:p w14:paraId="46903FD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手电一体闸门</w:t>
                  </w:r>
                </w:p>
              </w:tc>
              <w:tc>
                <w:tcPr>
                  <w:tcW w:w="2584" w:type="pct"/>
                  <w:shd w:val="clear" w:color="auto" w:fill="auto"/>
                  <w:vAlign w:val="center"/>
                </w:tcPr>
                <w:p w14:paraId="4348E2A5">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default"/>
                      <w:color w:val="auto"/>
                      <w:highlight w:val="none"/>
                      <w:lang w:val="en-US" w:eastAsia="zh-CN"/>
                    </w:rPr>
                  </w:pPr>
                  <w:r>
                    <w:rPr>
                      <w:rFonts w:hint="eastAsia" w:cs="Times New Roman"/>
                      <w:color w:val="auto"/>
                      <w:sz w:val="21"/>
                      <w:szCs w:val="21"/>
                      <w:highlight w:val="none"/>
                      <w:lang w:val="en-US" w:eastAsia="zh-CN"/>
                    </w:rPr>
                    <w:t>单机功率0.37KW</w:t>
                  </w:r>
                </w:p>
              </w:tc>
              <w:tc>
                <w:tcPr>
                  <w:tcW w:w="447" w:type="pct"/>
                  <w:shd w:val="clear" w:color="auto" w:fill="auto"/>
                  <w:vAlign w:val="center"/>
                </w:tcPr>
                <w:p w14:paraId="57AB0EE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17D800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4" w:hRule="atLeast"/>
                <w:jc w:val="center"/>
              </w:trPr>
              <w:tc>
                <w:tcPr>
                  <w:tcW w:w="403" w:type="pct"/>
                  <w:shd w:val="clear" w:color="auto" w:fill="auto"/>
                  <w:vAlign w:val="center"/>
                </w:tcPr>
                <w:p w14:paraId="645E39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19.1</w:t>
                  </w:r>
                </w:p>
              </w:tc>
              <w:tc>
                <w:tcPr>
                  <w:tcW w:w="1564" w:type="pct"/>
                  <w:shd w:val="clear" w:color="auto" w:fill="auto"/>
                  <w:vAlign w:val="center"/>
                </w:tcPr>
                <w:p w14:paraId="360F521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输送机</w:t>
                  </w:r>
                </w:p>
              </w:tc>
              <w:tc>
                <w:tcPr>
                  <w:tcW w:w="2584" w:type="pct"/>
                  <w:shd w:val="clear" w:color="auto" w:fill="auto"/>
                  <w:vAlign w:val="center"/>
                </w:tcPr>
                <w:p w14:paraId="582D3FE2">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单机功率2.2KW，5T/h</w:t>
                  </w:r>
                </w:p>
              </w:tc>
              <w:tc>
                <w:tcPr>
                  <w:tcW w:w="447" w:type="pct"/>
                  <w:shd w:val="clear" w:color="auto" w:fill="auto"/>
                  <w:vAlign w:val="center"/>
                </w:tcPr>
                <w:p w14:paraId="537EA263">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33BB24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0946A4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1564" w:type="pct"/>
                  <w:shd w:val="clear" w:color="auto" w:fill="auto"/>
                  <w:vAlign w:val="center"/>
                </w:tcPr>
                <w:p w14:paraId="356D2981">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提升机</w:t>
                  </w:r>
                </w:p>
              </w:tc>
              <w:tc>
                <w:tcPr>
                  <w:tcW w:w="2584" w:type="pct"/>
                  <w:shd w:val="clear" w:color="auto" w:fill="auto"/>
                  <w:vAlign w:val="center"/>
                </w:tcPr>
                <w:p w14:paraId="1E79C454">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单机功率4KW，5T/h</w:t>
                  </w:r>
                </w:p>
              </w:tc>
              <w:tc>
                <w:tcPr>
                  <w:tcW w:w="447" w:type="pct"/>
                  <w:shd w:val="clear" w:color="auto" w:fill="auto"/>
                  <w:vAlign w:val="center"/>
                </w:tcPr>
                <w:p w14:paraId="041F4439">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38610E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7" w:hRule="atLeast"/>
                <w:jc w:val="center"/>
              </w:trPr>
              <w:tc>
                <w:tcPr>
                  <w:tcW w:w="403" w:type="pct"/>
                  <w:shd w:val="clear" w:color="auto" w:fill="auto"/>
                  <w:vAlign w:val="center"/>
                </w:tcPr>
                <w:p w14:paraId="541486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1564" w:type="pct"/>
                  <w:shd w:val="clear" w:color="auto" w:fill="auto"/>
                  <w:vAlign w:val="center"/>
                </w:tcPr>
                <w:p w14:paraId="61F5C836">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计量给料机</w:t>
                  </w:r>
                </w:p>
              </w:tc>
              <w:tc>
                <w:tcPr>
                  <w:tcW w:w="2584" w:type="pct"/>
                  <w:shd w:val="clear" w:color="auto" w:fill="auto"/>
                  <w:vAlign w:val="center"/>
                </w:tcPr>
                <w:p w14:paraId="18430041">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下料速度：60kg/min，精度不大于1%</w:t>
                  </w:r>
                </w:p>
              </w:tc>
              <w:tc>
                <w:tcPr>
                  <w:tcW w:w="447" w:type="pct"/>
                  <w:shd w:val="clear" w:color="auto" w:fill="auto"/>
                  <w:vAlign w:val="center"/>
                </w:tcPr>
                <w:p w14:paraId="02FB33B5">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67F5F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1A174C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1564" w:type="pct"/>
                  <w:shd w:val="clear" w:color="auto" w:fill="auto"/>
                  <w:vAlign w:val="center"/>
                </w:tcPr>
                <w:p w14:paraId="52636CB1">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葵花仁/玉米胚芽称重罐</w:t>
                  </w:r>
                </w:p>
              </w:tc>
              <w:tc>
                <w:tcPr>
                  <w:tcW w:w="2584" w:type="pct"/>
                  <w:shd w:val="clear" w:color="auto" w:fill="auto"/>
                  <w:vAlign w:val="center"/>
                </w:tcPr>
                <w:p w14:paraId="60D57F57">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560E5625">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1E6080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9" w:hRule="atLeast"/>
                <w:jc w:val="center"/>
              </w:trPr>
              <w:tc>
                <w:tcPr>
                  <w:tcW w:w="403" w:type="pct"/>
                  <w:shd w:val="clear" w:color="auto" w:fill="auto"/>
                  <w:vAlign w:val="center"/>
                </w:tcPr>
                <w:p w14:paraId="567038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22.1</w:t>
                  </w:r>
                </w:p>
              </w:tc>
              <w:tc>
                <w:tcPr>
                  <w:tcW w:w="1564" w:type="pct"/>
                  <w:shd w:val="clear" w:color="auto" w:fill="auto"/>
                  <w:vAlign w:val="center"/>
                </w:tcPr>
                <w:p w14:paraId="360CE013">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定量机构配套绞龙</w:t>
                  </w:r>
                </w:p>
              </w:tc>
              <w:tc>
                <w:tcPr>
                  <w:tcW w:w="2584" w:type="pct"/>
                  <w:shd w:val="clear" w:color="auto" w:fill="auto"/>
                  <w:vAlign w:val="center"/>
                </w:tcPr>
                <w:p w14:paraId="2000833D">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单机功率2.2KW</w:t>
                  </w:r>
                </w:p>
              </w:tc>
              <w:tc>
                <w:tcPr>
                  <w:tcW w:w="447" w:type="pct"/>
                  <w:shd w:val="clear" w:color="auto" w:fill="auto"/>
                  <w:vAlign w:val="center"/>
                </w:tcPr>
                <w:p w14:paraId="259BDC6C">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6FEAA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9" w:hRule="atLeast"/>
                <w:jc w:val="center"/>
              </w:trPr>
              <w:tc>
                <w:tcPr>
                  <w:tcW w:w="403" w:type="pct"/>
                  <w:shd w:val="clear" w:color="auto" w:fill="auto"/>
                  <w:vAlign w:val="center"/>
                </w:tcPr>
                <w:p w14:paraId="5E93AE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23</w:t>
                  </w:r>
                </w:p>
              </w:tc>
              <w:tc>
                <w:tcPr>
                  <w:tcW w:w="1564" w:type="pct"/>
                  <w:shd w:val="clear" w:color="auto" w:fill="auto"/>
                  <w:vAlign w:val="center"/>
                </w:tcPr>
                <w:p w14:paraId="43DE0A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室外原料储存罐</w:t>
                  </w:r>
                </w:p>
              </w:tc>
              <w:tc>
                <w:tcPr>
                  <w:tcW w:w="2584" w:type="pct"/>
                  <w:shd w:val="clear" w:color="auto" w:fill="auto"/>
                  <w:vAlign w:val="center"/>
                </w:tcPr>
                <w:p w14:paraId="0070F730">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容积：70m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，碳钢镀锌材质，配备测温系统</w:t>
                  </w:r>
                </w:p>
              </w:tc>
              <w:tc>
                <w:tcPr>
                  <w:tcW w:w="447" w:type="pct"/>
                  <w:shd w:val="clear" w:color="auto" w:fill="auto"/>
                  <w:vAlign w:val="center"/>
                </w:tcPr>
                <w:p w14:paraId="2DCD367B">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2台</w:t>
                  </w:r>
                </w:p>
              </w:tc>
            </w:tr>
            <w:tr w14:paraId="68E196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7" w:hRule="atLeast"/>
                <w:jc w:val="center"/>
              </w:trPr>
              <w:tc>
                <w:tcPr>
                  <w:tcW w:w="5000" w:type="pct"/>
                  <w:gridSpan w:val="4"/>
                  <w:shd w:val="clear" w:color="auto" w:fill="auto"/>
                  <w:vAlign w:val="center"/>
                </w:tcPr>
                <w:p w14:paraId="2B4F9218">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bCs/>
                      <w:color w:val="auto"/>
                      <w:sz w:val="21"/>
                      <w:szCs w:val="21"/>
                      <w:highlight w:val="none"/>
                      <w:lang w:val="en-US" w:eastAsia="zh-CN"/>
                    </w:rPr>
                    <w:t>热萃取</w:t>
                  </w:r>
                </w:p>
              </w:tc>
            </w:tr>
            <w:tr w14:paraId="07AC4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1D9C83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564" w:type="pct"/>
                  <w:shd w:val="clear" w:color="auto" w:fill="auto"/>
                  <w:vAlign w:val="center"/>
                </w:tcPr>
                <w:p w14:paraId="6207BE9B">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一级油入油泵</w:t>
                  </w:r>
                </w:p>
              </w:tc>
              <w:tc>
                <w:tcPr>
                  <w:tcW w:w="2584" w:type="pct"/>
                  <w:shd w:val="clear" w:color="auto" w:fill="auto"/>
                  <w:vAlign w:val="center"/>
                </w:tcPr>
                <w:p w14:paraId="16AE488E">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单机功率5.5KW，进料速率10—15m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/h</w:t>
                  </w:r>
                </w:p>
              </w:tc>
              <w:tc>
                <w:tcPr>
                  <w:tcW w:w="447" w:type="pct"/>
                  <w:shd w:val="clear" w:color="auto" w:fill="auto"/>
                  <w:vAlign w:val="center"/>
                </w:tcPr>
                <w:p w14:paraId="67E6FC7A">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113489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3" w:hRule="atLeast"/>
                <w:jc w:val="center"/>
              </w:trPr>
              <w:tc>
                <w:tcPr>
                  <w:tcW w:w="403" w:type="pct"/>
                  <w:shd w:val="clear" w:color="auto" w:fill="auto"/>
                  <w:vAlign w:val="center"/>
                </w:tcPr>
                <w:p w14:paraId="641014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564" w:type="pct"/>
                  <w:shd w:val="clear" w:color="auto" w:fill="auto"/>
                  <w:vAlign w:val="center"/>
                </w:tcPr>
                <w:p w14:paraId="03C9BEE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一级玉米油罐</w:t>
                  </w:r>
                </w:p>
              </w:tc>
              <w:tc>
                <w:tcPr>
                  <w:tcW w:w="2584" w:type="pct"/>
                  <w:shd w:val="clear" w:color="auto" w:fill="auto"/>
                  <w:vAlign w:val="center"/>
                </w:tcPr>
                <w:p w14:paraId="3EF61D1B">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4CC4873A">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1154D3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97" w:hRule="atLeast"/>
                <w:jc w:val="center"/>
              </w:trPr>
              <w:tc>
                <w:tcPr>
                  <w:tcW w:w="403" w:type="pct"/>
                  <w:shd w:val="clear" w:color="auto" w:fill="auto"/>
                  <w:vAlign w:val="center"/>
                </w:tcPr>
                <w:p w14:paraId="700623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564" w:type="pct"/>
                  <w:shd w:val="clear" w:color="auto" w:fill="auto"/>
                  <w:vAlign w:val="center"/>
                </w:tcPr>
                <w:p w14:paraId="6F6B9F6B">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一级葵花油罐</w:t>
                  </w:r>
                </w:p>
              </w:tc>
              <w:tc>
                <w:tcPr>
                  <w:tcW w:w="2584" w:type="pct"/>
                  <w:shd w:val="clear" w:color="auto" w:fill="auto"/>
                  <w:vAlign w:val="center"/>
                </w:tcPr>
                <w:p w14:paraId="753113D7">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35A15A0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76A94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7" w:hRule="atLeast"/>
                <w:jc w:val="center"/>
              </w:trPr>
              <w:tc>
                <w:tcPr>
                  <w:tcW w:w="403" w:type="pct"/>
                  <w:shd w:val="clear" w:color="auto" w:fill="auto"/>
                  <w:vAlign w:val="center"/>
                </w:tcPr>
                <w:p w14:paraId="56E537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564" w:type="pct"/>
                  <w:shd w:val="clear" w:color="auto" w:fill="auto"/>
                  <w:vAlign w:val="center"/>
                </w:tcPr>
                <w:p w14:paraId="7B4B4DFD">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一级油出油泵</w:t>
                  </w:r>
                </w:p>
              </w:tc>
              <w:tc>
                <w:tcPr>
                  <w:tcW w:w="2584" w:type="pct"/>
                  <w:shd w:val="clear" w:color="auto" w:fill="auto"/>
                  <w:vAlign w:val="center"/>
                </w:tcPr>
                <w:p w14:paraId="25FB5ACD">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单机功率5.5KW，进料速率10—15m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/h</w:t>
                  </w:r>
                </w:p>
              </w:tc>
              <w:tc>
                <w:tcPr>
                  <w:tcW w:w="447" w:type="pct"/>
                  <w:shd w:val="clear" w:color="auto" w:fill="auto"/>
                  <w:vAlign w:val="center"/>
                </w:tcPr>
                <w:p w14:paraId="27AE6B4F">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2EB68F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9" w:hRule="atLeast"/>
                <w:jc w:val="center"/>
              </w:trPr>
              <w:tc>
                <w:tcPr>
                  <w:tcW w:w="403" w:type="pct"/>
                  <w:shd w:val="clear" w:color="auto" w:fill="auto"/>
                  <w:vAlign w:val="center"/>
                </w:tcPr>
                <w:p w14:paraId="7FE1F6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564" w:type="pct"/>
                  <w:shd w:val="clear" w:color="auto" w:fill="auto"/>
                  <w:vAlign w:val="center"/>
                </w:tcPr>
                <w:p w14:paraId="36A0CB97">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升温釜</w:t>
                  </w:r>
                </w:p>
              </w:tc>
              <w:tc>
                <w:tcPr>
                  <w:tcW w:w="2584" w:type="pct"/>
                  <w:shd w:val="clear" w:color="auto" w:fill="auto"/>
                  <w:vAlign w:val="center"/>
                </w:tcPr>
                <w:p w14:paraId="4517359F">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容积2m</w:t>
                  </w:r>
                  <w:r>
                    <w:rPr>
                      <w:rFonts w:hint="eastAsia" w:cs="Times New Roman"/>
                      <w:color w:val="auto"/>
                      <w:sz w:val="21"/>
                      <w:szCs w:val="21"/>
                      <w:highlight w:val="none"/>
                      <w:vertAlign w:val="superscript"/>
                      <w:lang w:val="en-US" w:eastAsia="zh-CN"/>
                    </w:rPr>
                    <w:t>3</w:t>
                  </w:r>
                </w:p>
              </w:tc>
              <w:tc>
                <w:tcPr>
                  <w:tcW w:w="447" w:type="pct"/>
                  <w:shd w:val="clear" w:color="auto" w:fill="auto"/>
                  <w:vAlign w:val="center"/>
                </w:tcPr>
                <w:p w14:paraId="27F3F5A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737881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3A0BDA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1564" w:type="pct"/>
                  <w:shd w:val="clear" w:color="auto" w:fill="auto"/>
                  <w:vAlign w:val="center"/>
                </w:tcPr>
                <w:p w14:paraId="0B8115A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升温釜搅拌电机</w:t>
                  </w:r>
                </w:p>
              </w:tc>
              <w:tc>
                <w:tcPr>
                  <w:tcW w:w="2584" w:type="pct"/>
                  <w:shd w:val="clear" w:color="auto" w:fill="auto"/>
                  <w:vAlign w:val="center"/>
                </w:tcPr>
                <w:p w14:paraId="097C333D">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单机功率1.5KW</w:t>
                  </w:r>
                </w:p>
              </w:tc>
              <w:tc>
                <w:tcPr>
                  <w:tcW w:w="447" w:type="pct"/>
                  <w:shd w:val="clear" w:color="auto" w:fill="auto"/>
                  <w:vAlign w:val="center"/>
                </w:tcPr>
                <w:p w14:paraId="28D518C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64FD3F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7" w:hRule="atLeast"/>
                <w:jc w:val="center"/>
              </w:trPr>
              <w:tc>
                <w:tcPr>
                  <w:tcW w:w="403" w:type="pct"/>
                  <w:shd w:val="clear" w:color="auto" w:fill="auto"/>
                  <w:vAlign w:val="center"/>
                </w:tcPr>
                <w:p w14:paraId="07F5A8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564" w:type="pct"/>
                  <w:shd w:val="clear" w:color="auto" w:fill="auto"/>
                  <w:vAlign w:val="center"/>
                </w:tcPr>
                <w:p w14:paraId="5E81FE4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升温釜出油泵</w:t>
                  </w:r>
                </w:p>
              </w:tc>
              <w:tc>
                <w:tcPr>
                  <w:tcW w:w="2584" w:type="pct"/>
                  <w:shd w:val="clear" w:color="auto" w:fill="auto"/>
                  <w:vAlign w:val="center"/>
                </w:tcPr>
                <w:p w14:paraId="5E24A6B7">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单机功率5.5KW</w:t>
                  </w:r>
                </w:p>
              </w:tc>
              <w:tc>
                <w:tcPr>
                  <w:tcW w:w="447" w:type="pct"/>
                  <w:shd w:val="clear" w:color="auto" w:fill="auto"/>
                  <w:vAlign w:val="center"/>
                </w:tcPr>
                <w:p w14:paraId="12E3C5F5">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64148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403" w:type="pct"/>
                  <w:shd w:val="clear" w:color="auto" w:fill="auto"/>
                  <w:vAlign w:val="center"/>
                </w:tcPr>
                <w:p w14:paraId="08FDB1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1564" w:type="pct"/>
                  <w:shd w:val="clear" w:color="auto" w:fill="auto"/>
                  <w:vAlign w:val="center"/>
                </w:tcPr>
                <w:p w14:paraId="31D6C1D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恒温釜</w:t>
                  </w:r>
                </w:p>
              </w:tc>
              <w:tc>
                <w:tcPr>
                  <w:tcW w:w="2584" w:type="pct"/>
                  <w:shd w:val="clear" w:color="auto" w:fill="auto"/>
                  <w:vAlign w:val="center"/>
                </w:tcPr>
                <w:p w14:paraId="5B436FFD">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容积2.3m</w:t>
                  </w:r>
                  <w:r>
                    <w:rPr>
                      <w:rFonts w:hint="eastAsia" w:cs="Times New Roman"/>
                      <w:color w:val="auto"/>
                      <w:sz w:val="21"/>
                      <w:szCs w:val="21"/>
                      <w:highlight w:val="none"/>
                      <w:vertAlign w:val="superscript"/>
                      <w:lang w:val="en-US" w:eastAsia="zh-CN"/>
                    </w:rPr>
                    <w:t>3</w:t>
                  </w:r>
                </w:p>
              </w:tc>
              <w:tc>
                <w:tcPr>
                  <w:tcW w:w="447" w:type="pct"/>
                  <w:shd w:val="clear" w:color="auto" w:fill="auto"/>
                  <w:vAlign w:val="center"/>
                </w:tcPr>
                <w:p w14:paraId="387A5C8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358509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02F666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7.1</w:t>
                  </w:r>
                </w:p>
              </w:tc>
              <w:tc>
                <w:tcPr>
                  <w:tcW w:w="1564" w:type="pct"/>
                  <w:shd w:val="clear" w:color="auto" w:fill="auto"/>
                  <w:vAlign w:val="center"/>
                </w:tcPr>
                <w:p w14:paraId="3E57F0B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恒温釜搅拌电机</w:t>
                  </w:r>
                </w:p>
              </w:tc>
              <w:tc>
                <w:tcPr>
                  <w:tcW w:w="2584" w:type="pct"/>
                  <w:shd w:val="clear" w:color="auto" w:fill="auto"/>
                  <w:vAlign w:val="center"/>
                </w:tcPr>
                <w:p w14:paraId="4A8433E3">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单机功率5.5KW</w:t>
                  </w:r>
                </w:p>
              </w:tc>
              <w:tc>
                <w:tcPr>
                  <w:tcW w:w="447" w:type="pct"/>
                  <w:shd w:val="clear" w:color="auto" w:fill="auto"/>
                  <w:vAlign w:val="center"/>
                </w:tcPr>
                <w:p w14:paraId="420FB69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7108F9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2" w:hRule="atLeast"/>
                <w:jc w:val="center"/>
              </w:trPr>
              <w:tc>
                <w:tcPr>
                  <w:tcW w:w="403" w:type="pct"/>
                  <w:shd w:val="clear" w:color="auto" w:fill="auto"/>
                  <w:vAlign w:val="center"/>
                </w:tcPr>
                <w:p w14:paraId="1B0821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564" w:type="pct"/>
                  <w:shd w:val="clear" w:color="auto" w:fill="auto"/>
                  <w:vAlign w:val="center"/>
                </w:tcPr>
                <w:p w14:paraId="0DCD83E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冷却釜</w:t>
                  </w:r>
                </w:p>
              </w:tc>
              <w:tc>
                <w:tcPr>
                  <w:tcW w:w="2584" w:type="pct"/>
                  <w:shd w:val="clear" w:color="auto" w:fill="auto"/>
                  <w:vAlign w:val="center"/>
                </w:tcPr>
                <w:p w14:paraId="0B3EC175">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容积2.3m</w:t>
                  </w:r>
                  <w:r>
                    <w:rPr>
                      <w:rFonts w:hint="eastAsia" w:cs="Times New Roman"/>
                      <w:color w:val="auto"/>
                      <w:sz w:val="21"/>
                      <w:szCs w:val="21"/>
                      <w:highlight w:val="none"/>
                      <w:vertAlign w:val="superscript"/>
                      <w:lang w:val="en-US" w:eastAsia="zh-CN"/>
                    </w:rPr>
                    <w:t>3</w:t>
                  </w:r>
                </w:p>
              </w:tc>
              <w:tc>
                <w:tcPr>
                  <w:tcW w:w="447" w:type="pct"/>
                  <w:shd w:val="clear" w:color="auto" w:fill="auto"/>
                  <w:vAlign w:val="center"/>
                </w:tcPr>
                <w:p w14:paraId="1A2636AF">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221F8F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7BCDB6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8.1</w:t>
                  </w:r>
                </w:p>
              </w:tc>
              <w:tc>
                <w:tcPr>
                  <w:tcW w:w="1564" w:type="pct"/>
                  <w:shd w:val="clear" w:color="auto" w:fill="auto"/>
                  <w:vAlign w:val="center"/>
                </w:tcPr>
                <w:p w14:paraId="5DB46D41">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冷却釜搅拌电机</w:t>
                  </w:r>
                </w:p>
              </w:tc>
              <w:tc>
                <w:tcPr>
                  <w:tcW w:w="2584" w:type="pct"/>
                  <w:shd w:val="clear" w:color="auto" w:fill="auto"/>
                  <w:vAlign w:val="center"/>
                </w:tcPr>
                <w:p w14:paraId="694329CF">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单机功率5.5KW</w:t>
                  </w:r>
                </w:p>
              </w:tc>
              <w:tc>
                <w:tcPr>
                  <w:tcW w:w="447" w:type="pct"/>
                  <w:shd w:val="clear" w:color="auto" w:fill="auto"/>
                  <w:vAlign w:val="center"/>
                </w:tcPr>
                <w:p w14:paraId="3616669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712A1B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2" w:hRule="atLeast"/>
                <w:jc w:val="center"/>
              </w:trPr>
              <w:tc>
                <w:tcPr>
                  <w:tcW w:w="403" w:type="pct"/>
                  <w:shd w:val="clear" w:color="auto" w:fill="auto"/>
                  <w:vAlign w:val="center"/>
                </w:tcPr>
                <w:p w14:paraId="05DDE2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1564" w:type="pct"/>
                  <w:shd w:val="clear" w:color="auto" w:fill="auto"/>
                  <w:vAlign w:val="center"/>
                </w:tcPr>
                <w:p w14:paraId="2C524F16">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冷却循环泵</w:t>
                  </w:r>
                </w:p>
              </w:tc>
              <w:tc>
                <w:tcPr>
                  <w:tcW w:w="2584" w:type="pct"/>
                  <w:shd w:val="clear" w:color="auto" w:fill="auto"/>
                  <w:vAlign w:val="center"/>
                </w:tcPr>
                <w:p w14:paraId="3FD8C179">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单机功率5.5KW，搅拌速率10—15m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/h</w:t>
                  </w:r>
                </w:p>
              </w:tc>
              <w:tc>
                <w:tcPr>
                  <w:tcW w:w="447" w:type="pct"/>
                  <w:shd w:val="clear" w:color="auto" w:fill="auto"/>
                  <w:vAlign w:val="center"/>
                </w:tcPr>
                <w:p w14:paraId="0C1AEC3C">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384D62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2" w:hRule="atLeast"/>
                <w:jc w:val="center"/>
              </w:trPr>
              <w:tc>
                <w:tcPr>
                  <w:tcW w:w="403" w:type="pct"/>
                  <w:shd w:val="clear" w:color="auto" w:fill="auto"/>
                  <w:vAlign w:val="center"/>
                </w:tcPr>
                <w:p w14:paraId="026F9C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564" w:type="pct"/>
                  <w:shd w:val="clear" w:color="auto" w:fill="auto"/>
                  <w:vAlign w:val="center"/>
                </w:tcPr>
                <w:p w14:paraId="367B425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冷却换热器</w:t>
                  </w:r>
                </w:p>
              </w:tc>
              <w:tc>
                <w:tcPr>
                  <w:tcW w:w="2584" w:type="pct"/>
                  <w:shd w:val="clear" w:color="auto" w:fill="auto"/>
                  <w:vAlign w:val="center"/>
                </w:tcPr>
                <w:p w14:paraId="5BF5A0EC">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容积15m</w:t>
                  </w:r>
                  <w:r>
                    <w:rPr>
                      <w:rFonts w:hint="eastAsia" w:cs="Times New Roman"/>
                      <w:color w:val="auto"/>
                      <w:sz w:val="21"/>
                      <w:szCs w:val="21"/>
                      <w:highlight w:val="none"/>
                      <w:vertAlign w:val="superscript"/>
                      <w:lang w:val="en-US" w:eastAsia="zh-CN"/>
                    </w:rPr>
                    <w:t>3</w:t>
                  </w:r>
                </w:p>
              </w:tc>
              <w:tc>
                <w:tcPr>
                  <w:tcW w:w="447" w:type="pct"/>
                  <w:shd w:val="clear" w:color="auto" w:fill="auto"/>
                  <w:vAlign w:val="center"/>
                </w:tcPr>
                <w:p w14:paraId="4A02D6BD">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3EF37A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32513C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1564" w:type="pct"/>
                  <w:shd w:val="clear" w:color="auto" w:fill="auto"/>
                  <w:vAlign w:val="center"/>
                </w:tcPr>
                <w:p w14:paraId="6F4DBA73">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冷却釜出油泵</w:t>
                  </w:r>
                </w:p>
              </w:tc>
              <w:tc>
                <w:tcPr>
                  <w:tcW w:w="2584" w:type="pct"/>
                  <w:shd w:val="clear" w:color="auto" w:fill="auto"/>
                  <w:vAlign w:val="center"/>
                </w:tcPr>
                <w:p w14:paraId="4C749C7E">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单机功率5.5KW，速率10—15m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/h</w:t>
                  </w:r>
                </w:p>
              </w:tc>
              <w:tc>
                <w:tcPr>
                  <w:tcW w:w="447" w:type="pct"/>
                  <w:shd w:val="clear" w:color="auto" w:fill="auto"/>
                  <w:vAlign w:val="center"/>
                </w:tcPr>
                <w:p w14:paraId="6989C40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3C76E9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0D3BA6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1564" w:type="pct"/>
                  <w:shd w:val="clear" w:color="auto" w:fill="auto"/>
                  <w:vAlign w:val="center"/>
                </w:tcPr>
                <w:p w14:paraId="363A3A44">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循环油高位槽</w:t>
                  </w:r>
                </w:p>
              </w:tc>
              <w:tc>
                <w:tcPr>
                  <w:tcW w:w="2584" w:type="pct"/>
                  <w:shd w:val="clear" w:color="auto" w:fill="auto"/>
                  <w:vAlign w:val="center"/>
                </w:tcPr>
                <w:p w14:paraId="0989182B">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容积1m</w:t>
                  </w:r>
                  <w:r>
                    <w:rPr>
                      <w:rFonts w:hint="eastAsia" w:cs="Times New Roman"/>
                      <w:color w:val="auto"/>
                      <w:sz w:val="21"/>
                      <w:szCs w:val="21"/>
                      <w:highlight w:val="none"/>
                      <w:vertAlign w:val="superscript"/>
                      <w:lang w:val="en-US" w:eastAsia="zh-CN"/>
                    </w:rPr>
                    <w:t>3</w:t>
                  </w:r>
                </w:p>
              </w:tc>
              <w:tc>
                <w:tcPr>
                  <w:tcW w:w="447" w:type="pct"/>
                  <w:shd w:val="clear" w:color="auto" w:fill="auto"/>
                  <w:vAlign w:val="center"/>
                </w:tcPr>
                <w:p w14:paraId="07038574">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38549A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2" w:hRule="atLeast"/>
                <w:jc w:val="center"/>
              </w:trPr>
              <w:tc>
                <w:tcPr>
                  <w:tcW w:w="403" w:type="pct"/>
                  <w:shd w:val="clear" w:color="auto" w:fill="auto"/>
                  <w:vAlign w:val="center"/>
                </w:tcPr>
                <w:p w14:paraId="2726FE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1564" w:type="pct"/>
                  <w:shd w:val="clear" w:color="auto" w:fill="auto"/>
                  <w:vAlign w:val="center"/>
                </w:tcPr>
                <w:p w14:paraId="3AB8281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2m³混合罐（搅拌电机）</w:t>
                  </w:r>
                </w:p>
              </w:tc>
              <w:tc>
                <w:tcPr>
                  <w:tcW w:w="2584" w:type="pct"/>
                  <w:shd w:val="clear" w:color="auto" w:fill="auto"/>
                  <w:vAlign w:val="center"/>
                </w:tcPr>
                <w:p w14:paraId="47AFD516">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单机功率4KW</w:t>
                  </w:r>
                </w:p>
              </w:tc>
              <w:tc>
                <w:tcPr>
                  <w:tcW w:w="447" w:type="pct"/>
                  <w:shd w:val="clear" w:color="auto" w:fill="auto"/>
                  <w:vAlign w:val="center"/>
                </w:tcPr>
                <w:p w14:paraId="33E74A7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052E0E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2" w:hRule="atLeast"/>
                <w:jc w:val="center"/>
              </w:trPr>
              <w:tc>
                <w:tcPr>
                  <w:tcW w:w="403" w:type="pct"/>
                  <w:shd w:val="clear" w:color="auto" w:fill="auto"/>
                  <w:vAlign w:val="center"/>
                </w:tcPr>
                <w:p w14:paraId="773D25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1564" w:type="pct"/>
                  <w:shd w:val="clear" w:color="auto" w:fill="auto"/>
                  <w:vAlign w:val="center"/>
                </w:tcPr>
                <w:p w14:paraId="6309D85D">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换型油回收泵</w:t>
                  </w:r>
                </w:p>
              </w:tc>
              <w:tc>
                <w:tcPr>
                  <w:tcW w:w="2584" w:type="pct"/>
                  <w:shd w:val="clear" w:color="auto" w:fill="auto"/>
                  <w:vAlign w:val="center"/>
                </w:tcPr>
                <w:p w14:paraId="6F90FBB7">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单机功率2.2KW，搅拌速率3—5m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/h</w:t>
                  </w:r>
                </w:p>
              </w:tc>
              <w:tc>
                <w:tcPr>
                  <w:tcW w:w="447" w:type="pct"/>
                  <w:shd w:val="clear" w:color="auto" w:fill="auto"/>
                  <w:vAlign w:val="center"/>
                </w:tcPr>
                <w:p w14:paraId="5A4080FC">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226EE4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2" w:hRule="atLeast"/>
                <w:jc w:val="center"/>
              </w:trPr>
              <w:tc>
                <w:tcPr>
                  <w:tcW w:w="403" w:type="pct"/>
                  <w:shd w:val="clear" w:color="auto" w:fill="auto"/>
                  <w:vAlign w:val="center"/>
                </w:tcPr>
                <w:p w14:paraId="0AA6AC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564" w:type="pct"/>
                  <w:shd w:val="clear" w:color="auto" w:fill="auto"/>
                  <w:vAlign w:val="center"/>
                </w:tcPr>
                <w:p w14:paraId="1E15B1C3">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换型油罐（搅拌电机）</w:t>
                  </w:r>
                </w:p>
              </w:tc>
              <w:tc>
                <w:tcPr>
                  <w:tcW w:w="2584" w:type="pct"/>
                  <w:shd w:val="clear" w:color="auto" w:fill="auto"/>
                  <w:vAlign w:val="center"/>
                </w:tcPr>
                <w:p w14:paraId="2C492DC6">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单机功率4KW</w:t>
                  </w:r>
                </w:p>
              </w:tc>
              <w:tc>
                <w:tcPr>
                  <w:tcW w:w="447" w:type="pct"/>
                  <w:shd w:val="clear" w:color="auto" w:fill="auto"/>
                  <w:vAlign w:val="center"/>
                </w:tcPr>
                <w:p w14:paraId="53CC0338">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785C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7" w:hRule="atLeast"/>
                <w:jc w:val="center"/>
              </w:trPr>
              <w:tc>
                <w:tcPr>
                  <w:tcW w:w="403" w:type="pct"/>
                  <w:shd w:val="clear" w:color="auto" w:fill="auto"/>
                  <w:vAlign w:val="center"/>
                </w:tcPr>
                <w:p w14:paraId="31459C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1564" w:type="pct"/>
                  <w:shd w:val="clear" w:color="auto" w:fill="auto"/>
                  <w:vAlign w:val="center"/>
                </w:tcPr>
                <w:p w14:paraId="6CAAEA2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换型油过滤泵</w:t>
                  </w:r>
                </w:p>
              </w:tc>
              <w:tc>
                <w:tcPr>
                  <w:tcW w:w="2584" w:type="pct"/>
                  <w:shd w:val="clear" w:color="auto" w:fill="auto"/>
                  <w:vAlign w:val="center"/>
                </w:tcPr>
                <w:p w14:paraId="65B8E5BE">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单机功率4KW</w:t>
                  </w:r>
                </w:p>
              </w:tc>
              <w:tc>
                <w:tcPr>
                  <w:tcW w:w="447" w:type="pct"/>
                  <w:shd w:val="clear" w:color="auto" w:fill="auto"/>
                  <w:vAlign w:val="center"/>
                </w:tcPr>
                <w:p w14:paraId="1319CACC">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528CB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7" w:hRule="atLeast"/>
                <w:jc w:val="center"/>
              </w:trPr>
              <w:tc>
                <w:tcPr>
                  <w:tcW w:w="403" w:type="pct"/>
                  <w:shd w:val="clear" w:color="auto" w:fill="auto"/>
                  <w:vAlign w:val="center"/>
                </w:tcPr>
                <w:p w14:paraId="5C14FF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w:t>
                  </w:r>
                </w:p>
              </w:tc>
              <w:tc>
                <w:tcPr>
                  <w:tcW w:w="1564" w:type="pct"/>
                  <w:shd w:val="clear" w:color="auto" w:fill="auto"/>
                  <w:vAlign w:val="center"/>
                </w:tcPr>
                <w:p w14:paraId="52CDA77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换型油过滤器</w:t>
                  </w:r>
                </w:p>
              </w:tc>
              <w:tc>
                <w:tcPr>
                  <w:tcW w:w="2584" w:type="pct"/>
                  <w:shd w:val="clear" w:color="auto" w:fill="auto"/>
                  <w:vAlign w:val="center"/>
                </w:tcPr>
                <w:p w14:paraId="0700F10B">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302BA62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411238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7" w:hRule="atLeast"/>
                <w:jc w:val="center"/>
              </w:trPr>
              <w:tc>
                <w:tcPr>
                  <w:tcW w:w="403" w:type="pct"/>
                  <w:shd w:val="clear" w:color="auto" w:fill="auto"/>
                  <w:vAlign w:val="center"/>
                </w:tcPr>
                <w:p w14:paraId="7003CB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1564" w:type="pct"/>
                  <w:shd w:val="clear" w:color="auto" w:fill="auto"/>
                  <w:vAlign w:val="center"/>
                </w:tcPr>
                <w:p w14:paraId="7CEA80D6">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电</w:t>
                  </w:r>
                  <w:r>
                    <w:rPr>
                      <w:rFonts w:hint="default" w:ascii="Times New Roman" w:hAnsi="Times New Roman" w:eastAsia="宋体" w:cs="Times New Roman"/>
                      <w:i w:val="0"/>
                      <w:iCs w:val="0"/>
                      <w:color w:val="auto"/>
                      <w:kern w:val="0"/>
                      <w:sz w:val="21"/>
                      <w:szCs w:val="21"/>
                      <w:highlight w:val="none"/>
                      <w:u w:val="none"/>
                      <w:lang w:val="en-US" w:eastAsia="zh-CN" w:bidi="ar"/>
                    </w:rPr>
                    <w:t>导热油炉</w:t>
                  </w:r>
                </w:p>
              </w:tc>
              <w:tc>
                <w:tcPr>
                  <w:tcW w:w="2584" w:type="pct"/>
                  <w:shd w:val="clear" w:color="auto" w:fill="auto"/>
                  <w:vAlign w:val="center"/>
                </w:tcPr>
                <w:p w14:paraId="469DE6C6">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olor w:val="auto"/>
                      <w:highlight w:val="none"/>
                      <w:lang w:val="en-US" w:eastAsia="zh-CN"/>
                    </w:rPr>
                  </w:pPr>
                  <w:r>
                    <w:rPr>
                      <w:rFonts w:hint="eastAsia" w:cs="Times New Roman"/>
                      <w:color w:val="auto"/>
                      <w:sz w:val="21"/>
                      <w:szCs w:val="21"/>
                      <w:highlight w:val="none"/>
                      <w:lang w:val="en-US" w:eastAsia="zh-CN"/>
                    </w:rPr>
                    <w:t>YDW-300电加热有机热载体锅炉；加热功率300KW</w:t>
                  </w:r>
                </w:p>
              </w:tc>
              <w:tc>
                <w:tcPr>
                  <w:tcW w:w="447" w:type="pct"/>
                  <w:shd w:val="clear" w:color="auto" w:fill="auto"/>
                  <w:vAlign w:val="center"/>
                </w:tcPr>
                <w:p w14:paraId="1C348927">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1套</w:t>
                  </w:r>
                </w:p>
              </w:tc>
            </w:tr>
            <w:tr w14:paraId="4C1CE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7" w:hRule="atLeast"/>
                <w:jc w:val="center"/>
              </w:trPr>
              <w:tc>
                <w:tcPr>
                  <w:tcW w:w="403" w:type="pct"/>
                  <w:shd w:val="clear" w:color="auto" w:fill="auto"/>
                  <w:vAlign w:val="center"/>
                </w:tcPr>
                <w:p w14:paraId="1604237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18.1</w:t>
                  </w:r>
                </w:p>
              </w:tc>
              <w:tc>
                <w:tcPr>
                  <w:tcW w:w="1564" w:type="pct"/>
                  <w:shd w:val="clear" w:color="auto" w:fill="auto"/>
                  <w:vAlign w:val="center"/>
                </w:tcPr>
                <w:p w14:paraId="734025A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电</w:t>
                  </w:r>
                  <w:r>
                    <w:rPr>
                      <w:rFonts w:hint="default" w:ascii="Times New Roman" w:hAnsi="Times New Roman" w:eastAsia="宋体" w:cs="Times New Roman"/>
                      <w:i w:val="0"/>
                      <w:iCs w:val="0"/>
                      <w:color w:val="auto"/>
                      <w:kern w:val="0"/>
                      <w:sz w:val="21"/>
                      <w:szCs w:val="21"/>
                      <w:highlight w:val="none"/>
                      <w:u w:val="none"/>
                      <w:lang w:val="en-US" w:eastAsia="zh-CN" w:bidi="ar"/>
                    </w:rPr>
                    <w:t>导热油罐</w:t>
                  </w:r>
                </w:p>
              </w:tc>
              <w:tc>
                <w:tcPr>
                  <w:tcW w:w="2584" w:type="pct"/>
                  <w:shd w:val="clear" w:color="auto" w:fill="auto"/>
                  <w:vAlign w:val="center"/>
                </w:tcPr>
                <w:p w14:paraId="1F670900">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71B0862F">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104BB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82" w:hRule="atLeast"/>
                <w:jc w:val="center"/>
              </w:trPr>
              <w:tc>
                <w:tcPr>
                  <w:tcW w:w="403" w:type="pct"/>
                  <w:shd w:val="clear" w:color="auto" w:fill="auto"/>
                  <w:vAlign w:val="center"/>
                </w:tcPr>
                <w:p w14:paraId="48C1BB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18.2</w:t>
                  </w:r>
                </w:p>
              </w:tc>
              <w:tc>
                <w:tcPr>
                  <w:tcW w:w="1564" w:type="pct"/>
                  <w:shd w:val="clear" w:color="auto" w:fill="auto"/>
                  <w:vAlign w:val="center"/>
                </w:tcPr>
                <w:p w14:paraId="7152D78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导热油泵</w:t>
                  </w:r>
                </w:p>
              </w:tc>
              <w:tc>
                <w:tcPr>
                  <w:tcW w:w="2584" w:type="pct"/>
                  <w:shd w:val="clear" w:color="auto" w:fill="auto"/>
                  <w:vAlign w:val="center"/>
                </w:tcPr>
                <w:p w14:paraId="4AE1BB6F">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58EDE66B">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328B21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83" w:hRule="atLeast"/>
                <w:jc w:val="center"/>
              </w:trPr>
              <w:tc>
                <w:tcPr>
                  <w:tcW w:w="403" w:type="pct"/>
                  <w:shd w:val="clear" w:color="auto" w:fill="auto"/>
                  <w:vAlign w:val="center"/>
                </w:tcPr>
                <w:p w14:paraId="77A4C0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18.3</w:t>
                  </w:r>
                </w:p>
              </w:tc>
              <w:tc>
                <w:tcPr>
                  <w:tcW w:w="1564" w:type="pct"/>
                  <w:shd w:val="clear" w:color="auto" w:fill="auto"/>
                  <w:vAlign w:val="center"/>
                </w:tcPr>
                <w:p w14:paraId="4D6077F1">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电导热油炉</w:t>
                  </w:r>
                </w:p>
              </w:tc>
              <w:tc>
                <w:tcPr>
                  <w:tcW w:w="2584" w:type="pct"/>
                  <w:shd w:val="clear" w:color="auto" w:fill="auto"/>
                  <w:vAlign w:val="center"/>
                </w:tcPr>
                <w:p w14:paraId="0F4D5AB5">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含电加热300KW，1*7.5KW循环泵，1*1.5KW入油泵，共计3台用电器，整机油PLC控制柜</w:t>
                  </w:r>
                </w:p>
              </w:tc>
              <w:tc>
                <w:tcPr>
                  <w:tcW w:w="447" w:type="pct"/>
                  <w:shd w:val="clear" w:color="auto" w:fill="auto"/>
                  <w:vAlign w:val="center"/>
                </w:tcPr>
                <w:p w14:paraId="458496C4">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5119A8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7" w:hRule="atLeast"/>
                <w:jc w:val="center"/>
              </w:trPr>
              <w:tc>
                <w:tcPr>
                  <w:tcW w:w="403" w:type="pct"/>
                  <w:shd w:val="clear" w:color="auto" w:fill="auto"/>
                  <w:vAlign w:val="center"/>
                </w:tcPr>
                <w:p w14:paraId="3AF6A4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18.4</w:t>
                  </w:r>
                </w:p>
              </w:tc>
              <w:tc>
                <w:tcPr>
                  <w:tcW w:w="1564" w:type="pct"/>
                  <w:shd w:val="clear" w:color="auto" w:fill="auto"/>
                  <w:vAlign w:val="center"/>
                </w:tcPr>
                <w:p w14:paraId="359732B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膨胀罐</w:t>
                  </w:r>
                </w:p>
              </w:tc>
              <w:tc>
                <w:tcPr>
                  <w:tcW w:w="2584" w:type="pct"/>
                  <w:shd w:val="clear" w:color="auto" w:fill="auto"/>
                  <w:vAlign w:val="center"/>
                </w:tcPr>
                <w:p w14:paraId="6E393D86">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4F18C893">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60338F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2" w:hRule="atLeast"/>
                <w:jc w:val="center"/>
              </w:trPr>
              <w:tc>
                <w:tcPr>
                  <w:tcW w:w="403" w:type="pct"/>
                  <w:shd w:val="clear" w:color="auto" w:fill="auto"/>
                  <w:vAlign w:val="center"/>
                </w:tcPr>
                <w:p w14:paraId="0A0CC2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1564" w:type="pct"/>
                  <w:shd w:val="clear" w:color="auto" w:fill="auto"/>
                  <w:vAlign w:val="center"/>
                </w:tcPr>
                <w:p w14:paraId="174353F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CIP泵</w:t>
                  </w:r>
                </w:p>
              </w:tc>
              <w:tc>
                <w:tcPr>
                  <w:tcW w:w="2584" w:type="pct"/>
                  <w:shd w:val="clear" w:color="auto" w:fill="auto"/>
                  <w:vAlign w:val="center"/>
                </w:tcPr>
                <w:p w14:paraId="5F4FA003">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单机功率5.5KW，速率10—15m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/h</w:t>
                  </w:r>
                </w:p>
              </w:tc>
              <w:tc>
                <w:tcPr>
                  <w:tcW w:w="447" w:type="pct"/>
                  <w:shd w:val="clear" w:color="auto" w:fill="auto"/>
                  <w:vAlign w:val="center"/>
                </w:tcPr>
                <w:p w14:paraId="6FD6F5B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69429F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7" w:hRule="atLeast"/>
                <w:jc w:val="center"/>
              </w:trPr>
              <w:tc>
                <w:tcPr>
                  <w:tcW w:w="403" w:type="pct"/>
                  <w:shd w:val="clear" w:color="auto" w:fill="auto"/>
                  <w:vAlign w:val="center"/>
                </w:tcPr>
                <w:p w14:paraId="022535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1564" w:type="pct"/>
                  <w:shd w:val="clear" w:color="auto" w:fill="auto"/>
                  <w:vAlign w:val="center"/>
                </w:tcPr>
                <w:p w14:paraId="0192441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提篮过滤器</w:t>
                  </w:r>
                </w:p>
              </w:tc>
              <w:tc>
                <w:tcPr>
                  <w:tcW w:w="2584" w:type="pct"/>
                  <w:shd w:val="clear" w:color="auto" w:fill="auto"/>
                  <w:vAlign w:val="center"/>
                </w:tcPr>
                <w:p w14:paraId="738E4EA3">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0701F46A">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68C71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7" w:hRule="atLeast"/>
                <w:jc w:val="center"/>
              </w:trPr>
              <w:tc>
                <w:tcPr>
                  <w:tcW w:w="403" w:type="pct"/>
                  <w:shd w:val="clear" w:color="auto" w:fill="auto"/>
                  <w:vAlign w:val="center"/>
                </w:tcPr>
                <w:p w14:paraId="722FF8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1564" w:type="pct"/>
                  <w:shd w:val="clear" w:color="auto" w:fill="auto"/>
                  <w:vAlign w:val="center"/>
                </w:tcPr>
                <w:p w14:paraId="2D27ED37">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清洗</w:t>
                  </w:r>
                  <w:r>
                    <w:rPr>
                      <w:rFonts w:hint="default" w:ascii="Times New Roman" w:hAnsi="Times New Roman" w:eastAsia="宋体" w:cs="Times New Roman"/>
                      <w:i w:val="0"/>
                      <w:iCs w:val="0"/>
                      <w:color w:val="auto"/>
                      <w:kern w:val="0"/>
                      <w:sz w:val="21"/>
                      <w:szCs w:val="21"/>
                      <w:highlight w:val="none"/>
                      <w:u w:val="none"/>
                      <w:lang w:val="en-US" w:eastAsia="zh-CN" w:bidi="ar"/>
                    </w:rPr>
                    <w:t>液罐（搅拌电机）</w:t>
                  </w:r>
                </w:p>
              </w:tc>
              <w:tc>
                <w:tcPr>
                  <w:tcW w:w="2584" w:type="pct"/>
                  <w:shd w:val="clear" w:color="auto" w:fill="auto"/>
                  <w:vAlign w:val="center"/>
                </w:tcPr>
                <w:p w14:paraId="0B51FE51">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单机功率0.75KW</w:t>
                  </w:r>
                </w:p>
              </w:tc>
              <w:tc>
                <w:tcPr>
                  <w:tcW w:w="447" w:type="pct"/>
                  <w:shd w:val="clear" w:color="auto" w:fill="auto"/>
                  <w:vAlign w:val="center"/>
                </w:tcPr>
                <w:p w14:paraId="28D5F124">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600AB0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7" w:hRule="atLeast"/>
                <w:jc w:val="center"/>
              </w:trPr>
              <w:tc>
                <w:tcPr>
                  <w:tcW w:w="403" w:type="pct"/>
                  <w:shd w:val="clear" w:color="auto" w:fill="auto"/>
                  <w:vAlign w:val="center"/>
                </w:tcPr>
                <w:p w14:paraId="4993B6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1564" w:type="pct"/>
                  <w:shd w:val="clear" w:color="auto" w:fill="auto"/>
                  <w:vAlign w:val="center"/>
                </w:tcPr>
                <w:p w14:paraId="0117A343">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水环真空泵</w:t>
                  </w:r>
                </w:p>
              </w:tc>
              <w:tc>
                <w:tcPr>
                  <w:tcW w:w="2584" w:type="pct"/>
                  <w:shd w:val="clear" w:color="auto" w:fill="auto"/>
                  <w:vAlign w:val="center"/>
                </w:tcPr>
                <w:p w14:paraId="0D15CB3B">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单机功率5.5KW，抽气量400立方/H</w:t>
                  </w:r>
                </w:p>
              </w:tc>
              <w:tc>
                <w:tcPr>
                  <w:tcW w:w="447" w:type="pct"/>
                  <w:shd w:val="clear" w:color="auto" w:fill="auto"/>
                  <w:vAlign w:val="center"/>
                </w:tcPr>
                <w:p w14:paraId="01FC9D97">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42E70B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7" w:hRule="atLeast"/>
                <w:jc w:val="center"/>
              </w:trPr>
              <w:tc>
                <w:tcPr>
                  <w:tcW w:w="403" w:type="pct"/>
                  <w:shd w:val="clear" w:color="auto" w:fill="auto"/>
                  <w:vAlign w:val="center"/>
                </w:tcPr>
                <w:p w14:paraId="5E79F4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1564" w:type="pct"/>
                  <w:shd w:val="clear" w:color="auto" w:fill="auto"/>
                  <w:vAlign w:val="center"/>
                </w:tcPr>
                <w:p w14:paraId="4F797F83">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氮气罐（液氮罐）</w:t>
                  </w:r>
                </w:p>
              </w:tc>
              <w:tc>
                <w:tcPr>
                  <w:tcW w:w="2584" w:type="pct"/>
                  <w:shd w:val="clear" w:color="auto" w:fill="auto"/>
                  <w:vAlign w:val="center"/>
                </w:tcPr>
                <w:p w14:paraId="1869DD64">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306981D1">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6FB624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7" w:hRule="atLeast"/>
                <w:jc w:val="center"/>
              </w:trPr>
              <w:tc>
                <w:tcPr>
                  <w:tcW w:w="403" w:type="pct"/>
                  <w:shd w:val="clear" w:color="auto" w:fill="auto"/>
                  <w:vAlign w:val="center"/>
                </w:tcPr>
                <w:p w14:paraId="7531AA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1564" w:type="pct"/>
                  <w:shd w:val="clear" w:color="auto" w:fill="auto"/>
                  <w:vAlign w:val="center"/>
                </w:tcPr>
                <w:p w14:paraId="23C846F1">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蒸发器（气化器）</w:t>
                  </w:r>
                </w:p>
              </w:tc>
              <w:tc>
                <w:tcPr>
                  <w:tcW w:w="2584" w:type="pct"/>
                  <w:shd w:val="clear" w:color="auto" w:fill="auto"/>
                  <w:vAlign w:val="center"/>
                </w:tcPr>
                <w:p w14:paraId="69D51B99">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w:t>
                  </w:r>
                </w:p>
              </w:tc>
              <w:tc>
                <w:tcPr>
                  <w:tcW w:w="447" w:type="pct"/>
                  <w:shd w:val="clear" w:color="auto" w:fill="auto"/>
                  <w:vAlign w:val="center"/>
                </w:tcPr>
                <w:p w14:paraId="1B96060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2BB369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2" w:hRule="atLeast"/>
                <w:jc w:val="center"/>
              </w:trPr>
              <w:tc>
                <w:tcPr>
                  <w:tcW w:w="403" w:type="pct"/>
                  <w:shd w:val="clear" w:color="auto" w:fill="auto"/>
                  <w:vAlign w:val="center"/>
                </w:tcPr>
                <w:p w14:paraId="278C2B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1564" w:type="pct"/>
                  <w:shd w:val="clear" w:color="auto" w:fill="auto"/>
                  <w:vAlign w:val="center"/>
                </w:tcPr>
                <w:p w14:paraId="60B4C4F6">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储气罐</w:t>
                  </w:r>
                </w:p>
              </w:tc>
              <w:tc>
                <w:tcPr>
                  <w:tcW w:w="2584" w:type="pct"/>
                  <w:shd w:val="clear" w:color="auto" w:fill="auto"/>
                  <w:vAlign w:val="center"/>
                </w:tcPr>
                <w:p w14:paraId="373F8294">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292797E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63D02C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2" w:hRule="atLeast"/>
                <w:jc w:val="center"/>
              </w:trPr>
              <w:tc>
                <w:tcPr>
                  <w:tcW w:w="403" w:type="pct"/>
                  <w:shd w:val="clear" w:color="auto" w:fill="auto"/>
                  <w:vAlign w:val="center"/>
                </w:tcPr>
                <w:p w14:paraId="3882EF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1564" w:type="pct"/>
                  <w:shd w:val="clear" w:color="auto" w:fill="auto"/>
                  <w:vAlign w:val="center"/>
                </w:tcPr>
                <w:p w14:paraId="797DE11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空压机</w:t>
                  </w:r>
                </w:p>
              </w:tc>
              <w:tc>
                <w:tcPr>
                  <w:tcW w:w="2584" w:type="pct"/>
                  <w:shd w:val="clear" w:color="auto" w:fill="auto"/>
                  <w:vAlign w:val="center"/>
                </w:tcPr>
                <w:p w14:paraId="6A75B384">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单机功率15KW，产气量4.6m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/min，0.7Mpa</w:t>
                  </w:r>
                </w:p>
              </w:tc>
              <w:tc>
                <w:tcPr>
                  <w:tcW w:w="447" w:type="pct"/>
                  <w:shd w:val="clear" w:color="auto" w:fill="auto"/>
                  <w:vAlign w:val="center"/>
                </w:tcPr>
                <w:p w14:paraId="172C45A4">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1台</w:t>
                  </w:r>
                </w:p>
              </w:tc>
            </w:tr>
            <w:tr w14:paraId="311EE3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9" w:hRule="atLeast"/>
                <w:jc w:val="center"/>
              </w:trPr>
              <w:tc>
                <w:tcPr>
                  <w:tcW w:w="5000" w:type="pct"/>
                  <w:gridSpan w:val="4"/>
                  <w:shd w:val="clear" w:color="auto" w:fill="auto"/>
                  <w:vAlign w:val="center"/>
                </w:tcPr>
                <w:p w14:paraId="4D908177">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脱蜡</w:t>
                  </w:r>
                </w:p>
              </w:tc>
            </w:tr>
            <w:tr w14:paraId="0B4075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5BA0F3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564" w:type="pct"/>
                  <w:shd w:val="clear" w:color="auto" w:fill="auto"/>
                  <w:vAlign w:val="center"/>
                </w:tcPr>
                <w:p w14:paraId="6332EF7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螺杆泵1</w:t>
                  </w:r>
                </w:p>
              </w:tc>
              <w:tc>
                <w:tcPr>
                  <w:tcW w:w="2584" w:type="pct"/>
                  <w:shd w:val="clear" w:color="auto" w:fill="auto"/>
                  <w:vAlign w:val="center"/>
                </w:tcPr>
                <w:p w14:paraId="77EB4594">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单机功率4KW，速率3T/</w:t>
                  </w:r>
                  <w:r>
                    <w:rPr>
                      <w:rFonts w:hint="eastAsia" w:cs="Times New Roman"/>
                      <w:color w:val="auto"/>
                      <w:sz w:val="21"/>
                      <w:szCs w:val="21"/>
                      <w:highlight w:val="none"/>
                      <w:vertAlign w:val="superscript"/>
                      <w:lang w:val="en-US" w:eastAsia="zh-CN"/>
                    </w:rPr>
                    <w:t>/</w:t>
                  </w:r>
                  <w:r>
                    <w:rPr>
                      <w:rFonts w:hint="eastAsia" w:cs="Times New Roman"/>
                      <w:color w:val="auto"/>
                      <w:sz w:val="21"/>
                      <w:szCs w:val="21"/>
                      <w:highlight w:val="none"/>
                      <w:lang w:val="en-US" w:eastAsia="zh-CN"/>
                    </w:rPr>
                    <w:t>h</w:t>
                  </w:r>
                </w:p>
              </w:tc>
              <w:tc>
                <w:tcPr>
                  <w:tcW w:w="447" w:type="pct"/>
                  <w:shd w:val="clear" w:color="auto" w:fill="auto"/>
                  <w:vAlign w:val="center"/>
                </w:tcPr>
                <w:p w14:paraId="4BC1FBE4">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746FBF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274265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564" w:type="pct"/>
                  <w:shd w:val="clear" w:color="auto" w:fill="auto"/>
                  <w:vAlign w:val="center"/>
                </w:tcPr>
                <w:p w14:paraId="773DF88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隔膜压滤机</w:t>
                  </w:r>
                </w:p>
              </w:tc>
              <w:tc>
                <w:tcPr>
                  <w:tcW w:w="2584" w:type="pct"/>
                  <w:shd w:val="clear" w:color="auto" w:fill="auto"/>
                  <w:vAlign w:val="center"/>
                </w:tcPr>
                <w:p w14:paraId="04A3533C">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XAZGF50/800-UB；单机功率3.2KW，50m</w:t>
                  </w:r>
                  <w:r>
                    <w:rPr>
                      <w:rFonts w:hint="eastAsia" w:cs="Times New Roman"/>
                      <w:color w:val="auto"/>
                      <w:sz w:val="21"/>
                      <w:szCs w:val="21"/>
                      <w:highlight w:val="none"/>
                      <w:vertAlign w:val="superscript"/>
                      <w:lang w:val="en-US" w:eastAsia="zh-CN"/>
                    </w:rPr>
                    <w:t>3</w:t>
                  </w:r>
                </w:p>
              </w:tc>
              <w:tc>
                <w:tcPr>
                  <w:tcW w:w="447" w:type="pct"/>
                  <w:shd w:val="clear" w:color="auto" w:fill="auto"/>
                  <w:vAlign w:val="center"/>
                </w:tcPr>
                <w:p w14:paraId="14B8423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3E87CA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19DA47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564" w:type="pct"/>
                  <w:shd w:val="clear" w:color="auto" w:fill="auto"/>
                  <w:vAlign w:val="center"/>
                </w:tcPr>
                <w:p w14:paraId="17ED86E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暂存罐1</w:t>
                  </w:r>
                </w:p>
              </w:tc>
              <w:tc>
                <w:tcPr>
                  <w:tcW w:w="2584" w:type="pct"/>
                  <w:shd w:val="clear" w:color="auto" w:fill="auto"/>
                  <w:vAlign w:val="center"/>
                </w:tcPr>
                <w:p w14:paraId="0C8B9B3E">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121910E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57BF8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68" w:hRule="atLeast"/>
                <w:jc w:val="center"/>
              </w:trPr>
              <w:tc>
                <w:tcPr>
                  <w:tcW w:w="403" w:type="pct"/>
                  <w:shd w:val="clear" w:color="auto" w:fill="auto"/>
                  <w:vAlign w:val="center"/>
                </w:tcPr>
                <w:p w14:paraId="7DD802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564" w:type="pct"/>
                  <w:shd w:val="clear" w:color="auto" w:fill="auto"/>
                  <w:vAlign w:val="center"/>
                </w:tcPr>
                <w:p w14:paraId="52E0B01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初级浓香油泵</w:t>
                  </w:r>
                </w:p>
              </w:tc>
              <w:tc>
                <w:tcPr>
                  <w:tcW w:w="2584" w:type="pct"/>
                  <w:shd w:val="clear" w:color="auto" w:fill="auto"/>
                  <w:vAlign w:val="center"/>
                </w:tcPr>
                <w:p w14:paraId="636A4409">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单机功率5.5KW，速率10—15m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w:t>
                  </w:r>
                  <w:r>
                    <w:rPr>
                      <w:rFonts w:hint="eastAsia" w:cs="Times New Roman"/>
                      <w:color w:val="auto"/>
                      <w:sz w:val="21"/>
                      <w:szCs w:val="21"/>
                      <w:highlight w:val="none"/>
                      <w:vertAlign w:val="superscript"/>
                      <w:lang w:val="en-US" w:eastAsia="zh-CN"/>
                    </w:rPr>
                    <w:t>/</w:t>
                  </w:r>
                  <w:r>
                    <w:rPr>
                      <w:rFonts w:hint="eastAsia" w:cs="Times New Roman"/>
                      <w:color w:val="auto"/>
                      <w:sz w:val="21"/>
                      <w:szCs w:val="21"/>
                      <w:highlight w:val="none"/>
                      <w:lang w:val="en-US" w:eastAsia="zh-CN"/>
                    </w:rPr>
                    <w:t>h</w:t>
                  </w:r>
                </w:p>
              </w:tc>
              <w:tc>
                <w:tcPr>
                  <w:tcW w:w="447" w:type="pct"/>
                  <w:shd w:val="clear" w:color="auto" w:fill="auto"/>
                  <w:vAlign w:val="center"/>
                </w:tcPr>
                <w:p w14:paraId="5A4782D8">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257E15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66" w:hRule="atLeast"/>
                <w:jc w:val="center"/>
              </w:trPr>
              <w:tc>
                <w:tcPr>
                  <w:tcW w:w="403" w:type="pct"/>
                  <w:shd w:val="clear" w:color="auto" w:fill="auto"/>
                  <w:vAlign w:val="center"/>
                </w:tcPr>
                <w:p w14:paraId="5554983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564" w:type="pct"/>
                  <w:shd w:val="clear" w:color="auto" w:fill="auto"/>
                  <w:vAlign w:val="center"/>
                </w:tcPr>
                <w:p w14:paraId="340C4A8A">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预混罐（搅拌电机）</w:t>
                  </w:r>
                </w:p>
              </w:tc>
              <w:tc>
                <w:tcPr>
                  <w:tcW w:w="2584" w:type="pct"/>
                  <w:shd w:val="clear" w:color="auto" w:fill="auto"/>
                  <w:vAlign w:val="center"/>
                </w:tcPr>
                <w:p w14:paraId="02F09159">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单机功率4KW</w:t>
                  </w:r>
                </w:p>
              </w:tc>
              <w:tc>
                <w:tcPr>
                  <w:tcW w:w="447" w:type="pct"/>
                  <w:shd w:val="clear" w:color="auto" w:fill="auto"/>
                  <w:vAlign w:val="center"/>
                </w:tcPr>
                <w:p w14:paraId="5FD6879F">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76EA17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163B08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564" w:type="pct"/>
                  <w:shd w:val="clear" w:color="auto" w:fill="auto"/>
                  <w:vAlign w:val="center"/>
                </w:tcPr>
                <w:p w14:paraId="60CAB89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干燥剂/助滤剂料斗</w:t>
                  </w:r>
                </w:p>
              </w:tc>
              <w:tc>
                <w:tcPr>
                  <w:tcW w:w="2584" w:type="pct"/>
                  <w:shd w:val="clear" w:color="auto" w:fill="auto"/>
                  <w:vAlign w:val="center"/>
                </w:tcPr>
                <w:p w14:paraId="47A10E2E">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0E15EC2B">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44065D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402BAA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1564" w:type="pct"/>
                  <w:shd w:val="clear" w:color="auto" w:fill="auto"/>
                  <w:vAlign w:val="center"/>
                </w:tcPr>
                <w:p w14:paraId="6FA6D2B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预涂布泵</w:t>
                  </w:r>
                </w:p>
              </w:tc>
              <w:tc>
                <w:tcPr>
                  <w:tcW w:w="2584" w:type="pct"/>
                  <w:shd w:val="clear" w:color="auto" w:fill="auto"/>
                  <w:vAlign w:val="center"/>
                </w:tcPr>
                <w:p w14:paraId="68E939B2">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单机功率4KW，速率8—10m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w:t>
                  </w:r>
                  <w:r>
                    <w:rPr>
                      <w:rFonts w:hint="eastAsia" w:cs="Times New Roman"/>
                      <w:color w:val="auto"/>
                      <w:sz w:val="21"/>
                      <w:szCs w:val="21"/>
                      <w:highlight w:val="none"/>
                      <w:vertAlign w:val="superscript"/>
                      <w:lang w:val="en-US" w:eastAsia="zh-CN"/>
                    </w:rPr>
                    <w:t>/</w:t>
                  </w:r>
                  <w:r>
                    <w:rPr>
                      <w:rFonts w:hint="eastAsia" w:cs="Times New Roman"/>
                      <w:color w:val="auto"/>
                      <w:sz w:val="21"/>
                      <w:szCs w:val="21"/>
                      <w:highlight w:val="none"/>
                      <w:lang w:val="en-US" w:eastAsia="zh-CN"/>
                    </w:rPr>
                    <w:t>h</w:t>
                  </w:r>
                </w:p>
              </w:tc>
              <w:tc>
                <w:tcPr>
                  <w:tcW w:w="447" w:type="pct"/>
                  <w:shd w:val="clear" w:color="auto" w:fill="auto"/>
                  <w:vAlign w:val="center"/>
                </w:tcPr>
                <w:p w14:paraId="7D475ED5">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23D310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2" w:hRule="atLeast"/>
                <w:jc w:val="center"/>
              </w:trPr>
              <w:tc>
                <w:tcPr>
                  <w:tcW w:w="403" w:type="pct"/>
                  <w:shd w:val="clear" w:color="auto" w:fill="auto"/>
                  <w:vAlign w:val="center"/>
                </w:tcPr>
                <w:p w14:paraId="21BC61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564" w:type="pct"/>
                  <w:shd w:val="clear" w:color="auto" w:fill="auto"/>
                  <w:vAlign w:val="center"/>
                </w:tcPr>
                <w:p w14:paraId="1A02FF0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降温换热器</w:t>
                  </w:r>
                </w:p>
              </w:tc>
              <w:tc>
                <w:tcPr>
                  <w:tcW w:w="2584" w:type="pct"/>
                  <w:shd w:val="clear" w:color="auto" w:fill="auto"/>
                  <w:vAlign w:val="center"/>
                </w:tcPr>
                <w:p w14:paraId="7C2B60B8">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15m</w:t>
                  </w:r>
                  <w:r>
                    <w:rPr>
                      <w:rFonts w:hint="eastAsia" w:cs="Times New Roman"/>
                      <w:color w:val="auto"/>
                      <w:sz w:val="21"/>
                      <w:szCs w:val="21"/>
                      <w:highlight w:val="none"/>
                      <w:vertAlign w:val="superscript"/>
                      <w:lang w:val="en-US" w:eastAsia="zh-CN"/>
                    </w:rPr>
                    <w:t>3</w:t>
                  </w:r>
                </w:p>
              </w:tc>
              <w:tc>
                <w:tcPr>
                  <w:tcW w:w="447" w:type="pct"/>
                  <w:shd w:val="clear" w:color="auto" w:fill="auto"/>
                  <w:vAlign w:val="center"/>
                </w:tcPr>
                <w:p w14:paraId="0C4ACE25">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4638C2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3" w:hRule="atLeast"/>
                <w:jc w:val="center"/>
              </w:trPr>
              <w:tc>
                <w:tcPr>
                  <w:tcW w:w="403" w:type="pct"/>
                  <w:shd w:val="clear" w:color="auto" w:fill="auto"/>
                  <w:vAlign w:val="center"/>
                </w:tcPr>
                <w:p w14:paraId="21F43D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1564" w:type="pct"/>
                  <w:shd w:val="clear" w:color="auto" w:fill="auto"/>
                  <w:vAlign w:val="center"/>
                </w:tcPr>
                <w:p w14:paraId="17A6DC37">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1#养/结晶罐</w:t>
                  </w:r>
                </w:p>
              </w:tc>
              <w:tc>
                <w:tcPr>
                  <w:tcW w:w="2584" w:type="pct"/>
                  <w:shd w:val="clear" w:color="auto" w:fill="auto"/>
                  <w:vAlign w:val="center"/>
                </w:tcPr>
                <w:p w14:paraId="1BD39DBA">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6m</w:t>
                  </w:r>
                  <w:r>
                    <w:rPr>
                      <w:rFonts w:hint="eastAsia" w:cs="Times New Roman"/>
                      <w:color w:val="auto"/>
                      <w:sz w:val="21"/>
                      <w:szCs w:val="21"/>
                      <w:highlight w:val="none"/>
                      <w:vertAlign w:val="superscript"/>
                      <w:lang w:val="en-US" w:eastAsia="zh-CN"/>
                    </w:rPr>
                    <w:t>3</w:t>
                  </w:r>
                </w:p>
              </w:tc>
              <w:tc>
                <w:tcPr>
                  <w:tcW w:w="447" w:type="pct"/>
                  <w:shd w:val="clear" w:color="auto" w:fill="auto"/>
                  <w:vAlign w:val="center"/>
                </w:tcPr>
                <w:p w14:paraId="4BB5115F">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661336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7" w:hRule="atLeast"/>
                <w:jc w:val="center"/>
              </w:trPr>
              <w:tc>
                <w:tcPr>
                  <w:tcW w:w="403" w:type="pct"/>
                  <w:shd w:val="clear" w:color="auto" w:fill="auto"/>
                  <w:vAlign w:val="center"/>
                </w:tcPr>
                <w:p w14:paraId="7F53F5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9.1</w:t>
                  </w:r>
                </w:p>
              </w:tc>
              <w:tc>
                <w:tcPr>
                  <w:tcW w:w="1564" w:type="pct"/>
                  <w:shd w:val="clear" w:color="auto" w:fill="auto"/>
                  <w:vAlign w:val="center"/>
                </w:tcPr>
                <w:p w14:paraId="67D1547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1#养/结晶罐搅拌电机</w:t>
                  </w:r>
                </w:p>
              </w:tc>
              <w:tc>
                <w:tcPr>
                  <w:tcW w:w="2584" w:type="pct"/>
                  <w:shd w:val="clear" w:color="auto" w:fill="auto"/>
                  <w:vAlign w:val="center"/>
                </w:tcPr>
                <w:p w14:paraId="70158B40">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单机功率3KW</w:t>
                  </w:r>
                </w:p>
              </w:tc>
              <w:tc>
                <w:tcPr>
                  <w:tcW w:w="447" w:type="pct"/>
                  <w:shd w:val="clear" w:color="auto" w:fill="auto"/>
                  <w:vAlign w:val="center"/>
                </w:tcPr>
                <w:p w14:paraId="6D0C0C8C">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2BC735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1D186A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564" w:type="pct"/>
                  <w:shd w:val="clear" w:color="auto" w:fill="auto"/>
                  <w:vAlign w:val="center"/>
                </w:tcPr>
                <w:p w14:paraId="472E6A4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2#养/结晶罐</w:t>
                  </w:r>
                </w:p>
              </w:tc>
              <w:tc>
                <w:tcPr>
                  <w:tcW w:w="2584" w:type="pct"/>
                  <w:shd w:val="clear" w:color="auto" w:fill="auto"/>
                  <w:vAlign w:val="center"/>
                </w:tcPr>
                <w:p w14:paraId="362ADD03">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6m</w:t>
                  </w:r>
                  <w:r>
                    <w:rPr>
                      <w:rFonts w:hint="eastAsia" w:cs="Times New Roman"/>
                      <w:color w:val="auto"/>
                      <w:sz w:val="21"/>
                      <w:szCs w:val="21"/>
                      <w:highlight w:val="none"/>
                      <w:vertAlign w:val="superscript"/>
                      <w:lang w:val="en-US" w:eastAsia="zh-CN"/>
                    </w:rPr>
                    <w:t>3</w:t>
                  </w:r>
                </w:p>
              </w:tc>
              <w:tc>
                <w:tcPr>
                  <w:tcW w:w="447" w:type="pct"/>
                  <w:shd w:val="clear" w:color="auto" w:fill="auto"/>
                  <w:vAlign w:val="center"/>
                </w:tcPr>
                <w:p w14:paraId="623443CA">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3604D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7E7089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w:t>
                  </w:r>
                </w:p>
              </w:tc>
              <w:tc>
                <w:tcPr>
                  <w:tcW w:w="1564" w:type="pct"/>
                  <w:shd w:val="clear" w:color="auto" w:fill="auto"/>
                  <w:vAlign w:val="center"/>
                </w:tcPr>
                <w:p w14:paraId="285765B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2#养/结晶罐搅拌电机</w:t>
                  </w:r>
                </w:p>
              </w:tc>
              <w:tc>
                <w:tcPr>
                  <w:tcW w:w="2584" w:type="pct"/>
                  <w:shd w:val="clear" w:color="auto" w:fill="auto"/>
                  <w:vAlign w:val="center"/>
                </w:tcPr>
                <w:p w14:paraId="13D15D09">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单机功率3KW</w:t>
                  </w:r>
                </w:p>
              </w:tc>
              <w:tc>
                <w:tcPr>
                  <w:tcW w:w="447" w:type="pct"/>
                  <w:shd w:val="clear" w:color="auto" w:fill="auto"/>
                  <w:vAlign w:val="center"/>
                </w:tcPr>
                <w:p w14:paraId="6075BE3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0BEE59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4BA1FD5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1564" w:type="pct"/>
                  <w:shd w:val="clear" w:color="auto" w:fill="auto"/>
                  <w:vAlign w:val="center"/>
                </w:tcPr>
                <w:p w14:paraId="7768F6B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3#养/结晶罐</w:t>
                  </w:r>
                </w:p>
              </w:tc>
              <w:tc>
                <w:tcPr>
                  <w:tcW w:w="2584" w:type="pct"/>
                  <w:shd w:val="clear" w:color="auto" w:fill="auto"/>
                  <w:vAlign w:val="center"/>
                </w:tcPr>
                <w:p w14:paraId="4FF64025">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1A50C8C4">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2A587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3" w:hRule="atLeast"/>
                <w:jc w:val="center"/>
              </w:trPr>
              <w:tc>
                <w:tcPr>
                  <w:tcW w:w="403" w:type="pct"/>
                  <w:shd w:val="clear" w:color="auto" w:fill="auto"/>
                  <w:vAlign w:val="center"/>
                </w:tcPr>
                <w:p w14:paraId="3A851CE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11.1</w:t>
                  </w:r>
                </w:p>
              </w:tc>
              <w:tc>
                <w:tcPr>
                  <w:tcW w:w="1564" w:type="pct"/>
                  <w:shd w:val="clear" w:color="auto" w:fill="auto"/>
                  <w:vAlign w:val="center"/>
                </w:tcPr>
                <w:p w14:paraId="0D10CDF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3#养/结晶罐搅拌电机</w:t>
                  </w:r>
                </w:p>
              </w:tc>
              <w:tc>
                <w:tcPr>
                  <w:tcW w:w="2584" w:type="pct"/>
                  <w:shd w:val="clear" w:color="auto" w:fill="auto"/>
                  <w:vAlign w:val="center"/>
                </w:tcPr>
                <w:p w14:paraId="1DA9BCD9">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单机功率3KW，6m</w:t>
                  </w:r>
                  <w:r>
                    <w:rPr>
                      <w:rFonts w:hint="eastAsia" w:cs="Times New Roman"/>
                      <w:color w:val="auto"/>
                      <w:sz w:val="21"/>
                      <w:szCs w:val="21"/>
                      <w:highlight w:val="none"/>
                      <w:vertAlign w:val="superscript"/>
                      <w:lang w:val="en-US" w:eastAsia="zh-CN"/>
                    </w:rPr>
                    <w:t>3</w:t>
                  </w:r>
                </w:p>
              </w:tc>
              <w:tc>
                <w:tcPr>
                  <w:tcW w:w="447" w:type="pct"/>
                  <w:shd w:val="clear" w:color="auto" w:fill="auto"/>
                  <w:vAlign w:val="center"/>
                </w:tcPr>
                <w:p w14:paraId="6990671F">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7038A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64B27C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1564" w:type="pct"/>
                  <w:shd w:val="clear" w:color="auto" w:fill="auto"/>
                  <w:vAlign w:val="center"/>
                </w:tcPr>
                <w:p w14:paraId="2461D13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螺杆泵2</w:t>
                  </w:r>
                </w:p>
              </w:tc>
              <w:tc>
                <w:tcPr>
                  <w:tcW w:w="2584" w:type="pct"/>
                  <w:shd w:val="clear" w:color="auto" w:fill="auto"/>
                  <w:vAlign w:val="center"/>
                </w:tcPr>
                <w:p w14:paraId="20916F40">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单机功率4KW</w:t>
                  </w:r>
                </w:p>
              </w:tc>
              <w:tc>
                <w:tcPr>
                  <w:tcW w:w="447" w:type="pct"/>
                  <w:shd w:val="clear" w:color="auto" w:fill="auto"/>
                  <w:vAlign w:val="center"/>
                </w:tcPr>
                <w:p w14:paraId="51A36BC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447487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4" w:hRule="atLeast"/>
                <w:jc w:val="center"/>
              </w:trPr>
              <w:tc>
                <w:tcPr>
                  <w:tcW w:w="403" w:type="pct"/>
                  <w:shd w:val="clear" w:color="auto" w:fill="auto"/>
                  <w:vAlign w:val="center"/>
                </w:tcPr>
                <w:p w14:paraId="1B73C3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1564" w:type="pct"/>
                  <w:shd w:val="clear" w:color="auto" w:fill="auto"/>
                  <w:vAlign w:val="center"/>
                </w:tcPr>
                <w:p w14:paraId="19D6C8E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预涂布罐</w:t>
                  </w:r>
                </w:p>
              </w:tc>
              <w:tc>
                <w:tcPr>
                  <w:tcW w:w="2584" w:type="pct"/>
                  <w:shd w:val="clear" w:color="auto" w:fill="auto"/>
                  <w:vAlign w:val="center"/>
                </w:tcPr>
                <w:p w14:paraId="4633176A">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单机功率4KW</w:t>
                  </w:r>
                </w:p>
              </w:tc>
              <w:tc>
                <w:tcPr>
                  <w:tcW w:w="447" w:type="pct"/>
                  <w:shd w:val="clear" w:color="auto" w:fill="auto"/>
                  <w:vAlign w:val="center"/>
                </w:tcPr>
                <w:p w14:paraId="23A2A3CB">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11AA61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46" w:hRule="atLeast"/>
                <w:jc w:val="center"/>
              </w:trPr>
              <w:tc>
                <w:tcPr>
                  <w:tcW w:w="403" w:type="pct"/>
                  <w:shd w:val="clear" w:color="auto" w:fill="auto"/>
                  <w:vAlign w:val="center"/>
                </w:tcPr>
                <w:p w14:paraId="18EDB1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1564" w:type="pct"/>
                  <w:shd w:val="clear" w:color="auto" w:fill="auto"/>
                  <w:vAlign w:val="center"/>
                </w:tcPr>
                <w:p w14:paraId="22DF0EB5">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干燥/助晶剂料斗</w:t>
                  </w:r>
                </w:p>
              </w:tc>
              <w:tc>
                <w:tcPr>
                  <w:tcW w:w="2584" w:type="pct"/>
                  <w:shd w:val="clear" w:color="auto" w:fill="auto"/>
                  <w:vAlign w:val="center"/>
                </w:tcPr>
                <w:p w14:paraId="2ACB3FAA">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2AE62F69">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64BCD0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9" w:hRule="atLeast"/>
                <w:jc w:val="center"/>
              </w:trPr>
              <w:tc>
                <w:tcPr>
                  <w:tcW w:w="403" w:type="pct"/>
                  <w:shd w:val="clear" w:color="auto" w:fill="auto"/>
                  <w:vAlign w:val="center"/>
                </w:tcPr>
                <w:p w14:paraId="5AAA8D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564" w:type="pct"/>
                  <w:shd w:val="clear" w:color="auto" w:fill="auto"/>
                  <w:vAlign w:val="center"/>
                </w:tcPr>
                <w:p w14:paraId="6DB1AFDC">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隔膜压滤机</w:t>
                  </w:r>
                </w:p>
              </w:tc>
              <w:tc>
                <w:tcPr>
                  <w:tcW w:w="2584" w:type="pct"/>
                  <w:shd w:val="clear" w:color="auto" w:fill="auto"/>
                  <w:vAlign w:val="center"/>
                </w:tcPr>
                <w:p w14:paraId="0AD95B2D">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XAZGF30/800-UB；单机功率3.2KW，30m</w:t>
                  </w:r>
                  <w:r>
                    <w:rPr>
                      <w:rFonts w:hint="eastAsia" w:cs="Times New Roman"/>
                      <w:color w:val="auto"/>
                      <w:sz w:val="21"/>
                      <w:szCs w:val="21"/>
                      <w:highlight w:val="none"/>
                      <w:vertAlign w:val="superscript"/>
                      <w:lang w:val="en-US" w:eastAsia="zh-CN"/>
                    </w:rPr>
                    <w:t>2</w:t>
                  </w:r>
                </w:p>
              </w:tc>
              <w:tc>
                <w:tcPr>
                  <w:tcW w:w="447" w:type="pct"/>
                  <w:shd w:val="clear" w:color="auto" w:fill="auto"/>
                  <w:vAlign w:val="center"/>
                </w:tcPr>
                <w:p w14:paraId="7284F311">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0F2B5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2D396A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1564" w:type="pct"/>
                  <w:shd w:val="clear" w:color="auto" w:fill="auto"/>
                  <w:vAlign w:val="center"/>
                </w:tcPr>
                <w:p w14:paraId="513E6E0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液压站</w:t>
                  </w:r>
                </w:p>
              </w:tc>
              <w:tc>
                <w:tcPr>
                  <w:tcW w:w="2584" w:type="pct"/>
                  <w:shd w:val="clear" w:color="auto" w:fill="auto"/>
                  <w:vAlign w:val="center"/>
                </w:tcPr>
                <w:p w14:paraId="01C995B3">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单机功率2.2KW</w:t>
                  </w:r>
                </w:p>
              </w:tc>
              <w:tc>
                <w:tcPr>
                  <w:tcW w:w="447" w:type="pct"/>
                  <w:shd w:val="clear" w:color="auto" w:fill="auto"/>
                  <w:vAlign w:val="center"/>
                </w:tcPr>
                <w:p w14:paraId="71208DFD">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2B42E2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4F372F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w:t>
                  </w:r>
                </w:p>
              </w:tc>
              <w:tc>
                <w:tcPr>
                  <w:tcW w:w="1564" w:type="pct"/>
                  <w:shd w:val="clear" w:color="auto" w:fill="auto"/>
                  <w:vAlign w:val="center"/>
                </w:tcPr>
                <w:p w14:paraId="1EDEBFF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暂存罐2</w:t>
                  </w:r>
                </w:p>
              </w:tc>
              <w:tc>
                <w:tcPr>
                  <w:tcW w:w="2584" w:type="pct"/>
                  <w:shd w:val="clear" w:color="auto" w:fill="auto"/>
                  <w:vAlign w:val="center"/>
                </w:tcPr>
                <w:p w14:paraId="7AFD9E1B">
                  <w:pPr>
                    <w:keepNext w:val="0"/>
                    <w:keepLines w:val="0"/>
                    <w:pageBreakBefore w:val="0"/>
                    <w:kinsoku/>
                    <w:wordWrap/>
                    <w:overflowPunct/>
                    <w:topLinePunct w:val="0"/>
                    <w:autoSpaceDE/>
                    <w:autoSpaceDN/>
                    <w:bidi w:val="0"/>
                    <w:adjustRightInd/>
                    <w:snapToGrid/>
                    <w:spacing w:beforeLines="0" w:afterLines="0"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7" w:type="pct"/>
                  <w:shd w:val="clear" w:color="auto" w:fill="auto"/>
                  <w:vAlign w:val="center"/>
                </w:tcPr>
                <w:p w14:paraId="58B53278">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47A295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6EE2B5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1564" w:type="pct"/>
                  <w:shd w:val="clear" w:color="auto" w:fill="auto"/>
                  <w:vAlign w:val="center"/>
                </w:tcPr>
                <w:p w14:paraId="3980B8E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成品油罐入油泵</w:t>
                  </w:r>
                </w:p>
              </w:tc>
              <w:tc>
                <w:tcPr>
                  <w:tcW w:w="2584" w:type="pct"/>
                  <w:shd w:val="clear" w:color="auto" w:fill="auto"/>
                  <w:vAlign w:val="center"/>
                </w:tcPr>
                <w:p w14:paraId="7386CA5E">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单机功率5.5KW</w:t>
                  </w:r>
                </w:p>
              </w:tc>
              <w:tc>
                <w:tcPr>
                  <w:tcW w:w="447" w:type="pct"/>
                  <w:shd w:val="clear" w:color="auto" w:fill="auto"/>
                  <w:vAlign w:val="center"/>
                </w:tcPr>
                <w:p w14:paraId="32694B25">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03C45E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2" w:hRule="atLeast"/>
                <w:jc w:val="center"/>
              </w:trPr>
              <w:tc>
                <w:tcPr>
                  <w:tcW w:w="403" w:type="pct"/>
                  <w:shd w:val="clear" w:color="auto" w:fill="auto"/>
                  <w:vAlign w:val="center"/>
                </w:tcPr>
                <w:p w14:paraId="46976A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1564" w:type="pct"/>
                  <w:shd w:val="clear" w:color="auto" w:fill="auto"/>
                  <w:vAlign w:val="center"/>
                </w:tcPr>
                <w:p w14:paraId="7CE5BE0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单桶过滤器</w:t>
                  </w:r>
                </w:p>
              </w:tc>
              <w:tc>
                <w:tcPr>
                  <w:tcW w:w="2584" w:type="pct"/>
                  <w:shd w:val="clear" w:color="auto" w:fill="auto"/>
                  <w:vAlign w:val="center"/>
                </w:tcPr>
                <w:p w14:paraId="1F575FB7">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447" w:type="pct"/>
                  <w:shd w:val="clear" w:color="auto" w:fill="auto"/>
                  <w:vAlign w:val="center"/>
                </w:tcPr>
                <w:p w14:paraId="44E1EFD3">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1350E4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8" w:hRule="atLeast"/>
                <w:jc w:val="center"/>
              </w:trPr>
              <w:tc>
                <w:tcPr>
                  <w:tcW w:w="403" w:type="pct"/>
                  <w:shd w:val="clear" w:color="auto" w:fill="auto"/>
                  <w:vAlign w:val="center"/>
                </w:tcPr>
                <w:p w14:paraId="7E3325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1564" w:type="pct"/>
                  <w:shd w:val="clear" w:color="auto" w:fill="auto"/>
                  <w:vAlign w:val="center"/>
                </w:tcPr>
                <w:p w14:paraId="734A4522">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玉米成品油罐</w:t>
                  </w:r>
                </w:p>
              </w:tc>
              <w:tc>
                <w:tcPr>
                  <w:tcW w:w="2584" w:type="pct"/>
                  <w:shd w:val="clear" w:color="auto" w:fill="auto"/>
                  <w:vAlign w:val="center"/>
                </w:tcPr>
                <w:p w14:paraId="411E9C66">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容积20m</w:t>
                  </w:r>
                  <w:r>
                    <w:rPr>
                      <w:rFonts w:hint="eastAsia" w:cs="Times New Roman"/>
                      <w:color w:val="auto"/>
                      <w:sz w:val="21"/>
                      <w:szCs w:val="21"/>
                      <w:highlight w:val="none"/>
                      <w:vertAlign w:val="superscript"/>
                      <w:lang w:val="en-US" w:eastAsia="zh-CN"/>
                    </w:rPr>
                    <w:t>3</w:t>
                  </w:r>
                </w:p>
              </w:tc>
              <w:tc>
                <w:tcPr>
                  <w:tcW w:w="447" w:type="pct"/>
                  <w:shd w:val="clear" w:color="auto" w:fill="auto"/>
                  <w:vAlign w:val="center"/>
                </w:tcPr>
                <w:p w14:paraId="1E38594C">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48E242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9" w:hRule="atLeast"/>
                <w:jc w:val="center"/>
              </w:trPr>
              <w:tc>
                <w:tcPr>
                  <w:tcW w:w="403" w:type="pct"/>
                  <w:shd w:val="clear" w:color="auto" w:fill="auto"/>
                  <w:vAlign w:val="center"/>
                </w:tcPr>
                <w:p w14:paraId="0BCA21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1564" w:type="pct"/>
                  <w:shd w:val="clear" w:color="auto" w:fill="auto"/>
                  <w:vAlign w:val="center"/>
                </w:tcPr>
                <w:p w14:paraId="1D29D70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成品浓香油齿轮泵</w:t>
                  </w:r>
                </w:p>
              </w:tc>
              <w:tc>
                <w:tcPr>
                  <w:tcW w:w="2584" w:type="pct"/>
                  <w:shd w:val="clear" w:color="auto" w:fill="auto"/>
                  <w:vAlign w:val="center"/>
                </w:tcPr>
                <w:p w14:paraId="0C848B6B">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河北泊头HKCB2/0.6BTL-1；单机功率1.5KW，速率3m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/h</w:t>
                  </w:r>
                </w:p>
              </w:tc>
              <w:tc>
                <w:tcPr>
                  <w:tcW w:w="447" w:type="pct"/>
                  <w:shd w:val="clear" w:color="auto" w:fill="auto"/>
                  <w:vAlign w:val="center"/>
                </w:tcPr>
                <w:p w14:paraId="4E63374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2DE9A0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4" w:hRule="atLeast"/>
                <w:jc w:val="center"/>
              </w:trPr>
              <w:tc>
                <w:tcPr>
                  <w:tcW w:w="403" w:type="pct"/>
                  <w:shd w:val="clear" w:color="auto" w:fill="auto"/>
                  <w:vAlign w:val="center"/>
                </w:tcPr>
                <w:p w14:paraId="594E75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1564" w:type="pct"/>
                  <w:shd w:val="clear" w:color="auto" w:fill="auto"/>
                  <w:vAlign w:val="center"/>
                </w:tcPr>
                <w:p w14:paraId="634D435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成品浓香油单桶过滤器</w:t>
                  </w:r>
                </w:p>
              </w:tc>
              <w:tc>
                <w:tcPr>
                  <w:tcW w:w="2584" w:type="pct"/>
                  <w:shd w:val="clear" w:color="auto" w:fill="auto"/>
                  <w:vAlign w:val="center"/>
                </w:tcPr>
                <w:p w14:paraId="37FF560E">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447" w:type="pct"/>
                  <w:shd w:val="clear" w:color="auto" w:fill="auto"/>
                  <w:vAlign w:val="center"/>
                </w:tcPr>
                <w:p w14:paraId="3887D151">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57339A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3E42AC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1564" w:type="pct"/>
                  <w:shd w:val="clear" w:color="auto" w:fill="auto"/>
                  <w:vAlign w:val="center"/>
                </w:tcPr>
                <w:p w14:paraId="4476993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高位水罐</w:t>
                  </w:r>
                </w:p>
              </w:tc>
              <w:tc>
                <w:tcPr>
                  <w:tcW w:w="2584" w:type="pct"/>
                  <w:shd w:val="clear" w:color="auto" w:fill="auto"/>
                  <w:vAlign w:val="center"/>
                </w:tcPr>
                <w:p w14:paraId="7E452BB6">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1m</w:t>
                  </w:r>
                  <w:r>
                    <w:rPr>
                      <w:rFonts w:hint="eastAsia" w:cs="Times New Roman"/>
                      <w:color w:val="auto"/>
                      <w:kern w:val="0"/>
                      <w:sz w:val="21"/>
                      <w:szCs w:val="21"/>
                      <w:highlight w:val="none"/>
                      <w:vertAlign w:val="superscript"/>
                      <w:lang w:val="en-US" w:eastAsia="zh-CN" w:bidi="ar"/>
                    </w:rPr>
                    <w:t>3</w:t>
                  </w:r>
                </w:p>
              </w:tc>
              <w:tc>
                <w:tcPr>
                  <w:tcW w:w="447" w:type="pct"/>
                  <w:shd w:val="clear" w:color="auto" w:fill="auto"/>
                  <w:vAlign w:val="center"/>
                </w:tcPr>
                <w:p w14:paraId="68009D1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6642E8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jc w:val="center"/>
              </w:trPr>
              <w:tc>
                <w:tcPr>
                  <w:tcW w:w="403" w:type="pct"/>
                  <w:shd w:val="clear" w:color="auto" w:fill="auto"/>
                  <w:vAlign w:val="center"/>
                </w:tcPr>
                <w:p w14:paraId="050E1E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1564" w:type="pct"/>
                  <w:shd w:val="clear" w:color="auto" w:fill="auto"/>
                  <w:vAlign w:val="center"/>
                </w:tcPr>
                <w:p w14:paraId="73C2515E">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冰水循环泵</w:t>
                  </w:r>
                </w:p>
              </w:tc>
              <w:tc>
                <w:tcPr>
                  <w:tcW w:w="2584" w:type="pct"/>
                  <w:shd w:val="clear" w:color="auto" w:fill="auto"/>
                  <w:vAlign w:val="center"/>
                </w:tcPr>
                <w:p w14:paraId="75B32416">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447" w:type="pct"/>
                  <w:shd w:val="clear" w:color="auto" w:fill="auto"/>
                  <w:vAlign w:val="center"/>
                </w:tcPr>
                <w:p w14:paraId="05664968">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3CEC6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403" w:type="pct"/>
                  <w:shd w:val="clear" w:color="auto" w:fill="auto"/>
                  <w:vAlign w:val="center"/>
                </w:tcPr>
                <w:p w14:paraId="0A8AA2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1564" w:type="pct"/>
                  <w:shd w:val="clear" w:color="auto" w:fill="auto"/>
                  <w:vAlign w:val="center"/>
                </w:tcPr>
                <w:p w14:paraId="48BC6AB4">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冰水机</w:t>
                  </w:r>
                </w:p>
              </w:tc>
              <w:tc>
                <w:tcPr>
                  <w:tcW w:w="2584" w:type="pct"/>
                  <w:shd w:val="clear" w:color="auto" w:fill="auto"/>
                  <w:vAlign w:val="center"/>
                </w:tcPr>
                <w:p w14:paraId="20CF964D">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GXF-15AD；单机功率14.1KW，15P</w:t>
                  </w:r>
                </w:p>
              </w:tc>
              <w:tc>
                <w:tcPr>
                  <w:tcW w:w="447" w:type="pct"/>
                  <w:shd w:val="clear" w:color="auto" w:fill="auto"/>
                  <w:vAlign w:val="center"/>
                </w:tcPr>
                <w:p w14:paraId="1862450F">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1D5606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403" w:type="pct"/>
                  <w:shd w:val="clear" w:color="auto" w:fill="auto"/>
                  <w:vAlign w:val="center"/>
                </w:tcPr>
                <w:p w14:paraId="3F8505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1564" w:type="pct"/>
                  <w:shd w:val="clear" w:color="auto" w:fill="auto"/>
                  <w:vAlign w:val="center"/>
                </w:tcPr>
                <w:p w14:paraId="04CC16C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冷却水循环泵</w:t>
                  </w:r>
                </w:p>
              </w:tc>
              <w:tc>
                <w:tcPr>
                  <w:tcW w:w="2584" w:type="pct"/>
                  <w:shd w:val="clear" w:color="auto" w:fill="auto"/>
                  <w:vAlign w:val="center"/>
                </w:tcPr>
                <w:p w14:paraId="658989A1">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单机功率11KW</w:t>
                  </w:r>
                </w:p>
              </w:tc>
              <w:tc>
                <w:tcPr>
                  <w:tcW w:w="447" w:type="pct"/>
                  <w:shd w:val="clear" w:color="auto" w:fill="auto"/>
                  <w:vAlign w:val="center"/>
                </w:tcPr>
                <w:p w14:paraId="2B71D978">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r w14:paraId="0D65FF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4" w:hRule="atLeast"/>
                <w:jc w:val="center"/>
              </w:trPr>
              <w:tc>
                <w:tcPr>
                  <w:tcW w:w="403" w:type="pct"/>
                  <w:shd w:val="clear" w:color="auto" w:fill="auto"/>
                  <w:vAlign w:val="center"/>
                </w:tcPr>
                <w:p w14:paraId="4F5976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1564" w:type="pct"/>
                  <w:shd w:val="clear" w:color="auto" w:fill="auto"/>
                  <w:vAlign w:val="center"/>
                </w:tcPr>
                <w:p w14:paraId="6A627E5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凉水塔</w:t>
                  </w:r>
                </w:p>
              </w:tc>
              <w:tc>
                <w:tcPr>
                  <w:tcW w:w="2584" w:type="pct"/>
                  <w:shd w:val="clear" w:color="auto" w:fill="auto"/>
                  <w:vAlign w:val="center"/>
                </w:tcPr>
                <w:p w14:paraId="4CB77619">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单机功率3.7KW</w:t>
                  </w:r>
                </w:p>
              </w:tc>
              <w:tc>
                <w:tcPr>
                  <w:tcW w:w="447" w:type="pct"/>
                  <w:shd w:val="clear" w:color="auto" w:fill="auto"/>
                  <w:vAlign w:val="center"/>
                </w:tcPr>
                <w:p w14:paraId="102EC460">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1台</w:t>
                  </w:r>
                </w:p>
              </w:tc>
            </w:tr>
          </w:tbl>
          <w:p w14:paraId="29CBE0B5">
            <w:pPr>
              <w:pStyle w:val="5"/>
              <w:keepNext w:val="0"/>
              <w:keepLines w:val="0"/>
              <w:pageBreakBefore w:val="0"/>
              <w:widowControl w:val="0"/>
              <w:kinsoku/>
              <w:wordWrap/>
              <w:overflowPunct/>
              <w:topLinePunct w:val="0"/>
              <w:autoSpaceDE/>
              <w:autoSpaceDN/>
              <w:bidi w:val="0"/>
              <w:adjustRightInd/>
              <w:snapToGrid/>
              <w:spacing w:after="0" w:line="440" w:lineRule="exact"/>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12</w:t>
            </w:r>
            <w:r>
              <w:rPr>
                <w:rFonts w:hint="default" w:ascii="Times New Roman" w:hAnsi="Times New Roman" w:eastAsia="宋体" w:cs="Times New Roman"/>
                <w:b/>
                <w:bCs/>
                <w:color w:val="auto"/>
                <w:sz w:val="24"/>
                <w:highlight w:val="none"/>
              </w:rPr>
              <w:t>、总平面布置</w:t>
            </w:r>
          </w:p>
          <w:bookmarkEnd w:id="6"/>
          <w:p w14:paraId="0D784691">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项目位于</w:t>
            </w:r>
            <w:r>
              <w:rPr>
                <w:rFonts w:hint="default" w:ascii="Times New Roman" w:hAnsi="Times New Roman" w:eastAsia="宋体" w:cs="Times New Roman"/>
                <w:b w:val="0"/>
                <w:bCs/>
                <w:color w:val="auto"/>
                <w:sz w:val="24"/>
                <w:szCs w:val="24"/>
                <w:highlight w:val="none"/>
                <w:lang w:val="en-US" w:eastAsia="zh-CN"/>
              </w:rPr>
              <w:t>内蒙古巴彦淖尔</w:t>
            </w:r>
            <w:r>
              <w:rPr>
                <w:rFonts w:hint="eastAsia" w:cs="Times New Roman"/>
                <w:b w:val="0"/>
                <w:bCs/>
                <w:color w:val="auto"/>
                <w:sz w:val="24"/>
                <w:szCs w:val="24"/>
                <w:highlight w:val="none"/>
                <w:lang w:val="en-US" w:eastAsia="zh-CN"/>
              </w:rPr>
              <w:t>市</w:t>
            </w:r>
            <w:r>
              <w:rPr>
                <w:rFonts w:hint="default" w:ascii="Times New Roman" w:hAnsi="Times New Roman" w:eastAsia="宋体" w:cs="Times New Roman"/>
                <w:color w:val="auto"/>
                <w:kern w:val="0"/>
                <w:sz w:val="24"/>
                <w:highlight w:val="none"/>
                <w:lang w:val="en-US" w:eastAsia="zh-CN"/>
              </w:rPr>
              <w:t>磴口县巴彦高勒镇</w:t>
            </w:r>
            <w:r>
              <w:rPr>
                <w:rFonts w:hint="default" w:ascii="Times New Roman" w:hAnsi="Times New Roman" w:eastAsia="宋体" w:cs="Times New Roman"/>
                <w:b w:val="0"/>
                <w:bCs/>
                <w:color w:val="auto"/>
                <w:sz w:val="24"/>
                <w:szCs w:val="24"/>
                <w:highlight w:val="none"/>
                <w:lang w:val="en-US" w:eastAsia="zh-CN"/>
              </w:rPr>
              <w:t>上海佳格食品有限公司内蒙古分公司院内</w:t>
            </w:r>
            <w:r>
              <w:rPr>
                <w:rFonts w:hint="eastAsia" w:cs="Times New Roman"/>
                <w:b w:val="0"/>
                <w:bCs/>
                <w:color w:val="auto"/>
                <w:sz w:val="24"/>
                <w:szCs w:val="24"/>
                <w:highlight w:val="none"/>
                <w:lang w:val="en-US" w:eastAsia="zh-CN"/>
              </w:rPr>
              <w:t>。厂区整体呈长方形，本项目厂房位于厂区西南原农业部库房位置，本项目</w:t>
            </w:r>
            <w:r>
              <w:rPr>
                <w:rFonts w:hint="eastAsia" w:cs="Times New Roman"/>
                <w:color w:val="auto"/>
                <w:sz w:val="24"/>
                <w:szCs w:val="24"/>
                <w:highlight w:val="none"/>
                <w:vertAlign w:val="baseline"/>
                <w:lang w:val="en-US" w:eastAsia="zh-CN"/>
              </w:rPr>
              <w:t>厂区</w:t>
            </w:r>
            <w:r>
              <w:rPr>
                <w:rFonts w:hint="default" w:ascii="Times New Roman" w:hAnsi="Times New Roman" w:eastAsia="宋体" w:cs="Times New Roman"/>
                <w:color w:val="auto"/>
                <w:sz w:val="24"/>
                <w:highlight w:val="none"/>
              </w:rPr>
              <w:t>总平面布置见附图</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rPr>
              <w:t>。</w:t>
            </w:r>
          </w:p>
          <w:p w14:paraId="5A37CEBD">
            <w:pPr>
              <w:pStyle w:val="5"/>
              <w:keepNext w:val="0"/>
              <w:keepLines w:val="0"/>
              <w:pageBreakBefore w:val="0"/>
              <w:kinsoku/>
              <w:wordWrap/>
              <w:overflowPunct/>
              <w:topLinePunct w:val="0"/>
              <w:autoSpaceDE/>
              <w:autoSpaceDN/>
              <w:bidi w:val="0"/>
              <w:adjustRightInd/>
              <w:snapToGrid/>
              <w:spacing w:after="0" w:line="440" w:lineRule="exact"/>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13</w:t>
            </w:r>
            <w:r>
              <w:rPr>
                <w:rFonts w:hint="default" w:ascii="Times New Roman" w:hAnsi="Times New Roman" w:eastAsia="宋体" w:cs="Times New Roman"/>
                <w:b/>
                <w:bCs/>
                <w:color w:val="auto"/>
                <w:sz w:val="24"/>
                <w:highlight w:val="none"/>
              </w:rPr>
              <w:t>、公用工程</w:t>
            </w:r>
          </w:p>
          <w:p w14:paraId="2A030CFE">
            <w:pPr>
              <w:pStyle w:val="5"/>
              <w:keepNext w:val="0"/>
              <w:keepLines w:val="0"/>
              <w:pageBreakBefore w:val="0"/>
              <w:kinsoku/>
              <w:wordWrap/>
              <w:overflowPunct/>
              <w:topLinePunct w:val="0"/>
              <w:autoSpaceDE/>
              <w:autoSpaceDN/>
              <w:bidi w:val="0"/>
              <w:adjustRightInd/>
              <w:snapToGrid/>
              <w:spacing w:after="0" w:line="440" w:lineRule="exact"/>
              <w:ind w:firstLine="482" w:firstLineChars="200"/>
              <w:textAlignment w:val="auto"/>
              <w:rPr>
                <w:rFonts w:hint="default" w:ascii="Times New Roman" w:hAnsi="Times New Roman" w:eastAsia="宋体" w:cs="Times New Roman"/>
                <w:b/>
                <w:bCs/>
                <w:color w:val="auto"/>
                <w:sz w:val="24"/>
                <w:highlight w:val="none"/>
                <w:lang w:val="en-US"/>
              </w:rPr>
            </w:pPr>
            <w:r>
              <w:rPr>
                <w:rFonts w:hint="default" w:ascii="Times New Roman" w:hAnsi="Times New Roman" w:eastAsia="宋体" w:cs="Times New Roman"/>
                <w:b/>
                <w:bCs/>
                <w:color w:val="auto"/>
                <w:sz w:val="24"/>
                <w:highlight w:val="none"/>
              </w:rPr>
              <w:t>（1）</w:t>
            </w:r>
            <w:r>
              <w:rPr>
                <w:rFonts w:hint="eastAsia" w:cs="Times New Roman"/>
                <w:b/>
                <w:bCs/>
                <w:color w:val="auto"/>
                <w:sz w:val="24"/>
                <w:highlight w:val="none"/>
                <w:lang w:val="en-US" w:eastAsia="zh-CN"/>
              </w:rPr>
              <w:t>给水</w:t>
            </w:r>
          </w:p>
          <w:p w14:paraId="34241264">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eastAsia="宋体"/>
                <w:color w:val="auto"/>
                <w:highlight w:val="none"/>
                <w:lang w:eastAsia="zh-CN"/>
              </w:rPr>
            </w:pPr>
            <w:r>
              <w:rPr>
                <w:rFonts w:hint="eastAsia" w:ascii="Times New Roman" w:hAnsi="Times New Roman" w:eastAsia="宋体" w:cs="Times New Roman"/>
                <w:color w:val="auto"/>
                <w:sz w:val="24"/>
                <w:highlight w:val="none"/>
                <w:lang w:eastAsia="zh-CN"/>
              </w:rPr>
              <w:t>本</w:t>
            </w:r>
            <w:r>
              <w:rPr>
                <w:rFonts w:hint="eastAsia" w:ascii="Times New Roman" w:hAnsi="Times New Roman" w:eastAsia="宋体" w:cs="Times New Roman"/>
                <w:color w:val="auto"/>
                <w:sz w:val="24"/>
                <w:szCs w:val="24"/>
                <w:highlight w:val="none"/>
                <w:lang w:eastAsia="zh-CN"/>
              </w:rPr>
              <w:t>项目用水</w:t>
            </w:r>
            <w:r>
              <w:rPr>
                <w:rFonts w:hint="eastAsia" w:cs="Times New Roman"/>
                <w:color w:val="auto"/>
                <w:sz w:val="24"/>
                <w:szCs w:val="24"/>
                <w:highlight w:val="none"/>
                <w:lang w:val="en-US" w:eastAsia="zh-CN"/>
              </w:rPr>
              <w:t>依托厂区现有水井供给，取水许可证详见附件4。本项目年取用水量为29立方米，依据建设单位提供的资料，厂区现有项目年取水量为50立方米，29+50立方米/年＜4.7965万立方米/年，本项目符合厂区现有取水许可证核准的取水条件。</w:t>
            </w:r>
          </w:p>
          <w:p w14:paraId="4A8C4F9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根据建设单位提供的资料可知，本项目用水主要包括：</w:t>
            </w:r>
            <w:r>
              <w:rPr>
                <w:rFonts w:hint="eastAsia" w:cs="Times New Roman"/>
                <w:color w:val="auto"/>
                <w:kern w:val="0"/>
                <w:sz w:val="24"/>
                <w:szCs w:val="24"/>
                <w:highlight w:val="none"/>
                <w:lang w:val="en-US" w:eastAsia="zh-CN" w:bidi="ar"/>
              </w:rPr>
              <w:t>设备内部清洗用水、产品生产冷却用水</w:t>
            </w:r>
            <w:r>
              <w:rPr>
                <w:rFonts w:hint="default" w:ascii="Times New Roman" w:hAnsi="Times New Roman" w:eastAsia="宋体" w:cs="Times New Roman"/>
                <w:color w:val="auto"/>
                <w:kern w:val="0"/>
                <w:sz w:val="24"/>
                <w:szCs w:val="24"/>
                <w:highlight w:val="none"/>
                <w:lang w:val="en-US" w:eastAsia="zh-CN" w:bidi="ar"/>
              </w:rPr>
              <w:t>。</w:t>
            </w:r>
          </w:p>
          <w:p w14:paraId="07A33D75">
            <w:pPr>
              <w:keepNext w:val="0"/>
              <w:keepLines w:val="0"/>
              <w:pageBreakBefore w:val="0"/>
              <w:widowControl w:val="0"/>
              <w:kinsoku/>
              <w:wordWrap/>
              <w:overflowPunct/>
              <w:topLinePunct w:val="0"/>
              <w:autoSpaceDE/>
              <w:autoSpaceDN/>
              <w:bidi w:val="0"/>
              <w:adjustRightInd/>
              <w:snapToGrid/>
              <w:spacing w:line="440" w:lineRule="exact"/>
              <w:ind w:firstLine="470" w:firstLineChars="196"/>
              <w:textAlignment w:val="auto"/>
              <w:rPr>
                <w:rFonts w:hint="eastAsia"/>
                <w:color w:val="auto"/>
                <w:sz w:val="24"/>
                <w:szCs w:val="21"/>
                <w:highlight w:val="none"/>
              </w:rPr>
            </w:pPr>
            <w:r>
              <w:rPr>
                <w:rFonts w:hint="eastAsia"/>
                <w:color w:val="auto"/>
                <w:sz w:val="24"/>
                <w:szCs w:val="21"/>
                <w:highlight w:val="none"/>
                <w:lang w:val="en-US" w:eastAsia="zh-CN"/>
              </w:rPr>
              <w:t>1）内部清洗</w:t>
            </w:r>
            <w:r>
              <w:rPr>
                <w:rFonts w:hint="eastAsia"/>
                <w:color w:val="auto"/>
                <w:sz w:val="24"/>
                <w:szCs w:val="21"/>
                <w:highlight w:val="none"/>
              </w:rPr>
              <w:t>用水</w:t>
            </w:r>
          </w:p>
          <w:p w14:paraId="344849AA">
            <w:pPr>
              <w:keepNext w:val="0"/>
              <w:keepLines w:val="0"/>
              <w:pageBreakBefore w:val="0"/>
              <w:widowControl w:val="0"/>
              <w:kinsoku/>
              <w:wordWrap/>
              <w:overflowPunct/>
              <w:topLinePunct w:val="0"/>
              <w:autoSpaceDE/>
              <w:autoSpaceDN/>
              <w:bidi w:val="0"/>
              <w:adjustRightInd/>
              <w:snapToGrid/>
              <w:spacing w:line="440" w:lineRule="exact"/>
              <w:ind w:firstLine="470" w:firstLineChars="196"/>
              <w:textAlignment w:val="auto"/>
              <w:rPr>
                <w:rFonts w:hint="eastAsia"/>
                <w:color w:val="auto"/>
                <w:sz w:val="24"/>
                <w:szCs w:val="21"/>
                <w:highlight w:val="none"/>
                <w:lang w:eastAsia="zh-CN"/>
              </w:rPr>
            </w:pPr>
            <w:r>
              <w:rPr>
                <w:rFonts w:hint="eastAsia"/>
                <w:color w:val="auto"/>
                <w:sz w:val="24"/>
                <w:szCs w:val="21"/>
                <w:highlight w:val="none"/>
                <w:lang w:val="en-US" w:eastAsia="zh-CN"/>
              </w:rPr>
              <w:t>参照《内蒙古自治区行业用水定额》（DB15/T 385--2025）中食用植物油加工行业用水定额为2.5m</w:t>
            </w:r>
            <w:r>
              <w:rPr>
                <w:rFonts w:hint="eastAsia"/>
                <w:color w:val="auto"/>
                <w:sz w:val="24"/>
                <w:szCs w:val="21"/>
                <w:highlight w:val="none"/>
                <w:vertAlign w:val="superscript"/>
                <w:lang w:val="en-US" w:eastAsia="zh-CN"/>
              </w:rPr>
              <w:t>3</w:t>
            </w:r>
            <w:r>
              <w:rPr>
                <w:rFonts w:hint="eastAsia"/>
                <w:color w:val="auto"/>
                <w:sz w:val="24"/>
                <w:szCs w:val="21"/>
                <w:highlight w:val="none"/>
                <w:lang w:val="en-US" w:eastAsia="zh-CN"/>
              </w:rPr>
              <w:t>/t，本项目生产线每天生产10t浓香油</w:t>
            </w:r>
            <w:r>
              <w:rPr>
                <w:rFonts w:hint="eastAsia"/>
                <w:color w:val="auto"/>
                <w:sz w:val="24"/>
                <w:szCs w:val="21"/>
                <w:highlight w:val="none"/>
              </w:rPr>
              <w:t>，</w:t>
            </w:r>
            <w:r>
              <w:rPr>
                <w:rFonts w:hint="eastAsia"/>
                <w:color w:val="auto"/>
                <w:sz w:val="24"/>
                <w:szCs w:val="21"/>
                <w:highlight w:val="none"/>
                <w:lang w:val="en-US" w:eastAsia="zh-CN"/>
              </w:rPr>
              <w:t>项目设备内部清洗</w:t>
            </w:r>
            <w:r>
              <w:rPr>
                <w:rFonts w:hint="eastAsia"/>
                <w:color w:val="auto"/>
                <w:sz w:val="24"/>
                <w:szCs w:val="21"/>
                <w:highlight w:val="none"/>
              </w:rPr>
              <w:t>用水量为</w:t>
            </w:r>
            <w:r>
              <w:rPr>
                <w:rFonts w:hint="eastAsia"/>
                <w:color w:val="auto"/>
                <w:sz w:val="24"/>
                <w:szCs w:val="21"/>
                <w:highlight w:val="none"/>
                <w:lang w:val="en-US" w:eastAsia="zh-CN"/>
              </w:rPr>
              <w:t>25</w:t>
            </w:r>
            <w:r>
              <w:rPr>
                <w:rFonts w:hint="eastAsia"/>
                <w:color w:val="auto"/>
                <w:sz w:val="24"/>
                <w:szCs w:val="21"/>
                <w:highlight w:val="none"/>
              </w:rPr>
              <w:t>m</w:t>
            </w:r>
            <w:r>
              <w:rPr>
                <w:rFonts w:hint="eastAsia"/>
                <w:color w:val="auto"/>
                <w:sz w:val="24"/>
                <w:szCs w:val="21"/>
                <w:highlight w:val="none"/>
                <w:vertAlign w:val="superscript"/>
                <w:lang w:val="en-US" w:eastAsia="zh-CN"/>
              </w:rPr>
              <w:t>3</w:t>
            </w:r>
            <w:r>
              <w:rPr>
                <w:rFonts w:hint="eastAsia"/>
                <w:color w:val="auto"/>
                <w:sz w:val="24"/>
                <w:szCs w:val="21"/>
                <w:highlight w:val="none"/>
              </w:rPr>
              <w:t>/</w:t>
            </w:r>
            <w:r>
              <w:rPr>
                <w:rFonts w:hint="eastAsia"/>
                <w:color w:val="auto"/>
                <w:sz w:val="24"/>
                <w:szCs w:val="21"/>
                <w:highlight w:val="none"/>
                <w:lang w:val="en-US" w:eastAsia="zh-CN"/>
              </w:rPr>
              <w:t>次</w:t>
            </w:r>
            <w:r>
              <w:rPr>
                <w:rFonts w:hint="eastAsia"/>
                <w:color w:val="auto"/>
                <w:sz w:val="24"/>
                <w:szCs w:val="21"/>
                <w:highlight w:val="none"/>
                <w:lang w:eastAsia="zh-CN"/>
              </w:rPr>
              <w:t>，</w:t>
            </w:r>
            <w:r>
              <w:rPr>
                <w:rFonts w:hint="eastAsia"/>
                <w:color w:val="auto"/>
                <w:sz w:val="24"/>
                <w:szCs w:val="21"/>
                <w:highlight w:val="none"/>
                <w:lang w:val="en-US" w:eastAsia="zh-CN"/>
              </w:rPr>
              <w:t>设备内部清洗每年一次</w:t>
            </w:r>
            <w:r>
              <w:rPr>
                <w:rFonts w:hint="eastAsia"/>
                <w:color w:val="auto"/>
                <w:sz w:val="24"/>
                <w:szCs w:val="21"/>
                <w:highlight w:val="none"/>
                <w:lang w:eastAsia="zh-CN"/>
              </w:rPr>
              <w:t>。</w:t>
            </w:r>
          </w:p>
          <w:p w14:paraId="54A52EF7">
            <w:pPr>
              <w:keepNext w:val="0"/>
              <w:keepLines w:val="0"/>
              <w:pageBreakBefore w:val="0"/>
              <w:widowControl w:val="0"/>
              <w:kinsoku/>
              <w:wordWrap/>
              <w:overflowPunct/>
              <w:topLinePunct w:val="0"/>
              <w:autoSpaceDE/>
              <w:autoSpaceDN/>
              <w:bidi w:val="0"/>
              <w:adjustRightInd/>
              <w:snapToGrid/>
              <w:spacing w:line="440" w:lineRule="exact"/>
              <w:ind w:firstLine="470" w:firstLineChars="196"/>
              <w:textAlignment w:val="auto"/>
              <w:rPr>
                <w:rFonts w:hint="eastAsia" w:cs="Times New Roman"/>
                <w:color w:val="auto"/>
                <w:kern w:val="0"/>
                <w:sz w:val="24"/>
                <w:szCs w:val="24"/>
                <w:highlight w:val="none"/>
                <w:lang w:val="en-US" w:eastAsia="zh-CN" w:bidi="ar"/>
              </w:rPr>
            </w:pPr>
            <w:r>
              <w:rPr>
                <w:rFonts w:hint="eastAsia"/>
                <w:color w:val="auto"/>
                <w:sz w:val="24"/>
                <w:szCs w:val="21"/>
                <w:highlight w:val="none"/>
                <w:lang w:val="en-US" w:eastAsia="zh-CN"/>
              </w:rPr>
              <w:t>2）</w:t>
            </w:r>
            <w:r>
              <w:rPr>
                <w:rFonts w:hint="eastAsia" w:cs="Times New Roman"/>
                <w:color w:val="auto"/>
                <w:kern w:val="0"/>
                <w:sz w:val="24"/>
                <w:szCs w:val="24"/>
                <w:highlight w:val="none"/>
                <w:lang w:val="en-US" w:eastAsia="zh-CN" w:bidi="ar"/>
              </w:rPr>
              <w:t>产品生产冷却用水</w:t>
            </w:r>
          </w:p>
          <w:p w14:paraId="7BCB1007">
            <w:pPr>
              <w:keepNext w:val="0"/>
              <w:keepLines w:val="0"/>
              <w:pageBreakBefore w:val="0"/>
              <w:widowControl w:val="0"/>
              <w:kinsoku/>
              <w:wordWrap/>
              <w:overflowPunct/>
              <w:topLinePunct w:val="0"/>
              <w:autoSpaceDE/>
              <w:autoSpaceDN/>
              <w:bidi w:val="0"/>
              <w:adjustRightInd/>
              <w:snapToGrid/>
              <w:spacing w:line="440" w:lineRule="exact"/>
              <w:ind w:firstLine="470" w:firstLineChars="196"/>
              <w:textAlignment w:val="auto"/>
              <w:rPr>
                <w:rFonts w:hint="default"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根据建设单位提供资料，项目冷却循环水补水量为4t/a，冷却水循环使用不外排。</w:t>
            </w:r>
          </w:p>
          <w:p w14:paraId="21B6BE04">
            <w:pPr>
              <w:keepNext w:val="0"/>
              <w:keepLines w:val="0"/>
              <w:pageBreakBefore w:val="0"/>
              <w:widowControl w:val="0"/>
              <w:numPr>
                <w:ilvl w:val="0"/>
                <w:numId w:val="1"/>
              </w:numPr>
              <w:tabs>
                <w:tab w:val="left" w:pos="243"/>
              </w:tabs>
              <w:kinsoku/>
              <w:wordWrap/>
              <w:overflowPunct/>
              <w:topLinePunct w:val="0"/>
              <w:autoSpaceDE/>
              <w:autoSpaceDN/>
              <w:bidi w:val="0"/>
              <w:adjustRightInd/>
              <w:snapToGrid/>
              <w:spacing w:line="440" w:lineRule="exact"/>
              <w:ind w:firstLine="482" w:firstLineChars="200"/>
              <w:jc w:val="left"/>
              <w:textAlignment w:val="auto"/>
              <w:rPr>
                <w:rFonts w:hint="default" w:ascii="Times New Roman" w:hAnsi="Times New Roman" w:cs="Times New Roman"/>
                <w:b/>
                <w:bCs/>
                <w:color w:val="auto"/>
                <w:kern w:val="0"/>
                <w:sz w:val="24"/>
                <w:szCs w:val="24"/>
                <w:highlight w:val="none"/>
                <w:lang w:val="en-US" w:eastAsia="zh-CN" w:bidi="ar"/>
              </w:rPr>
            </w:pPr>
            <w:r>
              <w:rPr>
                <w:rFonts w:hint="default" w:ascii="Times New Roman" w:hAnsi="Times New Roman" w:cs="Times New Roman"/>
                <w:b/>
                <w:bCs/>
                <w:color w:val="auto"/>
                <w:kern w:val="0"/>
                <w:sz w:val="24"/>
                <w:szCs w:val="24"/>
                <w:highlight w:val="none"/>
                <w:lang w:val="en-US" w:eastAsia="zh-CN" w:bidi="ar"/>
              </w:rPr>
              <w:t>排水</w:t>
            </w:r>
          </w:p>
          <w:p w14:paraId="6C6687BC">
            <w:pPr>
              <w:keepNext w:val="0"/>
              <w:keepLines w:val="0"/>
              <w:pageBreakBefore w:val="0"/>
              <w:widowControl w:val="0"/>
              <w:kinsoku/>
              <w:wordWrap/>
              <w:overflowPunct/>
              <w:topLinePunct w:val="0"/>
              <w:autoSpaceDE/>
              <w:autoSpaceDN/>
              <w:bidi w:val="0"/>
              <w:adjustRightInd/>
              <w:snapToGrid/>
              <w:spacing w:line="440" w:lineRule="exact"/>
              <w:ind w:firstLine="470" w:firstLineChars="196"/>
              <w:textAlignment w:val="auto"/>
              <w:rPr>
                <w:rFonts w:hint="eastAsia"/>
                <w:color w:val="auto"/>
                <w:sz w:val="24"/>
                <w:szCs w:val="21"/>
                <w:highlight w:val="none"/>
              </w:rPr>
            </w:pPr>
            <w:r>
              <w:rPr>
                <w:rFonts w:hint="eastAsia"/>
                <w:color w:val="auto"/>
                <w:sz w:val="24"/>
                <w:szCs w:val="24"/>
                <w:highlight w:val="none"/>
                <w:lang w:val="en-US" w:eastAsia="zh-CN"/>
              </w:rPr>
              <w:t>1）</w:t>
            </w:r>
            <w:r>
              <w:rPr>
                <w:rFonts w:hint="eastAsia"/>
                <w:color w:val="auto"/>
                <w:sz w:val="24"/>
                <w:szCs w:val="21"/>
                <w:highlight w:val="none"/>
                <w:lang w:val="en-US" w:eastAsia="zh-CN"/>
              </w:rPr>
              <w:t>设备内部清洗</w:t>
            </w:r>
            <w:r>
              <w:rPr>
                <w:rFonts w:hint="eastAsia"/>
                <w:color w:val="auto"/>
                <w:sz w:val="24"/>
                <w:szCs w:val="21"/>
                <w:highlight w:val="none"/>
              </w:rPr>
              <w:t>废水</w:t>
            </w:r>
          </w:p>
          <w:p w14:paraId="2F80E634">
            <w:pPr>
              <w:keepNext w:val="0"/>
              <w:keepLines w:val="0"/>
              <w:pageBreakBefore w:val="0"/>
              <w:widowControl w:val="0"/>
              <w:kinsoku/>
              <w:wordWrap/>
              <w:overflowPunct/>
              <w:topLinePunct w:val="0"/>
              <w:autoSpaceDE/>
              <w:autoSpaceDN/>
              <w:bidi w:val="0"/>
              <w:adjustRightInd/>
              <w:snapToGrid/>
              <w:spacing w:line="440" w:lineRule="exact"/>
              <w:ind w:firstLine="470" w:firstLineChars="196"/>
              <w:textAlignment w:val="auto"/>
              <w:rPr>
                <w:rFonts w:hint="default"/>
                <w:bCs/>
                <w:color w:val="auto"/>
                <w:sz w:val="24"/>
                <w:highlight w:val="none"/>
                <w:lang w:val="en-US"/>
              </w:rPr>
            </w:pPr>
            <w:r>
              <w:rPr>
                <w:rFonts w:hint="eastAsia"/>
                <w:color w:val="auto"/>
                <w:sz w:val="24"/>
                <w:szCs w:val="21"/>
                <w:highlight w:val="none"/>
                <w:lang w:val="en-US" w:eastAsia="zh-CN"/>
              </w:rPr>
              <w:t>根据前文计算，本项目设备内部清洗</w:t>
            </w:r>
            <w:r>
              <w:rPr>
                <w:rFonts w:hint="eastAsia"/>
                <w:color w:val="auto"/>
                <w:sz w:val="24"/>
                <w:szCs w:val="21"/>
                <w:highlight w:val="none"/>
              </w:rPr>
              <w:t>用水量为</w:t>
            </w:r>
            <w:r>
              <w:rPr>
                <w:rFonts w:hint="eastAsia"/>
                <w:color w:val="auto"/>
                <w:sz w:val="24"/>
                <w:szCs w:val="21"/>
                <w:highlight w:val="none"/>
                <w:lang w:val="en-US" w:eastAsia="zh-CN"/>
              </w:rPr>
              <w:t>25</w:t>
            </w:r>
            <w:r>
              <w:rPr>
                <w:rFonts w:hint="eastAsia"/>
                <w:color w:val="auto"/>
                <w:sz w:val="24"/>
                <w:szCs w:val="21"/>
                <w:highlight w:val="none"/>
              </w:rPr>
              <w:t>m</w:t>
            </w:r>
            <w:r>
              <w:rPr>
                <w:rFonts w:hint="eastAsia"/>
                <w:color w:val="auto"/>
                <w:sz w:val="24"/>
                <w:szCs w:val="21"/>
                <w:highlight w:val="none"/>
                <w:vertAlign w:val="superscript"/>
                <w:lang w:val="en-US" w:eastAsia="zh-CN"/>
              </w:rPr>
              <w:t>3</w:t>
            </w:r>
            <w:r>
              <w:rPr>
                <w:rFonts w:hint="eastAsia"/>
                <w:color w:val="auto"/>
                <w:sz w:val="24"/>
                <w:szCs w:val="21"/>
                <w:highlight w:val="none"/>
              </w:rPr>
              <w:t>/</w:t>
            </w:r>
            <w:r>
              <w:rPr>
                <w:rFonts w:hint="eastAsia"/>
                <w:color w:val="auto"/>
                <w:sz w:val="24"/>
                <w:szCs w:val="21"/>
                <w:highlight w:val="none"/>
                <w:lang w:val="en-US" w:eastAsia="zh-CN"/>
              </w:rPr>
              <w:t>次</w:t>
            </w:r>
            <w:r>
              <w:rPr>
                <w:rFonts w:hint="eastAsia"/>
                <w:color w:val="auto"/>
                <w:sz w:val="24"/>
                <w:szCs w:val="21"/>
                <w:highlight w:val="none"/>
                <w:lang w:eastAsia="zh-CN"/>
              </w:rPr>
              <w:t>，</w:t>
            </w:r>
            <w:r>
              <w:rPr>
                <w:rFonts w:hint="eastAsia"/>
                <w:color w:val="auto"/>
                <w:sz w:val="24"/>
                <w:szCs w:val="21"/>
                <w:highlight w:val="none"/>
                <w:lang w:val="en-US" w:eastAsia="zh-CN"/>
              </w:rPr>
              <w:t>设备内部清洗每年一次</w:t>
            </w:r>
            <w:r>
              <w:rPr>
                <w:rFonts w:hint="eastAsia"/>
                <w:bCs/>
                <w:color w:val="auto"/>
                <w:sz w:val="24"/>
                <w:highlight w:val="none"/>
                <w:lang w:eastAsia="zh-CN"/>
              </w:rPr>
              <w:t>，</w:t>
            </w:r>
            <w:r>
              <w:rPr>
                <w:rFonts w:hint="eastAsia"/>
                <w:bCs/>
                <w:color w:val="auto"/>
                <w:sz w:val="24"/>
                <w:highlight w:val="none"/>
                <w:lang w:val="en-US" w:eastAsia="zh-CN"/>
              </w:rPr>
              <w:t>则本项目生产废水排入厂区现有污水处理站（采用油水分离池+SBR处理工艺，处理规模为120m</w:t>
            </w:r>
            <w:r>
              <w:rPr>
                <w:rFonts w:hint="eastAsia"/>
                <w:bCs/>
                <w:color w:val="auto"/>
                <w:sz w:val="24"/>
                <w:highlight w:val="none"/>
                <w:vertAlign w:val="superscript"/>
                <w:lang w:val="en-US" w:eastAsia="zh-CN"/>
              </w:rPr>
              <w:t>3</w:t>
            </w:r>
            <w:r>
              <w:rPr>
                <w:rFonts w:hint="eastAsia"/>
                <w:bCs/>
                <w:color w:val="auto"/>
                <w:sz w:val="24"/>
                <w:highlight w:val="none"/>
                <w:lang w:val="en-US" w:eastAsia="zh-CN"/>
              </w:rPr>
              <w:t>/d；根据建设单位提供的数据，全厂污水处理量为90t/d，</w:t>
            </w:r>
            <w:r>
              <w:rPr>
                <w:rFonts w:hint="eastAsia" w:cs="Times New Roman"/>
                <w:b w:val="0"/>
                <w:bCs w:val="0"/>
                <w:color w:val="auto"/>
                <w:sz w:val="24"/>
                <w:szCs w:val="24"/>
                <w:highlight w:val="none"/>
                <w:vertAlign w:val="baseline"/>
                <w:lang w:val="en-US" w:eastAsia="zh-CN"/>
              </w:rPr>
              <w:t>25+90t/d＜120</w:t>
            </w:r>
            <w:r>
              <w:rPr>
                <w:rFonts w:hint="eastAsia" w:ascii="Times New Roman" w:hAnsi="Times New Roman" w:eastAsia="宋体" w:cs="Times New Roman"/>
                <w:b w:val="0"/>
                <w:bCs w:val="0"/>
                <w:color w:val="auto"/>
                <w:sz w:val="24"/>
                <w:szCs w:val="24"/>
                <w:highlight w:val="none"/>
                <w:vertAlign w:val="baseline"/>
                <w:lang w:val="en-US" w:eastAsia="zh-CN"/>
              </w:rPr>
              <w:t>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vertAlign w:val="baseline"/>
                <w:lang w:val="en-US" w:eastAsia="zh-CN"/>
              </w:rPr>
              <w:t>/d，故厂区污水处理站余量能够满足项目需求</w:t>
            </w:r>
            <w:r>
              <w:rPr>
                <w:rFonts w:hint="eastAsia"/>
                <w:bCs/>
                <w:color w:val="auto"/>
                <w:sz w:val="24"/>
                <w:highlight w:val="none"/>
                <w:lang w:val="en-US" w:eastAsia="zh-CN"/>
              </w:rPr>
              <w:t>）。</w:t>
            </w:r>
          </w:p>
          <w:p w14:paraId="1D2C3503">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2）全厂废水排放情况</w:t>
            </w:r>
          </w:p>
          <w:p w14:paraId="48FFC10F">
            <w:pPr>
              <w:pStyle w:val="11"/>
              <w:keepNext w:val="0"/>
              <w:keepLines w:val="0"/>
              <w:pageBreakBefore w:val="0"/>
              <w:kinsoku/>
              <w:wordWrap/>
              <w:overflowPunct/>
              <w:topLinePunct w:val="0"/>
              <w:autoSpaceDE/>
              <w:autoSpaceDN/>
              <w:bidi w:val="0"/>
              <w:adjustRightInd/>
              <w:snapToGrid/>
              <w:spacing w:line="440" w:lineRule="exact"/>
              <w:textAlignment w:val="auto"/>
              <w:rPr>
                <w:rFonts w:hint="eastAsia"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本项目</w:t>
            </w:r>
            <w:r>
              <w:rPr>
                <w:rFonts w:hint="eastAsia"/>
                <w:color w:val="auto"/>
                <w:sz w:val="24"/>
                <w:szCs w:val="21"/>
                <w:highlight w:val="none"/>
                <w:lang w:val="en-US" w:eastAsia="zh-CN"/>
              </w:rPr>
              <w:t>总的废水产生量为25t/a，生产废水</w:t>
            </w:r>
            <w:r>
              <w:rPr>
                <w:rFonts w:hint="eastAsia" w:cs="Times New Roman"/>
                <w:color w:val="auto"/>
                <w:kern w:val="0"/>
                <w:sz w:val="24"/>
                <w:szCs w:val="24"/>
                <w:highlight w:val="none"/>
                <w:lang w:val="en-US" w:eastAsia="zh-CN" w:bidi="ar"/>
              </w:rPr>
              <w:t>经厂区现有的处理能力为120m</w:t>
            </w:r>
            <w:r>
              <w:rPr>
                <w:rFonts w:hint="eastAsia" w:cs="Times New Roman"/>
                <w:color w:val="auto"/>
                <w:kern w:val="0"/>
                <w:sz w:val="24"/>
                <w:szCs w:val="24"/>
                <w:highlight w:val="none"/>
                <w:vertAlign w:val="superscript"/>
                <w:lang w:val="en-US" w:eastAsia="zh-CN" w:bidi="ar"/>
              </w:rPr>
              <w:t>3</w:t>
            </w:r>
            <w:r>
              <w:rPr>
                <w:rFonts w:hint="eastAsia" w:cs="Times New Roman"/>
                <w:color w:val="auto"/>
                <w:kern w:val="0"/>
                <w:sz w:val="24"/>
                <w:szCs w:val="24"/>
                <w:highlight w:val="none"/>
                <w:lang w:val="en-US" w:eastAsia="zh-CN" w:bidi="ar"/>
              </w:rPr>
              <w:t>/d、处理工艺为</w:t>
            </w:r>
            <w:r>
              <w:rPr>
                <w:rFonts w:hint="eastAsia"/>
                <w:bCs/>
                <w:color w:val="auto"/>
                <w:sz w:val="24"/>
                <w:highlight w:val="none"/>
                <w:lang w:val="en-US" w:eastAsia="zh-CN"/>
              </w:rPr>
              <w:t>油水分离池+</w:t>
            </w:r>
            <w:r>
              <w:rPr>
                <w:rFonts w:hint="eastAsia" w:cs="Times New Roman"/>
                <w:color w:val="auto"/>
                <w:kern w:val="0"/>
                <w:sz w:val="24"/>
                <w:szCs w:val="24"/>
                <w:highlight w:val="none"/>
                <w:lang w:val="en-US" w:eastAsia="zh-CN" w:bidi="ar"/>
              </w:rPr>
              <w:t>SBR污水处理站处理后排入市政污水管网最终由磴口县中涵水务有限公司处理。</w:t>
            </w:r>
          </w:p>
          <w:p w14:paraId="29D4FF86">
            <w:pPr>
              <w:keepNext w:val="0"/>
              <w:keepLines w:val="0"/>
              <w:pageBreakBefore w:val="0"/>
              <w:kinsoku/>
              <w:wordWrap/>
              <w:overflowPunct/>
              <w:topLinePunct w:val="0"/>
              <w:autoSpaceDE/>
              <w:autoSpaceDN/>
              <w:bidi w:val="0"/>
              <w:snapToGrid/>
              <w:spacing w:line="360" w:lineRule="auto"/>
              <w:jc w:val="center"/>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drawing>
                <wp:inline distT="0" distB="0" distL="114300" distR="114300">
                  <wp:extent cx="4769485" cy="2653665"/>
                  <wp:effectExtent l="0" t="0" r="0" b="0"/>
                  <wp:docPr id="3" name="ECB019B1-382A-4266-B25C-5B523AA43C14-2" descr="C:/Users/Administrator/AppData/Local/Temp/wps.rJQFzV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CB019B1-382A-4266-B25C-5B523AA43C14-2" descr="C:/Users/Administrator/AppData/Local/Temp/wps.rJQFzVwps"/>
                          <pic:cNvPicPr>
                            <a:picLocks noChangeAspect="1"/>
                          </pic:cNvPicPr>
                        </pic:nvPicPr>
                        <pic:blipFill>
                          <a:blip r:embed="rId10"/>
                          <a:stretch>
                            <a:fillRect/>
                          </a:stretch>
                        </pic:blipFill>
                        <pic:spPr>
                          <a:xfrm>
                            <a:off x="0" y="0"/>
                            <a:ext cx="4769485" cy="2653665"/>
                          </a:xfrm>
                          <a:prstGeom prst="rect">
                            <a:avLst/>
                          </a:prstGeom>
                        </pic:spPr>
                      </pic:pic>
                    </a:graphicData>
                  </a:graphic>
                </wp:inline>
              </w:drawing>
            </w:r>
          </w:p>
          <w:p w14:paraId="37CC31C7">
            <w:pPr>
              <w:pStyle w:val="11"/>
              <w:keepNext w:val="0"/>
              <w:keepLines w:val="0"/>
              <w:pageBreakBefore w:val="0"/>
              <w:kinsoku/>
              <w:wordWrap/>
              <w:overflowPunct/>
              <w:topLinePunct w:val="0"/>
              <w:autoSpaceDE/>
              <w:autoSpaceDN/>
              <w:bidi w:val="0"/>
              <w:adjustRightInd/>
              <w:snapToGrid/>
              <w:spacing w:line="440" w:lineRule="exact"/>
              <w:ind w:left="0" w:leftChars="0" w:firstLine="0" w:firstLineChars="0"/>
              <w:jc w:val="center"/>
              <w:textAlignment w:val="auto"/>
              <w:rPr>
                <w:rFonts w:hint="default" w:cs="Times New Roman"/>
                <w:color w:val="auto"/>
                <w:kern w:val="0"/>
                <w:sz w:val="24"/>
                <w:szCs w:val="24"/>
                <w:highlight w:val="none"/>
                <w:lang w:val="en-US" w:eastAsia="zh-CN" w:bidi="ar"/>
              </w:rPr>
            </w:pPr>
            <w:r>
              <w:rPr>
                <w:rFonts w:hint="default" w:ascii="Times New Roman" w:hAnsi="Times New Roman" w:eastAsia="宋体" w:cs="Times New Roman"/>
                <w:b/>
                <w:bCs/>
                <w:color w:val="auto"/>
                <w:sz w:val="24"/>
                <w:highlight w:val="none"/>
              </w:rPr>
              <w:t>图2-</w:t>
            </w:r>
            <w:r>
              <w:rPr>
                <w:rFonts w:hint="default"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val="en-US" w:eastAsia="zh-CN"/>
              </w:rPr>
              <w:t>项目</w:t>
            </w:r>
            <w:r>
              <w:rPr>
                <w:rFonts w:hint="eastAsia" w:cs="Times New Roman"/>
                <w:b/>
                <w:bCs/>
                <w:color w:val="auto"/>
                <w:sz w:val="24"/>
                <w:highlight w:val="none"/>
                <w:lang w:val="en-US" w:eastAsia="zh-CN"/>
              </w:rPr>
              <w:t>水平衡图（单位t/a）</w:t>
            </w:r>
          </w:p>
          <w:p w14:paraId="06877325">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（2）供暖</w:t>
            </w:r>
          </w:p>
          <w:p w14:paraId="155902A0">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本项目</w:t>
            </w:r>
            <w:r>
              <w:rPr>
                <w:rFonts w:hint="eastAsia" w:cs="Times New Roman"/>
                <w:bCs/>
                <w:color w:val="auto"/>
                <w:sz w:val="24"/>
                <w:szCs w:val="24"/>
                <w:highlight w:val="none"/>
                <w:lang w:val="en-US" w:eastAsia="zh-CN"/>
              </w:rPr>
              <w:t>依托现有</w:t>
            </w:r>
            <w:r>
              <w:rPr>
                <w:rFonts w:hint="default" w:ascii="Times New Roman" w:hAnsi="Times New Roman" w:eastAsia="宋体" w:cs="Times New Roman"/>
                <w:color w:val="auto"/>
                <w:sz w:val="24"/>
                <w:szCs w:val="24"/>
                <w:highlight w:val="none"/>
                <w:lang w:val="en-US" w:eastAsia="zh-CN"/>
              </w:rPr>
              <w:t>。</w:t>
            </w:r>
          </w:p>
          <w:p w14:paraId="5F537E3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（3）供电</w:t>
            </w:r>
          </w:p>
          <w:p w14:paraId="5343F0C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cs="Times New Roman"/>
                <w:b w:val="0"/>
                <w:bCs w:val="0"/>
                <w:color w:val="auto"/>
                <w:sz w:val="24"/>
                <w:highlight w:val="none"/>
                <w:lang w:val="en-US" w:eastAsia="zh-CN"/>
              </w:rPr>
            </w:pPr>
            <w:r>
              <w:rPr>
                <w:rFonts w:hint="default" w:ascii="Times New Roman" w:hAnsi="Times New Roman" w:eastAsia="宋体" w:cs="Times New Roman"/>
                <w:bCs/>
                <w:color w:val="auto"/>
                <w:sz w:val="24"/>
                <w:szCs w:val="24"/>
                <w:highlight w:val="none"/>
              </w:rPr>
              <w:t>本项目</w:t>
            </w:r>
            <w:r>
              <w:rPr>
                <w:rFonts w:hint="eastAsia" w:cs="Times New Roman"/>
                <w:bCs/>
                <w:color w:val="auto"/>
                <w:sz w:val="24"/>
                <w:szCs w:val="24"/>
                <w:highlight w:val="none"/>
                <w:lang w:val="en-US" w:eastAsia="zh-CN"/>
              </w:rPr>
              <w:t>用电依托厂区现有变电室提供</w:t>
            </w:r>
            <w:r>
              <w:rPr>
                <w:rFonts w:hint="default" w:ascii="Times New Roman" w:hAnsi="Times New Roman" w:eastAsia="宋体" w:cs="Times New Roman"/>
                <w:bCs/>
                <w:color w:val="auto"/>
                <w:sz w:val="24"/>
                <w:szCs w:val="24"/>
                <w:highlight w:val="none"/>
              </w:rPr>
              <w:t>。</w:t>
            </w:r>
          </w:p>
        </w:tc>
      </w:tr>
      <w:tr w14:paraId="091C98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40" w:hRule="atLeast"/>
          <w:jc w:val="center"/>
        </w:trPr>
        <w:tc>
          <w:tcPr>
            <w:tcW w:w="760" w:type="dxa"/>
            <w:vAlign w:val="center"/>
          </w:tcPr>
          <w:p w14:paraId="404583AE">
            <w:pPr>
              <w:pStyle w:val="20"/>
              <w:keepNext w:val="0"/>
              <w:keepLines w:val="0"/>
              <w:pageBreakBefore w:val="0"/>
              <w:kinsoku/>
              <w:wordWrap/>
              <w:overflowPunct/>
              <w:topLinePunct w:val="0"/>
              <w:autoSpaceDE/>
              <w:autoSpaceDN/>
              <w:bidi w:val="0"/>
              <w:adjustRightInd w:val="0"/>
              <w:snapToGrid w:val="0"/>
              <w:spacing w:before="0" w:beforeAutospacing="0" w:after="0" w:afterAutospacing="0" w:line="360" w:lineRule="auto"/>
              <w:jc w:val="both"/>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b/>
                <w:bCs/>
                <w:color w:val="auto"/>
                <w:kern w:val="2"/>
                <w:szCs w:val="24"/>
                <w:highlight w:val="none"/>
              </w:rPr>
              <w:t>工艺流程和产排污环节</w:t>
            </w:r>
          </w:p>
        </w:tc>
        <w:tc>
          <w:tcPr>
            <w:tcW w:w="8064" w:type="dxa"/>
          </w:tcPr>
          <w:p w14:paraId="45D9858C">
            <w:pPr>
              <w:keepNext w:val="0"/>
              <w:keepLines w:val="0"/>
              <w:pageBreakBefore w:val="0"/>
              <w:widowControl w:val="0"/>
              <w:tabs>
                <w:tab w:val="left" w:pos="5572"/>
              </w:tabs>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auto"/>
                <w:sz w:val="24"/>
                <w:szCs w:val="28"/>
                <w:highlight w:val="none"/>
              </w:rPr>
            </w:pPr>
            <w:r>
              <w:rPr>
                <w:rFonts w:hint="default" w:ascii="Times New Roman" w:hAnsi="Times New Roman" w:eastAsia="宋体" w:cs="Times New Roman"/>
                <w:b/>
                <w:color w:val="auto"/>
                <w:sz w:val="24"/>
                <w:szCs w:val="28"/>
                <w:highlight w:val="none"/>
              </w:rPr>
              <w:t>施工期工艺流程及产污节点</w:t>
            </w:r>
          </w:p>
          <w:p w14:paraId="67949CA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由于本项目生产车间为厂区原有农业部库房改造，故本项目建设期内容主要为生产车间内的装修和设备安装调试</w:t>
            </w:r>
            <w:r>
              <w:rPr>
                <w:rFonts w:hint="default"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施工期主要产生机械噪声、装修废气、废弃设备包装物等，</w:t>
            </w:r>
            <w:r>
              <w:rPr>
                <w:rFonts w:hint="eastAsia" w:cs="Times New Roman"/>
                <w:b w:val="0"/>
                <w:bCs w:val="0"/>
                <w:color w:val="auto"/>
                <w:sz w:val="24"/>
                <w:szCs w:val="24"/>
                <w:highlight w:val="none"/>
                <w:lang w:val="en-US" w:eastAsia="zh-CN"/>
              </w:rPr>
              <w:t>本项目的设备安装与装修等工作均在厂房内部开展，总体工程量相对较少。</w:t>
            </w:r>
          </w:p>
          <w:p w14:paraId="72788E53">
            <w:pPr>
              <w:keepNext w:val="0"/>
              <w:keepLines w:val="0"/>
              <w:pageBreakBefore w:val="0"/>
              <w:tabs>
                <w:tab w:val="left" w:pos="0"/>
              </w:tabs>
              <w:kinsoku/>
              <w:wordWrap/>
              <w:overflowPunct/>
              <w:topLinePunct w:val="0"/>
              <w:autoSpaceDE/>
              <w:autoSpaceDN/>
              <w:bidi w:val="0"/>
              <w:spacing w:line="360" w:lineRule="auto"/>
              <w:ind w:firstLine="482" w:firstLineChars="200"/>
              <w:rPr>
                <w:rFonts w:hint="default" w:ascii="Times New Roman" w:hAnsi="Times New Roman" w:eastAsia="宋体" w:cs="Times New Roman"/>
                <w:b/>
                <w:color w:val="auto"/>
                <w:sz w:val="24"/>
                <w:szCs w:val="21"/>
                <w:highlight w:val="none"/>
              </w:rPr>
            </w:pPr>
            <w:r>
              <w:rPr>
                <w:rFonts w:hint="default" w:ascii="Times New Roman" w:hAnsi="Times New Roman" w:eastAsia="宋体" w:cs="Times New Roman"/>
                <w:b/>
                <w:color w:val="auto"/>
                <w:sz w:val="24"/>
                <w:szCs w:val="21"/>
                <w:highlight w:val="none"/>
              </w:rPr>
              <w:t>运营期工艺流程</w:t>
            </w:r>
            <w:r>
              <w:rPr>
                <w:rFonts w:hint="default" w:ascii="Times New Roman" w:hAnsi="Times New Roman" w:eastAsia="宋体" w:cs="Times New Roman"/>
                <w:b/>
                <w:color w:val="auto"/>
                <w:sz w:val="24"/>
                <w:szCs w:val="21"/>
                <w:highlight w:val="none"/>
                <w:lang w:val="en-US" w:eastAsia="zh-CN"/>
              </w:rPr>
              <w:t>及产污节点</w:t>
            </w:r>
            <w:r>
              <w:rPr>
                <w:rFonts w:hint="default" w:ascii="Times New Roman" w:hAnsi="Times New Roman" w:eastAsia="宋体" w:cs="Times New Roman"/>
                <w:b/>
                <w:color w:val="auto"/>
                <w:sz w:val="24"/>
                <w:szCs w:val="21"/>
                <w:highlight w:val="none"/>
              </w:rPr>
              <w:t>：</w:t>
            </w:r>
          </w:p>
          <w:p w14:paraId="3175F678">
            <w:pPr>
              <w:keepNext w:val="0"/>
              <w:keepLines w:val="0"/>
              <w:pageBreakBefore w:val="0"/>
              <w:tabs>
                <w:tab w:val="left" w:pos="0"/>
              </w:tabs>
              <w:kinsoku/>
              <w:wordWrap/>
              <w:overflowPunct/>
              <w:topLinePunct w:val="0"/>
              <w:autoSpaceDE/>
              <w:autoSpaceDN/>
              <w:bidi w:val="0"/>
              <w:spacing w:line="360" w:lineRule="auto"/>
              <w:jc w:val="center"/>
              <w:rPr>
                <w:rFonts w:hint="default" w:ascii="Times New Roman" w:hAnsi="Times New Roman" w:eastAsia="宋体" w:cs="Times New Roman"/>
                <w:bCs/>
                <w:color w:val="auto"/>
                <w:sz w:val="24"/>
                <w:szCs w:val="21"/>
                <w:highlight w:val="none"/>
                <w:lang w:eastAsia="zh-CN"/>
              </w:rPr>
            </w:pPr>
            <w:r>
              <w:rPr>
                <w:rFonts w:hint="default" w:ascii="Times New Roman" w:hAnsi="Times New Roman" w:eastAsia="宋体" w:cs="Times New Roman"/>
                <w:bCs/>
                <w:color w:val="auto"/>
                <w:sz w:val="24"/>
                <w:szCs w:val="21"/>
                <w:highlight w:val="none"/>
                <w:lang w:eastAsia="zh-CN"/>
              </w:rPr>
              <w:drawing>
                <wp:inline distT="0" distB="0" distL="114300" distR="114300">
                  <wp:extent cx="5013325" cy="4076065"/>
                  <wp:effectExtent l="0" t="0" r="0" b="0"/>
                  <wp:docPr id="5" name="ECB019B1-382A-4266-B25C-5B523AA43C14-3" descr="C:/Users/Administrator/AppData/Local/Temp/wps.BXRKj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B019B1-382A-4266-B25C-5B523AA43C14-3" descr="C:/Users/Administrator/AppData/Local/Temp/wps.BXRKjpwps"/>
                          <pic:cNvPicPr>
                            <a:picLocks noChangeAspect="1"/>
                          </pic:cNvPicPr>
                        </pic:nvPicPr>
                        <pic:blipFill>
                          <a:blip r:embed="rId11"/>
                          <a:srcRect l="1437" t="460" r="1373" b="1123"/>
                          <a:stretch>
                            <a:fillRect/>
                          </a:stretch>
                        </pic:blipFill>
                        <pic:spPr>
                          <a:xfrm>
                            <a:off x="0" y="0"/>
                            <a:ext cx="5013325" cy="4076065"/>
                          </a:xfrm>
                          <a:prstGeom prst="rect">
                            <a:avLst/>
                          </a:prstGeom>
                        </pic:spPr>
                      </pic:pic>
                    </a:graphicData>
                  </a:graphic>
                </wp:inline>
              </w:drawing>
            </w:r>
          </w:p>
          <w:p w14:paraId="58D6BB7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图2-</w:t>
            </w:r>
            <w:r>
              <w:rPr>
                <w:rFonts w:hint="eastAsia"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 xml:space="preserve">  </w:t>
            </w:r>
            <w:r>
              <w:rPr>
                <w:rFonts w:hint="eastAsia" w:cs="Times New Roman"/>
                <w:b/>
                <w:bCs/>
                <w:color w:val="auto"/>
                <w:sz w:val="24"/>
                <w:highlight w:val="none"/>
                <w:lang w:val="en-US" w:eastAsia="zh-CN"/>
              </w:rPr>
              <w:t>浓香油生产</w:t>
            </w:r>
            <w:r>
              <w:rPr>
                <w:rFonts w:hint="default" w:ascii="Times New Roman" w:hAnsi="Times New Roman" w:eastAsia="宋体" w:cs="Times New Roman"/>
                <w:b/>
                <w:bCs/>
                <w:color w:val="auto"/>
                <w:sz w:val="24"/>
                <w:highlight w:val="none"/>
              </w:rPr>
              <w:t>工艺流程及产污节点图</w:t>
            </w:r>
          </w:p>
          <w:p w14:paraId="7A50C634">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ascii="Times New Roman" w:hAnsi="Times New Roman" w:eastAsia="宋体" w:cs="Times New Roman"/>
                <w:color w:val="auto"/>
                <w:highlight w:val="none"/>
                <w:lang w:val="en-US"/>
              </w:rPr>
            </w:pPr>
            <w:bookmarkStart w:id="7" w:name="_Hlk172123888"/>
            <w:r>
              <w:rPr>
                <w:rFonts w:hint="default" w:ascii="Times New Roman" w:hAnsi="Times New Roman" w:eastAsia="宋体" w:cs="Times New Roman"/>
                <w:b/>
                <w:bCs w:val="0"/>
                <w:color w:val="auto"/>
                <w:sz w:val="24"/>
                <w:szCs w:val="21"/>
                <w:highlight w:val="none"/>
              </w:rPr>
              <w:t>项目</w:t>
            </w:r>
            <w:r>
              <w:rPr>
                <w:rFonts w:hint="eastAsia" w:cs="Times New Roman"/>
                <w:b/>
                <w:bCs w:val="0"/>
                <w:color w:val="auto"/>
                <w:sz w:val="24"/>
                <w:szCs w:val="21"/>
                <w:highlight w:val="none"/>
                <w:lang w:val="en-US" w:eastAsia="zh-CN"/>
              </w:rPr>
              <w:t>浓香油生产</w:t>
            </w:r>
            <w:r>
              <w:rPr>
                <w:rFonts w:hint="default" w:ascii="Times New Roman" w:hAnsi="Times New Roman" w:eastAsia="宋体" w:cs="Times New Roman"/>
                <w:b/>
                <w:bCs w:val="0"/>
                <w:color w:val="auto"/>
                <w:sz w:val="24"/>
                <w:szCs w:val="21"/>
                <w:highlight w:val="none"/>
              </w:rPr>
              <w:t>工艺流程简述：</w:t>
            </w:r>
          </w:p>
          <w:bookmarkEnd w:id="7"/>
          <w:p w14:paraId="4BC12A1A">
            <w:pPr>
              <w:pStyle w:val="9"/>
              <w:keepNext w:val="0"/>
              <w:keepLines w:val="0"/>
              <w:pageBreakBefore w:val="0"/>
              <w:widowControl/>
              <w:kinsoku/>
              <w:wordWrap/>
              <w:overflowPunct/>
              <w:topLinePunct w:val="0"/>
              <w:autoSpaceDE/>
              <w:autoSpaceDN/>
              <w:bidi w:val="0"/>
              <w:adjustRightInd/>
              <w:snapToGrid/>
              <w:spacing w:before="0" w:after="0" w:line="400" w:lineRule="exact"/>
              <w:ind w:firstLine="482"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一</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进料</w:t>
            </w:r>
          </w:p>
          <w:p w14:paraId="4D24C108">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color w:val="auto"/>
                <w:sz w:val="24"/>
                <w:szCs w:val="24"/>
                <w:highlight w:val="none"/>
                <w:lang w:val="en-US" w:eastAsia="zh-CN"/>
              </w:rPr>
            </w:pPr>
            <w:r>
              <w:rPr>
                <w:rFonts w:hint="eastAsia"/>
                <w:color w:val="auto"/>
                <w:sz w:val="24"/>
                <w:szCs w:val="24"/>
                <w:highlight w:val="none"/>
                <w:lang w:val="en-US" w:eastAsia="zh-CN"/>
              </w:rPr>
              <w:t>原料玉米胚芽、葵花籽经社会车辆运输至厂房外、料胚储存筒仓下方的料斗进料（料斗上方设置集气罩对进料粉尘进行收集），再通过封闭的提升机输送至</w:t>
            </w:r>
            <w:r>
              <w:rPr>
                <w:rFonts w:hint="eastAsia" w:ascii="Times New Roman" w:hAnsi="Times New Roman" w:eastAsia="宋体" w:cs="Times New Roman"/>
                <w:color w:val="auto"/>
                <w:sz w:val="24"/>
                <w:szCs w:val="24"/>
                <w:highlight w:val="none"/>
                <w:lang w:val="en-US" w:eastAsia="zh-CN"/>
              </w:rPr>
              <w:t>料胚储存筒仓</w:t>
            </w:r>
            <w:r>
              <w:rPr>
                <w:rFonts w:hint="eastAsia"/>
                <w:color w:val="auto"/>
                <w:sz w:val="24"/>
                <w:szCs w:val="24"/>
                <w:highlight w:val="none"/>
                <w:lang w:val="en-US" w:eastAsia="zh-CN"/>
              </w:rPr>
              <w:t>内（在料胚储存筒仓口附近设置了1套旋风除尘器与布袋除尘器组合的除尘设备，用于收集处理进料过程中产生的粉尘，处理后的气体通过1根15米高的排气筒排放）；进入料胚筒仓后的原料通过刮板提升机送料到车间，进行清理。</w:t>
            </w:r>
          </w:p>
          <w:p w14:paraId="6BCEEA1F">
            <w:pPr>
              <w:pStyle w:val="9"/>
              <w:keepNext w:val="0"/>
              <w:keepLines w:val="0"/>
              <w:pageBreakBefore w:val="0"/>
              <w:widowControl/>
              <w:kinsoku/>
              <w:wordWrap/>
              <w:overflowPunct/>
              <w:topLinePunct w:val="0"/>
              <w:autoSpaceDE/>
              <w:autoSpaceDN/>
              <w:bidi w:val="0"/>
              <w:adjustRightInd/>
              <w:snapToGrid/>
              <w:spacing w:before="0" w:after="0" w:line="400" w:lineRule="exact"/>
              <w:ind w:firstLine="482"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二</w:t>
            </w:r>
            <w:r>
              <w:rPr>
                <w:rFonts w:hint="default" w:ascii="Times New Roman" w:hAnsi="Times New Roman" w:eastAsia="宋体" w:cs="Times New Roman"/>
                <w:color w:val="auto"/>
                <w:sz w:val="24"/>
                <w:szCs w:val="24"/>
                <w:highlight w:val="none"/>
              </w:rPr>
              <w:t>）原料预处理</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 xml:space="preserve">清理、剥壳、粉碎、在线筒仓 </w:t>
            </w:r>
            <w:r>
              <w:rPr>
                <w:rFonts w:hint="default" w:ascii="Times New Roman" w:hAnsi="Times New Roman" w:eastAsia="宋体" w:cs="Times New Roman"/>
                <w:color w:val="auto"/>
                <w:sz w:val="24"/>
                <w:szCs w:val="24"/>
                <w:highlight w:val="none"/>
                <w:lang w:eastAsia="zh-CN"/>
              </w:rPr>
              <w:t>）</w:t>
            </w:r>
          </w:p>
          <w:p w14:paraId="1BBFFD37">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（1）清理</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利用除杂去石组合机将料胚储存筒仓内的葵花籽、玉米胚芽原料中可能出现的杂质进行清除</w:t>
            </w:r>
            <w:r>
              <w:rPr>
                <w:rFonts w:hint="default" w:ascii="Times New Roman" w:hAnsi="Times New Roman" w:eastAsia="宋体" w:cs="Times New Roman"/>
                <w:color w:val="auto"/>
                <w:sz w:val="24"/>
                <w:szCs w:val="24"/>
                <w:highlight w:val="none"/>
                <w:lang w:val="en-US" w:eastAsia="zh-CN"/>
              </w:rPr>
              <w:t>（此过程产生的</w:t>
            </w:r>
            <w:r>
              <w:rPr>
                <w:rFonts w:hint="eastAsia" w:ascii="Times New Roman" w:hAnsi="Times New Roman" w:eastAsia="宋体" w:cs="Times New Roman"/>
                <w:color w:val="auto"/>
                <w:sz w:val="24"/>
                <w:szCs w:val="24"/>
                <w:highlight w:val="none"/>
                <w:lang w:val="en-US" w:eastAsia="zh-CN"/>
              </w:rPr>
              <w:t>杂质均袋装送往饲料加工厂商作为饲料制造原料</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w:t>
            </w:r>
          </w:p>
          <w:p w14:paraId="3F49765C">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（2）剥壳</w:t>
            </w:r>
            <w:r>
              <w:rPr>
                <w:rFonts w:hint="default" w:ascii="Times New Roman" w:hAnsi="Times New Roman" w:eastAsia="宋体" w:cs="Times New Roman"/>
                <w:color w:val="auto"/>
                <w:sz w:val="24"/>
                <w:szCs w:val="24"/>
                <w:highlight w:val="none"/>
                <w:lang w:val="en-US" w:eastAsia="zh-CN"/>
              </w:rPr>
              <w:t>：将</w:t>
            </w:r>
            <w:r>
              <w:rPr>
                <w:rFonts w:hint="eastAsia" w:ascii="Times New Roman" w:hAnsi="Times New Roman" w:eastAsia="宋体" w:cs="Times New Roman"/>
                <w:color w:val="auto"/>
                <w:sz w:val="24"/>
                <w:szCs w:val="24"/>
                <w:highlight w:val="none"/>
                <w:lang w:val="en-US" w:eastAsia="zh-CN"/>
              </w:rPr>
              <w:t>清理过后的葵花籽原料通过提升机输送至葵花籽剥壳机（</w:t>
            </w:r>
            <w:r>
              <w:rPr>
                <w:rFonts w:ascii="Arial" w:hAnsi="Arial" w:eastAsia="宋体" w:cs="Arial"/>
                <w:i w:val="0"/>
                <w:iCs w:val="0"/>
                <w:caps w:val="0"/>
                <w:color w:val="auto"/>
                <w:spacing w:val="0"/>
                <w:sz w:val="24"/>
                <w:szCs w:val="24"/>
                <w:highlight w:val="none"/>
                <w:shd w:val="clear" w:fill="FFFFFF"/>
              </w:rPr>
              <w:t>剥壳机的工作原理是利用高速旋转的转盘使葵花籽撞击挡板，从而产生外壳变形和裂纹，实现剥壳</w:t>
            </w:r>
            <w:r>
              <w:rPr>
                <w:rFonts w:hint="eastAsia" w:ascii="Times New Roman" w:hAnsi="Times New Roman" w:eastAsia="宋体" w:cs="Times New Roman"/>
                <w:color w:val="auto"/>
                <w:sz w:val="24"/>
                <w:szCs w:val="24"/>
                <w:highlight w:val="none"/>
                <w:lang w:val="en-US" w:eastAsia="zh-CN"/>
              </w:rPr>
              <w:t>）将葵花籽壳剥除（此步骤玉米胚芽原料不需进行，葵花籽壳均袋装送往饲料加工厂商作为饲料制造原料），得到葵花籽仁；</w:t>
            </w:r>
          </w:p>
          <w:p w14:paraId="2D4DB9C8">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（3）粉碎</w:t>
            </w:r>
            <w:r>
              <w:rPr>
                <w:rFonts w:hint="default" w:ascii="Times New Roman" w:hAnsi="Times New Roman" w:eastAsia="宋体" w:cs="Times New Roman"/>
                <w:color w:val="auto"/>
                <w:sz w:val="24"/>
                <w:szCs w:val="24"/>
                <w:highlight w:val="none"/>
                <w:lang w:val="en-US" w:eastAsia="zh-CN"/>
              </w:rPr>
              <w:t>：将处理好的</w:t>
            </w:r>
            <w:r>
              <w:rPr>
                <w:rFonts w:hint="eastAsia" w:ascii="Times New Roman" w:hAnsi="Times New Roman" w:eastAsia="宋体" w:cs="Times New Roman"/>
                <w:color w:val="auto"/>
                <w:sz w:val="24"/>
                <w:szCs w:val="24"/>
                <w:highlight w:val="none"/>
                <w:lang w:val="en-US" w:eastAsia="zh-CN"/>
              </w:rPr>
              <w:t>原料通过提升机送至粉碎机粉碎处理，以便后续更充分的浸泡（粉碎机封闭 设有可视窗口以便观察粉碎情况，物料通过与之连接的封闭管道输送。产生的颗粒物无组织排放）；</w:t>
            </w:r>
          </w:p>
          <w:p w14:paraId="4B4EB3AD">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（4）在线筒仓：通过粉碎机出料输送机、提升机等将粉碎好的原料送至在线筒仓（在线筒仓封闭设置，物料通过与之连接的封闭管道输送。产生的颗粒物无组织排放）；</w:t>
            </w:r>
          </w:p>
          <w:p w14:paraId="7F652A0A">
            <w:pPr>
              <w:pStyle w:val="9"/>
              <w:keepNext w:val="0"/>
              <w:keepLines w:val="0"/>
              <w:pageBreakBefore w:val="0"/>
              <w:widowControl/>
              <w:kinsoku/>
              <w:wordWrap/>
              <w:overflowPunct/>
              <w:topLinePunct w:val="0"/>
              <w:autoSpaceDE/>
              <w:autoSpaceDN/>
              <w:bidi w:val="0"/>
              <w:adjustRightInd/>
              <w:snapToGrid/>
              <w:spacing w:before="0" w:after="0" w:line="400" w:lineRule="exact"/>
              <w:ind w:firstLine="482"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（二）</w:t>
            </w:r>
            <w:r>
              <w:rPr>
                <w:rFonts w:hint="eastAsia" w:ascii="Times New Roman" w:hAnsi="Times New Roman" w:eastAsia="宋体" w:cs="Times New Roman"/>
                <w:color w:val="auto"/>
                <w:sz w:val="24"/>
                <w:szCs w:val="24"/>
                <w:highlight w:val="none"/>
                <w:lang w:val="en-US" w:eastAsia="zh-CN"/>
              </w:rPr>
              <w:t>热萃取（在此过程中，一级油的输送全都依靠连接密闭的管道以及密闭的出入油泵来完成，不会出现油类物质、气味泄漏的情况）</w:t>
            </w:r>
          </w:p>
          <w:p w14:paraId="275731BB">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5）加热：一级油在密闭的储油罐中通过出入油泵及出入油管道送至密闭的升温釜内（此过程中升温釜通过电导热油炉加热。电导热油炉中的废导热油每年一换，暂存至厂区现有危废间送有资质单位处置）浓香玉米油、浓香葵花籽油加热温度分别为140℃、130℃，以便于原料玉米胚芽与葵花籽仁在一级油中充分浸泡；</w:t>
            </w:r>
          </w:p>
          <w:p w14:paraId="204EC2F6">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（6）给料</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一级油加热到指定温度后，通过升温釜出油泵、管道将加热好的一级油输送至密闭的恒温釜；同时原料通过计重给料机、输送机添加至密闭的恒温釜。</w:t>
            </w:r>
          </w:p>
          <w:p w14:paraId="7B4354D0">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7）浸出：粉碎完成的玉米胚芽、葵花籽原料及加热好的一级油在恒温釜混合后通过恒温搅拌电机搅拌均匀后浸泡，浸泡时间30-40分钟（为了更好的发挥油脂的相似相溶原理将玉米胚芽、葵花籽仁中的油脂浸泡入一级油，以便生产出浓香油）。</w:t>
            </w:r>
          </w:p>
          <w:p w14:paraId="082AB358">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（8）冷却</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反应完成的初级浓香油进入冷却釜，利用冷却釜搅拌电机、冷却循环泵和冷却换热器等对初级浓香油进行降温冷却（此步骤会有冷却水循环加速油液的冷却）；</w:t>
            </w:r>
          </w:p>
          <w:p w14:paraId="090C68A5">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热回收机制：</w:t>
            </w:r>
            <w:r>
              <w:rPr>
                <w:rFonts w:hint="eastAsia" w:ascii="Times New Roman" w:hAnsi="Times New Roman" w:eastAsia="宋体" w:cs="Times New Roman"/>
                <w:b w:val="0"/>
                <w:bCs w:val="0"/>
                <w:color w:val="auto"/>
                <w:sz w:val="24"/>
                <w:szCs w:val="24"/>
                <w:highlight w:val="none"/>
                <w:lang w:val="en-US" w:eastAsia="zh-CN"/>
              </w:rPr>
              <w:t>本项目升温过程依赖电导热油炉加热冷油以提升温度；冷却过程需引入冷油对热油进行降温处理，为了保证加热、冷却阶段的热能最大程度利用故制定以下热量回收方案：将升温釜中的冷油先行导入冷却釜内部的夹层或盘管，利用冷却釜中高温热油的余热对冷油进行预加热；预热后的油返回升温釜，提高起始温度，减少额外加热能耗，可以减少导热油在升温火中的加热量，降低能源消耗；同时帮助冷却火快速降温，提升整体系统热平衡效率。</w:t>
            </w:r>
          </w:p>
          <w:p w14:paraId="0115EC9E">
            <w:pPr>
              <w:pStyle w:val="9"/>
              <w:keepNext w:val="0"/>
              <w:keepLines w:val="0"/>
              <w:pageBreakBefore w:val="0"/>
              <w:widowControl/>
              <w:kinsoku/>
              <w:wordWrap/>
              <w:overflowPunct/>
              <w:topLinePunct w:val="0"/>
              <w:autoSpaceDE/>
              <w:autoSpaceDN/>
              <w:bidi w:val="0"/>
              <w:adjustRightInd/>
              <w:snapToGrid/>
              <w:spacing w:before="0" w:after="0" w:line="400" w:lineRule="exact"/>
              <w:ind w:firstLine="482"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三</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过滤、脱蜡（在此过程中，油液的输送全都依靠连接密闭的管道以及密闭的出入油泵来完成，不会出现油类物质、气味泄漏的情况）</w:t>
            </w:r>
          </w:p>
          <w:p w14:paraId="3B4A7247">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（9）隔膜压滤：冷却完成的初级浓香油利用水平输送机、垂直提升机和齿轮泵等设备通过管道输送至封闭的隔膜压滤机（</w:t>
            </w:r>
            <w:r>
              <w:rPr>
                <w:rFonts w:hint="eastAsia" w:ascii="等线" w:hAnsi="等线" w:eastAsia="等线" w:cs="等线"/>
                <w:color w:val="auto"/>
                <w:sz w:val="24"/>
                <w:szCs w:val="24"/>
                <w:highlight w:val="none"/>
              </w:rPr>
              <w:t>工作原理是将物料通过进料泵进入过滤室，在隔膜泵的作用下，将物料挤压成饼状，然后通过滤布过滤，将滤液</w:t>
            </w:r>
            <w:r>
              <w:rPr>
                <w:rFonts w:hint="eastAsia" w:ascii="等线" w:hAnsi="等线" w:cs="等线"/>
                <w:color w:val="auto"/>
                <w:sz w:val="24"/>
                <w:szCs w:val="24"/>
                <w:highlight w:val="none"/>
                <w:lang w:val="en-US" w:eastAsia="zh-CN"/>
              </w:rPr>
              <w:t>通过管道</w:t>
            </w:r>
            <w:r>
              <w:rPr>
                <w:rFonts w:hint="eastAsia" w:ascii="等线" w:hAnsi="等线" w:eastAsia="等线" w:cs="等线"/>
                <w:color w:val="auto"/>
                <w:sz w:val="24"/>
                <w:szCs w:val="24"/>
                <w:highlight w:val="none"/>
              </w:rPr>
              <w:t>排出</w:t>
            </w:r>
            <w:r>
              <w:rPr>
                <w:rFonts w:hint="eastAsia" w:ascii="Times New Roman" w:hAnsi="Times New Roman" w:eastAsia="宋体" w:cs="Times New Roman"/>
                <w:color w:val="auto"/>
                <w:sz w:val="24"/>
                <w:szCs w:val="24"/>
                <w:highlight w:val="none"/>
                <w:lang w:val="en-US" w:eastAsia="zh-CN"/>
              </w:rPr>
              <w:t>）、预混罐，以便将初级浓香油中的滤渣过滤出（过滤后的滤渣袋装送往饲料加工厂商用于饲料制造的原料）；</w:t>
            </w:r>
          </w:p>
          <w:p w14:paraId="0D338431">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（10）养晶、结晶：初级浓香油加入预混罐后，将初级浓香油通过管道输送至养/结晶罐，利用养/结晶搅拌电机混合并加入饼粉滤袋吸水、硅藻土滤袋助滤处理，处理完成后在小于10℃的温度下继续搅拌；</w:t>
            </w:r>
          </w:p>
          <w:p w14:paraId="1D3F89CF">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11）隔膜压滤：将搅拌出晶的浓香油通过封闭的隔膜压滤机进行二次压滤（过滤后的滤渣袋装送往饲料加工厂商用于饲料制造的原料；由于硅藻土和饼粉分别装在滤袋里，所以使用过后的废硅藻土、废饼粉均由供应商定期更换拉运处理；水分吸附在饼粉内后，由于水、油密度不同，被析出的水分不会溶于原料油中，隔膜压滤机具有的保压与稳态脱水阶段会有静置过程，过滤出的水和油会静置分层，上层的原料油经压滤机上层的出口流出，从而使过滤介质、水、油实现分离），后通过封闭的管道输送至单桶过滤器（隔膜压滤机、压滤机滤布的清洗与设备整体的清洗一同进行，整条生产线统一清洗 不需要单独清洗）；</w:t>
            </w:r>
          </w:p>
          <w:p w14:paraId="30BFF273">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（12）脱蜡微滤：将压滤后的浓香油通过管道输送至封闭的单桶过滤器，过滤器中滤袋（滤袋固定在单桶过滤器循环使用，与整条生产线统一清洗，不需要单独清洗）可以助力香油脱蜡；</w:t>
            </w:r>
          </w:p>
          <w:p w14:paraId="260411B5">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（13）成品浓香油：脱蜡后的浓香油通过成品油罐入油泵进入成品油罐后即可。（产品浓香油的转运、包装都利用油泵及管道输送至吨桶，不会出现油类物质、气味泄漏的情况）。</w:t>
            </w:r>
          </w:p>
          <w:p w14:paraId="69062CC1">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2" w:firstLineChars="200"/>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生产设备的清洗：</w:t>
            </w:r>
          </w:p>
          <w:p w14:paraId="39B287C2">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生产线换型清洗（只用油洗）：本项目两种浓香油的生产共用1套生产设备，故在生产线换型前，会使用相应的一级换型油将设备内部整体清洗，换型油清洗设备后利用油泵及管道将换型油输送至吨桶，作为本厂区现有工程调和油原料使用。</w:t>
            </w:r>
          </w:p>
          <w:p w14:paraId="41E53968">
            <w:pPr>
              <w:pStyle w:val="56"/>
              <w:keepNext w:val="0"/>
              <w:keepLines w:val="0"/>
              <w:pageBreakBefore w:val="0"/>
              <w:widowControl/>
              <w:numPr>
                <w:ilvl w:val="0"/>
                <w:numId w:val="0"/>
              </w:numPr>
              <w:kinsoku/>
              <w:wordWrap/>
              <w:overflowPunct/>
              <w:topLinePunct w:val="0"/>
              <w:autoSpaceDE/>
              <w:autoSpaceDN/>
              <w:bidi w:val="0"/>
              <w:adjustRightInd/>
              <w:snapToGrid/>
              <w:spacing w:before="0" w:after="0" w:line="400" w:lineRule="exact"/>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②设备整体清洗（先用水洗再用油洗）：本项目生产设备内部清洗一年进行一次，主要为了将生产过程中设备堆积的重质油垢等进行彻底清除（清洗后的废水通过生产车间排污管道排入厂区污水处理站处理达标后排入市政污水管网后最终由磴口县中涵水务有限公司处理；设备内部清洗油（报废油）清洗设备后利用油泵及管道将废油输送至吨桶，暂存至一般固废间送往饲料加工厂商作为饲料制造原料）。</w:t>
            </w:r>
          </w:p>
          <w:p w14:paraId="4A6EE32E">
            <w:pPr>
              <w:keepNext w:val="0"/>
              <w:keepLines w:val="0"/>
              <w:pageBreakBefore w:val="0"/>
              <w:kinsoku/>
              <w:wordWrap/>
              <w:overflowPunct/>
              <w:topLinePunct w:val="0"/>
              <w:autoSpaceDE/>
              <w:autoSpaceDN/>
              <w:bidi w:val="0"/>
              <w:adjustRightInd/>
              <w:snapToGrid/>
              <w:spacing w:line="400" w:lineRule="exact"/>
              <w:ind w:firstLine="482" w:firstLineChars="200"/>
              <w:textAlignment w:val="auto"/>
              <w:rPr>
                <w:rFonts w:hint="default" w:ascii="Times New Roman" w:hAnsi="Times New Roman" w:eastAsia="宋体" w:cs="Times New Roman"/>
                <w:b/>
                <w:color w:val="auto"/>
                <w:sz w:val="24"/>
                <w:szCs w:val="21"/>
                <w:highlight w:val="none"/>
                <w:lang w:eastAsia="zh-CN"/>
              </w:rPr>
            </w:pPr>
            <w:r>
              <w:rPr>
                <w:rFonts w:hint="default" w:ascii="Times New Roman" w:hAnsi="Times New Roman" w:eastAsia="宋体" w:cs="Times New Roman"/>
                <w:b/>
                <w:color w:val="auto"/>
                <w:sz w:val="24"/>
                <w:szCs w:val="21"/>
                <w:highlight w:val="none"/>
                <w:lang w:val="en-US" w:eastAsia="zh-CN"/>
              </w:rPr>
              <w:t>项目运营期</w:t>
            </w:r>
            <w:r>
              <w:rPr>
                <w:rFonts w:hint="default" w:ascii="Times New Roman" w:hAnsi="Times New Roman" w:eastAsia="宋体" w:cs="Times New Roman"/>
                <w:b/>
                <w:color w:val="auto"/>
                <w:sz w:val="24"/>
                <w:szCs w:val="21"/>
                <w:highlight w:val="none"/>
              </w:rPr>
              <w:t>产污环节</w:t>
            </w:r>
            <w:r>
              <w:rPr>
                <w:rFonts w:hint="default" w:ascii="Times New Roman" w:hAnsi="Times New Roman" w:eastAsia="宋体" w:cs="Times New Roman"/>
                <w:b/>
                <w:color w:val="auto"/>
                <w:sz w:val="24"/>
                <w:szCs w:val="21"/>
                <w:highlight w:val="none"/>
                <w:lang w:eastAsia="zh-CN"/>
              </w:rPr>
              <w:t>：</w:t>
            </w:r>
          </w:p>
          <w:p w14:paraId="5AB7BB4A">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根据运营期工艺流程可知，主要产污环节为来源于</w:t>
            </w:r>
            <w:r>
              <w:rPr>
                <w:rFonts w:hint="eastAsia" w:cs="Times New Roman"/>
                <w:b w:val="0"/>
                <w:bCs/>
                <w:color w:val="auto"/>
                <w:sz w:val="24"/>
                <w:szCs w:val="24"/>
                <w:highlight w:val="none"/>
                <w:lang w:val="en-US" w:eastAsia="zh-CN"/>
              </w:rPr>
              <w:t>设备内部清洗</w:t>
            </w:r>
            <w:r>
              <w:rPr>
                <w:rFonts w:hint="default" w:ascii="Times New Roman" w:hAnsi="Times New Roman" w:eastAsia="宋体" w:cs="Times New Roman"/>
                <w:b w:val="0"/>
                <w:bCs/>
                <w:color w:val="auto"/>
                <w:sz w:val="24"/>
                <w:szCs w:val="24"/>
                <w:highlight w:val="none"/>
                <w:lang w:val="en-US" w:eastAsia="zh-CN"/>
              </w:rPr>
              <w:t>废水、噪声，</w:t>
            </w:r>
            <w:r>
              <w:rPr>
                <w:rFonts w:hint="eastAsia" w:cs="Times New Roman"/>
                <w:b w:val="0"/>
                <w:bCs/>
                <w:color w:val="auto"/>
                <w:sz w:val="24"/>
                <w:szCs w:val="24"/>
                <w:highlight w:val="none"/>
                <w:lang w:val="en-US" w:eastAsia="zh-CN"/>
              </w:rPr>
              <w:t>清理、剥壳、隔膜压滤</w:t>
            </w:r>
            <w:r>
              <w:rPr>
                <w:rFonts w:hint="default" w:ascii="Times New Roman" w:hAnsi="Times New Roman" w:eastAsia="宋体" w:cs="Times New Roman"/>
                <w:b w:val="0"/>
                <w:bCs/>
                <w:color w:val="auto"/>
                <w:sz w:val="24"/>
                <w:szCs w:val="24"/>
                <w:highlight w:val="none"/>
                <w:lang w:val="en-US" w:eastAsia="zh-CN"/>
              </w:rPr>
              <w:t>产生的固废，</w:t>
            </w:r>
            <w:r>
              <w:rPr>
                <w:rFonts w:hint="eastAsia" w:cs="Times New Roman"/>
                <w:b w:val="0"/>
                <w:bCs/>
                <w:color w:val="auto"/>
                <w:sz w:val="24"/>
                <w:szCs w:val="24"/>
                <w:highlight w:val="none"/>
                <w:lang w:val="en-US" w:eastAsia="zh-CN"/>
              </w:rPr>
              <w:t>料胚储存筒仓产生的颗粒物等，</w:t>
            </w:r>
            <w:r>
              <w:rPr>
                <w:rFonts w:hint="default" w:ascii="Times New Roman" w:hAnsi="Times New Roman" w:eastAsia="宋体" w:cs="Times New Roman"/>
                <w:b w:val="0"/>
                <w:bCs/>
                <w:color w:val="auto"/>
                <w:sz w:val="24"/>
                <w:szCs w:val="24"/>
                <w:highlight w:val="none"/>
                <w:lang w:val="en-US" w:eastAsia="zh-CN"/>
              </w:rPr>
              <w:t>项目主要污染物见表2-</w:t>
            </w:r>
            <w:r>
              <w:rPr>
                <w:rFonts w:hint="eastAsia" w:cs="Times New Roman"/>
                <w:b w:val="0"/>
                <w:bCs/>
                <w:color w:val="auto"/>
                <w:sz w:val="24"/>
                <w:szCs w:val="24"/>
                <w:highlight w:val="none"/>
                <w:lang w:val="en-US" w:eastAsia="zh-CN"/>
              </w:rPr>
              <w:t>8</w:t>
            </w:r>
            <w:r>
              <w:rPr>
                <w:rFonts w:hint="default" w:ascii="Times New Roman" w:hAnsi="Times New Roman" w:eastAsia="宋体" w:cs="Times New Roman"/>
                <w:b w:val="0"/>
                <w:bCs/>
                <w:color w:val="auto"/>
                <w:sz w:val="24"/>
                <w:szCs w:val="24"/>
                <w:highlight w:val="none"/>
                <w:lang w:val="en-US" w:eastAsia="zh-CN"/>
              </w:rPr>
              <w:t>：</w:t>
            </w:r>
          </w:p>
          <w:p w14:paraId="394857D7">
            <w:pPr>
              <w:keepNext w:val="0"/>
              <w:keepLines w:val="0"/>
              <w:pageBreakBefore w:val="0"/>
              <w:tabs>
                <w:tab w:val="left" w:pos="0"/>
              </w:tabs>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2-</w:t>
            </w:r>
            <w:r>
              <w:rPr>
                <w:rFonts w:hint="eastAsia" w:cs="Times New Roman"/>
                <w:b/>
                <w:bCs/>
                <w:color w:val="auto"/>
                <w:sz w:val="24"/>
                <w:highlight w:val="none"/>
                <w:lang w:val="en-US" w:eastAsia="zh-CN"/>
              </w:rPr>
              <w:t>8</w:t>
            </w:r>
            <w:r>
              <w:rPr>
                <w:rFonts w:hint="default" w:ascii="Times New Roman" w:hAnsi="Times New Roman" w:eastAsia="宋体" w:cs="Times New Roman"/>
                <w:b/>
                <w:bCs/>
                <w:color w:val="auto"/>
                <w:sz w:val="24"/>
                <w:highlight w:val="none"/>
              </w:rPr>
              <w:t>项目</w:t>
            </w:r>
            <w:r>
              <w:rPr>
                <w:rFonts w:hint="default" w:ascii="Times New Roman" w:hAnsi="Times New Roman" w:eastAsia="宋体" w:cs="Times New Roman"/>
                <w:b/>
                <w:bCs/>
                <w:color w:val="auto"/>
                <w:sz w:val="24"/>
                <w:highlight w:val="none"/>
                <w:lang w:val="en-US" w:eastAsia="zh-CN"/>
              </w:rPr>
              <w:t>运营期产污环节</w:t>
            </w:r>
            <w:r>
              <w:rPr>
                <w:rFonts w:hint="default" w:ascii="Times New Roman" w:hAnsi="Times New Roman" w:eastAsia="宋体" w:cs="Times New Roman"/>
                <w:b/>
                <w:bCs/>
                <w:color w:val="auto"/>
                <w:sz w:val="24"/>
                <w:highlight w:val="none"/>
              </w:rPr>
              <w:t>一览表</w:t>
            </w:r>
          </w:p>
          <w:tbl>
            <w:tblPr>
              <w:tblStyle w:val="22"/>
              <w:tblW w:w="79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379"/>
              <w:gridCol w:w="1845"/>
              <w:gridCol w:w="3996"/>
            </w:tblGrid>
            <w:tr w14:paraId="5EFBA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18" w:type="dxa"/>
                  <w:tcBorders>
                    <w:tl2br w:val="nil"/>
                    <w:tr2bl w:val="nil"/>
                  </w:tcBorders>
                  <w:vAlign w:val="center"/>
                </w:tcPr>
                <w:p w14:paraId="53F6B8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类别</w:t>
                  </w:r>
                </w:p>
              </w:tc>
              <w:tc>
                <w:tcPr>
                  <w:tcW w:w="1379" w:type="dxa"/>
                  <w:tcBorders>
                    <w:tl2br w:val="nil"/>
                    <w:tr2bl w:val="nil"/>
                  </w:tcBorders>
                  <w:vAlign w:val="center"/>
                </w:tcPr>
                <w:p w14:paraId="59D149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污染物类型</w:t>
                  </w:r>
                </w:p>
              </w:tc>
              <w:tc>
                <w:tcPr>
                  <w:tcW w:w="1845" w:type="dxa"/>
                  <w:tcBorders>
                    <w:tl2br w:val="nil"/>
                    <w:tr2bl w:val="nil"/>
                  </w:tcBorders>
                  <w:vAlign w:val="center"/>
                </w:tcPr>
                <w:p w14:paraId="78DF1C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产污环节</w:t>
                  </w:r>
                </w:p>
              </w:tc>
              <w:tc>
                <w:tcPr>
                  <w:tcW w:w="3996" w:type="dxa"/>
                  <w:tcBorders>
                    <w:tl2br w:val="nil"/>
                    <w:tr2bl w:val="nil"/>
                  </w:tcBorders>
                  <w:vAlign w:val="center"/>
                </w:tcPr>
                <w:p w14:paraId="14508C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治理措施</w:t>
                  </w:r>
                </w:p>
              </w:tc>
            </w:tr>
            <w:tr w14:paraId="4A6064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718" w:type="dxa"/>
                  <w:tcBorders>
                    <w:tl2br w:val="nil"/>
                    <w:tr2bl w:val="nil"/>
                  </w:tcBorders>
                  <w:vAlign w:val="center"/>
                </w:tcPr>
                <w:p w14:paraId="72DE84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生产废水</w:t>
                  </w:r>
                </w:p>
              </w:tc>
              <w:tc>
                <w:tcPr>
                  <w:tcW w:w="1379" w:type="dxa"/>
                  <w:tcBorders>
                    <w:tl2br w:val="nil"/>
                    <w:tr2bl w:val="nil"/>
                  </w:tcBorders>
                  <w:vAlign w:val="center"/>
                </w:tcPr>
                <w:p w14:paraId="225064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COD</w:t>
                  </w:r>
                  <w:r>
                    <w:rPr>
                      <w:rFonts w:hint="eastAsia" w:cs="Times New Roman"/>
                      <w:b w:val="0"/>
                      <w:bCs/>
                      <w:color w:val="auto"/>
                      <w:sz w:val="21"/>
                      <w:szCs w:val="21"/>
                      <w:highlight w:val="none"/>
                      <w:vertAlign w:val="baseline"/>
                      <w:lang w:val="en-US" w:eastAsia="zh-CN"/>
                    </w:rPr>
                    <w:t>、总磷、石油类</w:t>
                  </w:r>
                </w:p>
              </w:tc>
              <w:tc>
                <w:tcPr>
                  <w:tcW w:w="1845" w:type="dxa"/>
                  <w:tcBorders>
                    <w:tl2br w:val="nil"/>
                    <w:tr2bl w:val="nil"/>
                  </w:tcBorders>
                  <w:vAlign w:val="center"/>
                </w:tcPr>
                <w:p w14:paraId="276D7E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设备内部</w:t>
                  </w:r>
                  <w:r>
                    <w:rPr>
                      <w:rFonts w:hint="default" w:ascii="Times New Roman" w:hAnsi="Times New Roman" w:eastAsia="宋体" w:cs="Times New Roman"/>
                      <w:b w:val="0"/>
                      <w:bCs/>
                      <w:color w:val="auto"/>
                      <w:sz w:val="21"/>
                      <w:szCs w:val="21"/>
                      <w:highlight w:val="none"/>
                      <w:vertAlign w:val="baseline"/>
                      <w:lang w:val="en-US" w:eastAsia="zh-CN"/>
                    </w:rPr>
                    <w:t>清洗</w:t>
                  </w:r>
                </w:p>
              </w:tc>
              <w:tc>
                <w:tcPr>
                  <w:tcW w:w="3996" w:type="dxa"/>
                  <w:tcBorders>
                    <w:tl2br w:val="nil"/>
                    <w:tr2bl w:val="nil"/>
                  </w:tcBorders>
                  <w:vAlign w:val="center"/>
                </w:tcPr>
                <w:p w14:paraId="4223BE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每年清洗一次，通过管道排入厂区污水处理站处理达标后排入市政污水管网</w:t>
                  </w:r>
                  <w:r>
                    <w:rPr>
                      <w:rFonts w:hint="eastAsia" w:cs="Times New Roman"/>
                      <w:b w:val="0"/>
                      <w:bCs w:val="0"/>
                      <w:color w:val="auto"/>
                      <w:sz w:val="21"/>
                      <w:szCs w:val="21"/>
                      <w:highlight w:val="none"/>
                      <w:vertAlign w:val="baseline"/>
                      <w:lang w:val="en-US" w:eastAsia="zh-CN"/>
                    </w:rPr>
                    <w:t>后最终由磴口县中涵水务有限公司处理</w:t>
                  </w:r>
                </w:p>
              </w:tc>
            </w:tr>
            <w:tr w14:paraId="68417A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718" w:type="dxa"/>
                  <w:tcBorders>
                    <w:tl2br w:val="nil"/>
                    <w:tr2bl w:val="nil"/>
                  </w:tcBorders>
                  <w:vAlign w:val="center"/>
                </w:tcPr>
                <w:p w14:paraId="08B0CB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噪声</w:t>
                  </w:r>
                </w:p>
              </w:tc>
              <w:tc>
                <w:tcPr>
                  <w:tcW w:w="1379" w:type="dxa"/>
                  <w:tcBorders>
                    <w:tl2br w:val="nil"/>
                    <w:tr2bl w:val="nil"/>
                  </w:tcBorders>
                  <w:vAlign w:val="center"/>
                </w:tcPr>
                <w:p w14:paraId="68EA97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等效连续A声级</w:t>
                  </w:r>
                </w:p>
              </w:tc>
              <w:tc>
                <w:tcPr>
                  <w:tcW w:w="1845" w:type="dxa"/>
                  <w:tcBorders>
                    <w:tl2br w:val="nil"/>
                    <w:tr2bl w:val="nil"/>
                  </w:tcBorders>
                  <w:vAlign w:val="center"/>
                </w:tcPr>
                <w:p w14:paraId="7EB457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生产设备运行</w:t>
                  </w:r>
                </w:p>
              </w:tc>
              <w:tc>
                <w:tcPr>
                  <w:tcW w:w="3996" w:type="dxa"/>
                  <w:tcBorders>
                    <w:tl2br w:val="nil"/>
                    <w:tr2bl w:val="nil"/>
                  </w:tcBorders>
                  <w:vAlign w:val="center"/>
                </w:tcPr>
                <w:p w14:paraId="00CC45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color w:val="auto"/>
                      <w:kern w:val="0"/>
                      <w:sz w:val="21"/>
                      <w:szCs w:val="21"/>
                      <w:highlight w:val="none"/>
                      <w:lang w:val="en-US" w:eastAsia="zh-CN" w:bidi="ar"/>
                    </w:rPr>
                    <w:t>选择低噪声设备、基础</w:t>
                  </w:r>
                  <w:r>
                    <w:rPr>
                      <w:rFonts w:hint="default" w:ascii="Times New Roman" w:hAnsi="Times New Roman" w:eastAsia="宋体" w:cs="Times New Roman"/>
                      <w:color w:val="auto"/>
                      <w:kern w:val="0"/>
                      <w:sz w:val="21"/>
                      <w:szCs w:val="21"/>
                      <w:highlight w:val="none"/>
                      <w:lang w:val="en-US" w:eastAsia="zh-CN" w:bidi="ar"/>
                    </w:rPr>
                    <w:t>减振、</w:t>
                  </w:r>
                  <w:r>
                    <w:rPr>
                      <w:rFonts w:hint="eastAsia" w:cs="Times New Roman"/>
                      <w:color w:val="auto"/>
                      <w:kern w:val="0"/>
                      <w:sz w:val="21"/>
                      <w:szCs w:val="21"/>
                      <w:highlight w:val="none"/>
                      <w:lang w:val="en-US" w:eastAsia="zh-CN" w:bidi="ar"/>
                    </w:rPr>
                    <w:t>车间封闭隔声处理</w:t>
                  </w:r>
                </w:p>
              </w:tc>
            </w:tr>
            <w:tr w14:paraId="1B3C8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2" w:hRule="atLeast"/>
                <w:jc w:val="center"/>
              </w:trPr>
              <w:tc>
                <w:tcPr>
                  <w:tcW w:w="718" w:type="dxa"/>
                  <w:vMerge w:val="restart"/>
                  <w:tcBorders>
                    <w:tl2br w:val="nil"/>
                    <w:tr2bl w:val="nil"/>
                  </w:tcBorders>
                  <w:vAlign w:val="center"/>
                </w:tcPr>
                <w:p w14:paraId="0891B3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固体废物</w:t>
                  </w:r>
                </w:p>
              </w:tc>
              <w:tc>
                <w:tcPr>
                  <w:tcW w:w="1379" w:type="dxa"/>
                  <w:tcBorders>
                    <w:tl2br w:val="nil"/>
                    <w:tr2bl w:val="nil"/>
                  </w:tcBorders>
                  <w:vAlign w:val="center"/>
                </w:tcPr>
                <w:p w14:paraId="6B7DBD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杂质、葵花籽壳、滤渣</w:t>
                  </w:r>
                </w:p>
              </w:tc>
              <w:tc>
                <w:tcPr>
                  <w:tcW w:w="1845" w:type="dxa"/>
                  <w:tcBorders>
                    <w:tl2br w:val="nil"/>
                    <w:tr2bl w:val="nil"/>
                  </w:tcBorders>
                  <w:vAlign w:val="center"/>
                </w:tcPr>
                <w:p w14:paraId="1EA763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清理、剥壳、隔膜压滤</w:t>
                  </w:r>
                </w:p>
              </w:tc>
              <w:tc>
                <w:tcPr>
                  <w:tcW w:w="3996" w:type="dxa"/>
                  <w:tcBorders>
                    <w:tl2br w:val="nil"/>
                    <w:tr2bl w:val="nil"/>
                  </w:tcBorders>
                  <w:vAlign w:val="center"/>
                </w:tcPr>
                <w:p w14:paraId="1C4716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olor w:val="auto"/>
                      <w:highlight w:val="none"/>
                      <w:lang w:val="en-US" w:eastAsia="zh-CN"/>
                    </w:rPr>
                    <w:t>袋装暂存至一般固废间送往饲料加工厂商作为饲料制造原料</w:t>
                  </w:r>
                </w:p>
              </w:tc>
            </w:tr>
            <w:tr w14:paraId="22DEE0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18" w:type="dxa"/>
                  <w:vMerge w:val="continue"/>
                  <w:tcBorders>
                    <w:tl2br w:val="nil"/>
                    <w:tr2bl w:val="nil"/>
                  </w:tcBorders>
                  <w:vAlign w:val="center"/>
                </w:tcPr>
                <w:p w14:paraId="07BA56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379" w:type="dxa"/>
                  <w:tcBorders>
                    <w:tl2br w:val="nil"/>
                    <w:tr2bl w:val="nil"/>
                  </w:tcBorders>
                  <w:vAlign w:val="center"/>
                </w:tcPr>
                <w:p w14:paraId="5E7FD1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废硅藻土、废饼粉</w:t>
                  </w:r>
                </w:p>
              </w:tc>
              <w:tc>
                <w:tcPr>
                  <w:tcW w:w="1845" w:type="dxa"/>
                  <w:tcBorders>
                    <w:tl2br w:val="nil"/>
                    <w:tr2bl w:val="nil"/>
                  </w:tcBorders>
                  <w:vAlign w:val="center"/>
                </w:tcPr>
                <w:p w14:paraId="0B139E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隔膜压滤</w:t>
                  </w:r>
                </w:p>
              </w:tc>
              <w:tc>
                <w:tcPr>
                  <w:tcW w:w="3996" w:type="dxa"/>
                  <w:tcBorders>
                    <w:tl2br w:val="nil"/>
                    <w:tr2bl w:val="nil"/>
                  </w:tcBorders>
                  <w:vAlign w:val="center"/>
                </w:tcPr>
                <w:p w14:paraId="08ED8E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袋装暂存至一般固废间由供应商更换后拉运处理</w:t>
                  </w:r>
                </w:p>
              </w:tc>
            </w:tr>
            <w:tr w14:paraId="776413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4" w:hRule="atLeast"/>
                <w:jc w:val="center"/>
              </w:trPr>
              <w:tc>
                <w:tcPr>
                  <w:tcW w:w="718" w:type="dxa"/>
                  <w:vMerge w:val="continue"/>
                  <w:tcBorders>
                    <w:tl2br w:val="nil"/>
                    <w:tr2bl w:val="nil"/>
                  </w:tcBorders>
                  <w:vAlign w:val="center"/>
                </w:tcPr>
                <w:p w14:paraId="1E4CDC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379" w:type="dxa"/>
                  <w:tcBorders>
                    <w:tl2br w:val="nil"/>
                    <w:tr2bl w:val="nil"/>
                  </w:tcBorders>
                  <w:vAlign w:val="center"/>
                </w:tcPr>
                <w:p w14:paraId="0D89D0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报废油（清洗油）</w:t>
                  </w:r>
                </w:p>
              </w:tc>
              <w:tc>
                <w:tcPr>
                  <w:tcW w:w="1845" w:type="dxa"/>
                  <w:tcBorders>
                    <w:tl2br w:val="nil"/>
                    <w:tr2bl w:val="nil"/>
                  </w:tcBorders>
                  <w:vAlign w:val="center"/>
                </w:tcPr>
                <w:p w14:paraId="34B8A8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生产设备内部清洗</w:t>
                  </w:r>
                </w:p>
              </w:tc>
              <w:tc>
                <w:tcPr>
                  <w:tcW w:w="3996" w:type="dxa"/>
                  <w:tcBorders>
                    <w:tl2br w:val="nil"/>
                    <w:tr2bl w:val="nil"/>
                  </w:tcBorders>
                  <w:vAlign w:val="center"/>
                </w:tcPr>
                <w:p w14:paraId="647174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每年清洗一次，清洗设备后利用油泵及管道将废油输送至吨桶，暂存至一般固废间</w:t>
                  </w:r>
                  <w:r>
                    <w:rPr>
                      <w:rFonts w:hint="eastAsia"/>
                      <w:color w:val="auto"/>
                      <w:highlight w:val="none"/>
                      <w:lang w:val="en-US" w:eastAsia="zh-CN"/>
                    </w:rPr>
                    <w:t>送往饲料加工厂商作为饲料制造原料</w:t>
                  </w:r>
                </w:p>
              </w:tc>
            </w:tr>
            <w:tr w14:paraId="33D55A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18" w:type="dxa"/>
                  <w:vMerge w:val="continue"/>
                  <w:tcBorders>
                    <w:tl2br w:val="nil"/>
                    <w:tr2bl w:val="nil"/>
                  </w:tcBorders>
                  <w:vAlign w:val="center"/>
                </w:tcPr>
                <w:p w14:paraId="143D88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379" w:type="dxa"/>
                  <w:tcBorders>
                    <w:tl2br w:val="nil"/>
                    <w:tr2bl w:val="nil"/>
                  </w:tcBorders>
                  <w:vAlign w:val="center"/>
                </w:tcPr>
                <w:p w14:paraId="668A8A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废导热油</w:t>
                  </w:r>
                </w:p>
              </w:tc>
              <w:tc>
                <w:tcPr>
                  <w:tcW w:w="1845" w:type="dxa"/>
                  <w:tcBorders>
                    <w:tl2br w:val="nil"/>
                    <w:tr2bl w:val="nil"/>
                  </w:tcBorders>
                  <w:vAlign w:val="center"/>
                </w:tcPr>
                <w:p w14:paraId="6DE9A2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电导热油炉</w:t>
                  </w:r>
                </w:p>
              </w:tc>
              <w:tc>
                <w:tcPr>
                  <w:tcW w:w="3996" w:type="dxa"/>
                  <w:tcBorders>
                    <w:tl2br w:val="nil"/>
                    <w:tr2bl w:val="nil"/>
                  </w:tcBorders>
                  <w:vAlign w:val="center"/>
                </w:tcPr>
                <w:p w14:paraId="574047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根据市场监督管理局特种设备监督检验所的检验结果（酸值、粘度、闪点等指标）决定，如有更换桶装暂存至厂区现有危废间送有资质单位处置</w:t>
                  </w:r>
                </w:p>
              </w:tc>
            </w:tr>
            <w:tr w14:paraId="3061A2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20" w:hRule="atLeast"/>
                <w:jc w:val="center"/>
              </w:trPr>
              <w:tc>
                <w:tcPr>
                  <w:tcW w:w="718" w:type="dxa"/>
                  <w:vMerge w:val="restart"/>
                  <w:tcBorders>
                    <w:tl2br w:val="nil"/>
                    <w:tr2bl w:val="nil"/>
                  </w:tcBorders>
                  <w:vAlign w:val="center"/>
                </w:tcPr>
                <w:p w14:paraId="368C68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废气</w:t>
                  </w:r>
                </w:p>
              </w:tc>
              <w:tc>
                <w:tcPr>
                  <w:tcW w:w="1379" w:type="dxa"/>
                  <w:tcBorders>
                    <w:tl2br w:val="nil"/>
                    <w:tr2bl w:val="nil"/>
                  </w:tcBorders>
                  <w:vAlign w:val="center"/>
                </w:tcPr>
                <w:p w14:paraId="3BC96B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val="0"/>
                      <w:color w:val="auto"/>
                      <w:kern w:val="0"/>
                      <w:sz w:val="21"/>
                      <w:szCs w:val="21"/>
                      <w:highlight w:val="none"/>
                      <w:vertAlign w:val="baseline"/>
                      <w:lang w:val="en-US" w:eastAsia="zh-CN"/>
                    </w:rPr>
                    <w:t>有组织颗粒物</w:t>
                  </w:r>
                </w:p>
              </w:tc>
              <w:tc>
                <w:tcPr>
                  <w:tcW w:w="1845" w:type="dxa"/>
                  <w:tcBorders>
                    <w:tl2br w:val="nil"/>
                    <w:tr2bl w:val="nil"/>
                  </w:tcBorders>
                  <w:vAlign w:val="center"/>
                </w:tcPr>
                <w:p w14:paraId="3C4C0D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料胚储存筒仓进料口</w:t>
                  </w:r>
                </w:p>
              </w:tc>
              <w:tc>
                <w:tcPr>
                  <w:tcW w:w="3996" w:type="dxa"/>
                  <w:tcBorders>
                    <w:tl2br w:val="nil"/>
                    <w:tr2bl w:val="nil"/>
                  </w:tcBorders>
                  <w:vAlign w:val="center"/>
                </w:tcPr>
                <w:p w14:paraId="7B28B8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color w:val="auto"/>
                      <w:kern w:val="0"/>
                      <w:sz w:val="21"/>
                      <w:szCs w:val="21"/>
                      <w:highlight w:val="none"/>
                      <w:lang w:val="en-US" w:eastAsia="zh-CN" w:bidi="ar"/>
                    </w:rPr>
                    <w:t>1台旋风除尘器+1台布袋除尘器处理后经1根15米高的排气筒排放</w:t>
                  </w:r>
                </w:p>
              </w:tc>
            </w:tr>
            <w:tr w14:paraId="2E18A3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718" w:type="dxa"/>
                  <w:vMerge w:val="continue"/>
                  <w:tcBorders>
                    <w:tl2br w:val="nil"/>
                    <w:tr2bl w:val="nil"/>
                  </w:tcBorders>
                  <w:vAlign w:val="center"/>
                </w:tcPr>
                <w:p w14:paraId="03FDED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379" w:type="dxa"/>
                  <w:vMerge w:val="restart"/>
                  <w:tcBorders>
                    <w:tl2br w:val="nil"/>
                    <w:tr2bl w:val="nil"/>
                  </w:tcBorders>
                  <w:vAlign w:val="center"/>
                </w:tcPr>
                <w:p w14:paraId="384F20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无组织颗粒物</w:t>
                  </w:r>
                </w:p>
              </w:tc>
              <w:tc>
                <w:tcPr>
                  <w:tcW w:w="1845" w:type="dxa"/>
                  <w:tcBorders>
                    <w:tl2br w:val="nil"/>
                    <w:tr2bl w:val="nil"/>
                  </w:tcBorders>
                  <w:vAlign w:val="center"/>
                </w:tcPr>
                <w:p w14:paraId="62413B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val="0"/>
                      <w:bCs/>
                      <w:color w:val="auto"/>
                      <w:sz w:val="21"/>
                      <w:szCs w:val="21"/>
                      <w:highlight w:val="none"/>
                      <w:vertAlign w:val="baseline"/>
                      <w:lang w:val="en-US" w:eastAsia="zh-CN"/>
                    </w:rPr>
                  </w:pPr>
                  <w:r>
                    <w:rPr>
                      <w:rFonts w:hint="eastAsia" w:cs="Times New Roman"/>
                      <w:color w:val="auto"/>
                      <w:kern w:val="0"/>
                      <w:sz w:val="21"/>
                      <w:szCs w:val="21"/>
                      <w:highlight w:val="none"/>
                      <w:lang w:val="en-US" w:eastAsia="zh-CN" w:bidi="ar"/>
                    </w:rPr>
                    <w:t>清理除杂过程中产生的颗粒物</w:t>
                  </w:r>
                </w:p>
              </w:tc>
              <w:tc>
                <w:tcPr>
                  <w:tcW w:w="3996" w:type="dxa"/>
                  <w:tcBorders>
                    <w:tl2br w:val="nil"/>
                    <w:tr2bl w:val="nil"/>
                  </w:tcBorders>
                  <w:vAlign w:val="center"/>
                </w:tcPr>
                <w:p w14:paraId="6463420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生产设备全封闭，无组织排放</w:t>
                  </w:r>
                </w:p>
              </w:tc>
            </w:tr>
            <w:tr w14:paraId="6B8AEE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7" w:hRule="atLeast"/>
                <w:jc w:val="center"/>
              </w:trPr>
              <w:tc>
                <w:tcPr>
                  <w:tcW w:w="718" w:type="dxa"/>
                  <w:vMerge w:val="continue"/>
                  <w:tcBorders>
                    <w:tl2br w:val="nil"/>
                    <w:tr2bl w:val="nil"/>
                  </w:tcBorders>
                  <w:vAlign w:val="center"/>
                </w:tcPr>
                <w:p w14:paraId="01445F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379" w:type="dxa"/>
                  <w:vMerge w:val="continue"/>
                  <w:tcBorders>
                    <w:tl2br w:val="nil"/>
                    <w:tr2bl w:val="nil"/>
                  </w:tcBorders>
                  <w:vAlign w:val="center"/>
                </w:tcPr>
                <w:p w14:paraId="3B8972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val="0"/>
                      <w:bCs/>
                      <w:color w:val="auto"/>
                      <w:sz w:val="21"/>
                      <w:szCs w:val="21"/>
                      <w:highlight w:val="none"/>
                      <w:vertAlign w:val="baseline"/>
                      <w:lang w:val="en-US" w:eastAsia="zh-CN"/>
                    </w:rPr>
                  </w:pPr>
                </w:p>
              </w:tc>
              <w:tc>
                <w:tcPr>
                  <w:tcW w:w="1845" w:type="dxa"/>
                  <w:tcBorders>
                    <w:tl2br w:val="nil"/>
                    <w:tr2bl w:val="nil"/>
                  </w:tcBorders>
                  <w:vAlign w:val="center"/>
                </w:tcPr>
                <w:p w14:paraId="50DBF9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val="0"/>
                      <w:bCs/>
                      <w:color w:val="auto"/>
                      <w:sz w:val="21"/>
                      <w:szCs w:val="21"/>
                      <w:highlight w:val="none"/>
                      <w:vertAlign w:val="baseline"/>
                      <w:lang w:val="en-US" w:eastAsia="zh-CN"/>
                    </w:rPr>
                  </w:pPr>
                  <w:r>
                    <w:rPr>
                      <w:rFonts w:hint="eastAsia" w:cs="Times New Roman"/>
                      <w:color w:val="auto"/>
                      <w:kern w:val="0"/>
                      <w:sz w:val="21"/>
                      <w:szCs w:val="21"/>
                      <w:highlight w:val="none"/>
                      <w:lang w:val="en-US" w:eastAsia="zh-CN" w:bidi="ar"/>
                    </w:rPr>
                    <w:t>粉碎机</w:t>
                  </w:r>
                </w:p>
              </w:tc>
              <w:tc>
                <w:tcPr>
                  <w:tcW w:w="3996" w:type="dxa"/>
                  <w:tcBorders>
                    <w:tl2br w:val="nil"/>
                    <w:tr2bl w:val="nil"/>
                  </w:tcBorders>
                  <w:vAlign w:val="center"/>
                </w:tcPr>
                <w:p w14:paraId="1AC1BDF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设备封闭 设有可视窗口以便观察粉碎情况，物料通过与之连接的封闭管道输送。产生的颗粒物无组织排放</w:t>
                  </w:r>
                </w:p>
              </w:tc>
            </w:tr>
            <w:tr w14:paraId="2E68E3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718" w:type="dxa"/>
                  <w:vMerge w:val="continue"/>
                  <w:tcBorders>
                    <w:tl2br w:val="nil"/>
                    <w:tr2bl w:val="nil"/>
                  </w:tcBorders>
                  <w:vAlign w:val="center"/>
                </w:tcPr>
                <w:p w14:paraId="336CF2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379" w:type="dxa"/>
                  <w:vMerge w:val="continue"/>
                  <w:tcBorders>
                    <w:tl2br w:val="nil"/>
                    <w:tr2bl w:val="nil"/>
                  </w:tcBorders>
                  <w:vAlign w:val="center"/>
                </w:tcPr>
                <w:p w14:paraId="35F434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val="0"/>
                      <w:bCs/>
                      <w:color w:val="auto"/>
                      <w:sz w:val="21"/>
                      <w:szCs w:val="21"/>
                      <w:highlight w:val="none"/>
                      <w:vertAlign w:val="baseline"/>
                      <w:lang w:val="en-US" w:eastAsia="zh-CN"/>
                    </w:rPr>
                  </w:pPr>
                </w:p>
              </w:tc>
              <w:tc>
                <w:tcPr>
                  <w:tcW w:w="1845" w:type="dxa"/>
                  <w:tcBorders>
                    <w:tl2br w:val="nil"/>
                    <w:tr2bl w:val="nil"/>
                  </w:tcBorders>
                  <w:vAlign w:val="center"/>
                </w:tcPr>
                <w:p w14:paraId="5812DE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val="0"/>
                      <w:bCs/>
                      <w:color w:val="auto"/>
                      <w:sz w:val="21"/>
                      <w:szCs w:val="21"/>
                      <w:highlight w:val="none"/>
                      <w:vertAlign w:val="baseline"/>
                      <w:lang w:val="en-US" w:eastAsia="zh-CN"/>
                    </w:rPr>
                  </w:pPr>
                  <w:r>
                    <w:rPr>
                      <w:rFonts w:hint="eastAsia" w:cs="Times New Roman"/>
                      <w:color w:val="auto"/>
                      <w:kern w:val="0"/>
                      <w:sz w:val="21"/>
                      <w:szCs w:val="21"/>
                      <w:highlight w:val="none"/>
                      <w:lang w:val="en-US" w:eastAsia="zh-CN" w:bidi="ar"/>
                    </w:rPr>
                    <w:t>在线筒仓</w:t>
                  </w:r>
                </w:p>
              </w:tc>
              <w:tc>
                <w:tcPr>
                  <w:tcW w:w="3996" w:type="dxa"/>
                  <w:tcBorders>
                    <w:tl2br w:val="nil"/>
                    <w:tr2bl w:val="nil"/>
                  </w:tcBorders>
                  <w:vAlign w:val="center"/>
                </w:tcPr>
                <w:p w14:paraId="60CF834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封闭设置，物料通过与之连接的封闭管道输送。产生的颗粒物无组织排放</w:t>
                  </w:r>
                </w:p>
              </w:tc>
            </w:tr>
            <w:tr w14:paraId="4AD41D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7" w:hRule="atLeast"/>
                <w:jc w:val="center"/>
              </w:trPr>
              <w:tc>
                <w:tcPr>
                  <w:tcW w:w="718" w:type="dxa"/>
                  <w:vMerge w:val="continue"/>
                  <w:tcBorders>
                    <w:tl2br w:val="nil"/>
                    <w:tr2bl w:val="nil"/>
                  </w:tcBorders>
                  <w:vAlign w:val="center"/>
                </w:tcPr>
                <w:p w14:paraId="09F1C4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379" w:type="dxa"/>
                  <w:tcBorders>
                    <w:tl2br w:val="nil"/>
                    <w:tr2bl w:val="nil"/>
                  </w:tcBorders>
                  <w:vAlign w:val="center"/>
                </w:tcPr>
                <w:p w14:paraId="76AD51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无组织挥发性有机物</w:t>
                  </w:r>
                </w:p>
              </w:tc>
              <w:tc>
                <w:tcPr>
                  <w:tcW w:w="1845" w:type="dxa"/>
                  <w:tcBorders>
                    <w:tl2br w:val="nil"/>
                    <w:tr2bl w:val="nil"/>
                  </w:tcBorders>
                  <w:vAlign w:val="center"/>
                </w:tcPr>
                <w:p w14:paraId="4D5DFB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highlight w:val="none"/>
                      <w:lang w:val="en-US" w:eastAsia="zh-CN" w:bidi="ar"/>
                    </w:rPr>
                  </w:pPr>
                  <w:r>
                    <w:rPr>
                      <w:rFonts w:hint="eastAsia" w:cs="Times New Roman"/>
                      <w:b w:val="0"/>
                      <w:bCs/>
                      <w:color w:val="auto"/>
                      <w:sz w:val="21"/>
                      <w:szCs w:val="21"/>
                      <w:highlight w:val="none"/>
                      <w:vertAlign w:val="baseline"/>
                      <w:lang w:val="en-US" w:eastAsia="zh-CN"/>
                    </w:rPr>
                    <w:t>热萃取</w:t>
                  </w:r>
                </w:p>
              </w:tc>
              <w:tc>
                <w:tcPr>
                  <w:tcW w:w="3996" w:type="dxa"/>
                  <w:tcBorders>
                    <w:tl2br w:val="nil"/>
                    <w:tr2bl w:val="nil"/>
                  </w:tcBorders>
                  <w:vAlign w:val="center"/>
                </w:tcPr>
                <w:p w14:paraId="2E868F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生产车间、设备全封闭，无组织排放</w:t>
                  </w:r>
                </w:p>
              </w:tc>
            </w:tr>
          </w:tbl>
          <w:p w14:paraId="0FAC7D37">
            <w:pPr>
              <w:keepNext w:val="0"/>
              <w:keepLines w:val="0"/>
              <w:pageBreakBefore w:val="0"/>
              <w:kinsoku/>
              <w:wordWrap/>
              <w:overflowPunct/>
              <w:topLinePunct w:val="0"/>
              <w:autoSpaceDE/>
              <w:autoSpaceDN/>
              <w:bidi w:val="0"/>
              <w:spacing w:line="360" w:lineRule="auto"/>
              <w:rPr>
                <w:rFonts w:hint="default" w:ascii="Times New Roman" w:hAnsi="Times New Roman" w:eastAsia="宋体" w:cs="Times New Roman"/>
                <w:b/>
                <w:color w:val="auto"/>
                <w:sz w:val="24"/>
                <w:szCs w:val="21"/>
                <w:highlight w:val="none"/>
                <w:lang w:eastAsia="zh-CN"/>
              </w:rPr>
            </w:pPr>
          </w:p>
        </w:tc>
      </w:tr>
      <w:tr w14:paraId="4E1A2B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5" w:hRule="atLeast"/>
          <w:jc w:val="center"/>
        </w:trPr>
        <w:tc>
          <w:tcPr>
            <w:tcW w:w="760" w:type="dxa"/>
            <w:vAlign w:val="center"/>
          </w:tcPr>
          <w:p w14:paraId="2918090B">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b/>
                <w:bCs w:val="0"/>
                <w:color w:val="auto"/>
                <w:kern w:val="2"/>
                <w:szCs w:val="24"/>
                <w:highlight w:val="none"/>
              </w:rPr>
              <w:t>与项目有关的原有环境污染问题</w:t>
            </w:r>
          </w:p>
        </w:tc>
        <w:tc>
          <w:tcPr>
            <w:tcW w:w="8064" w:type="dxa"/>
            <w:vAlign w:val="top"/>
          </w:tcPr>
          <w:p w14:paraId="2E80684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both"/>
              <w:textAlignment w:val="auto"/>
              <w:rPr>
                <w:rFonts w:hint="eastAsia" w:cs="Times New Roman"/>
                <w:bCs/>
                <w:color w:val="auto"/>
                <w:sz w:val="24"/>
                <w:highlight w:val="none"/>
                <w:lang w:val="en-US" w:eastAsia="zh-CN"/>
              </w:rPr>
            </w:pPr>
            <w:r>
              <w:rPr>
                <w:rFonts w:hint="eastAsia" w:cs="Times New Roman"/>
                <w:bCs/>
                <w:color w:val="auto"/>
                <w:sz w:val="24"/>
                <w:highlight w:val="none"/>
                <w:lang w:val="en-US" w:eastAsia="zh-CN"/>
              </w:rPr>
              <w:t>本项目属于新建项目，不存在原有的污染情况和环境问题。</w:t>
            </w:r>
          </w:p>
          <w:p w14:paraId="48C36F3F">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宋体" w:cs="Times New Roman"/>
                <w:b w:val="0"/>
                <w:bCs/>
                <w:color w:val="auto"/>
                <w:sz w:val="24"/>
                <w:szCs w:val="24"/>
                <w:highlight w:val="none"/>
                <w:lang w:eastAsia="zh-CN"/>
              </w:rPr>
            </w:pPr>
            <w:r>
              <w:rPr>
                <w:rFonts w:hint="eastAsia" w:ascii="Times New Roman" w:hAnsi="Times New Roman" w:eastAsia="宋体" w:cs="Times New Roman"/>
                <w:b w:val="0"/>
                <w:bCs/>
                <w:color w:val="auto"/>
                <w:sz w:val="24"/>
                <w:szCs w:val="24"/>
                <w:highlight w:val="none"/>
                <w:lang w:val="en-US" w:eastAsia="zh-CN"/>
              </w:rPr>
              <w:t>1、厂区现有工程环保手续履行情况见上表2-1，</w:t>
            </w:r>
            <w:r>
              <w:rPr>
                <w:rFonts w:hint="eastAsia" w:ascii="Times New Roman" w:hAnsi="Times New Roman" w:eastAsia="宋体" w:cs="Times New Roman"/>
                <w:b w:val="0"/>
                <w:bCs/>
                <w:color w:val="auto"/>
                <w:sz w:val="24"/>
                <w:szCs w:val="24"/>
                <w:highlight w:val="none"/>
              </w:rPr>
              <w:t>现有工程污染物</w:t>
            </w:r>
            <w:r>
              <w:rPr>
                <w:rFonts w:hint="eastAsia" w:ascii="Times New Roman" w:hAnsi="Times New Roman" w:eastAsia="宋体" w:cs="Times New Roman"/>
                <w:b w:val="0"/>
                <w:bCs/>
                <w:color w:val="auto"/>
                <w:sz w:val="24"/>
                <w:szCs w:val="24"/>
                <w:highlight w:val="none"/>
                <w:lang w:val="en-US" w:eastAsia="zh-CN"/>
              </w:rPr>
              <w:t>达标</w:t>
            </w:r>
            <w:r>
              <w:rPr>
                <w:rFonts w:hint="eastAsia" w:ascii="Times New Roman" w:hAnsi="Times New Roman" w:eastAsia="宋体" w:cs="Times New Roman"/>
                <w:b w:val="0"/>
                <w:bCs/>
                <w:color w:val="auto"/>
                <w:sz w:val="24"/>
                <w:szCs w:val="24"/>
                <w:highlight w:val="none"/>
              </w:rPr>
              <w:t>情况</w:t>
            </w:r>
            <w:r>
              <w:rPr>
                <w:rFonts w:hint="eastAsia" w:ascii="Times New Roman" w:hAnsi="Times New Roman" w:eastAsia="宋体" w:cs="Times New Roman"/>
                <w:b w:val="0"/>
                <w:bCs/>
                <w:color w:val="auto"/>
                <w:sz w:val="24"/>
                <w:szCs w:val="24"/>
                <w:highlight w:val="none"/>
                <w:lang w:val="en-US" w:eastAsia="zh-CN"/>
              </w:rPr>
              <w:t>如下</w:t>
            </w:r>
            <w:r>
              <w:rPr>
                <w:rFonts w:hint="eastAsia" w:ascii="Times New Roman" w:hAnsi="Times New Roman" w:eastAsia="宋体" w:cs="Times New Roman"/>
                <w:b w:val="0"/>
                <w:bCs/>
                <w:color w:val="auto"/>
                <w:sz w:val="24"/>
                <w:szCs w:val="24"/>
                <w:highlight w:val="none"/>
                <w:lang w:eastAsia="zh-CN"/>
              </w:rPr>
              <w:t>：</w:t>
            </w:r>
          </w:p>
          <w:p w14:paraId="75D88F24">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rPr>
              <w:t>（1）废气</w:t>
            </w:r>
            <w:r>
              <w:rPr>
                <w:rFonts w:hint="eastAsia" w:ascii="Times New Roman" w:hAnsi="Times New Roman" w:eastAsia="宋体" w:cs="Times New Roman"/>
                <w:color w:val="auto"/>
                <w:sz w:val="24"/>
                <w:szCs w:val="24"/>
                <w:highlight w:val="none"/>
                <w:lang w:eastAsia="zh-CN"/>
              </w:rPr>
              <w:t>：</w:t>
            </w:r>
          </w:p>
          <w:p w14:paraId="1CCDE24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例行监测期间</w:t>
            </w: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天然气锅炉排气筒</w:t>
            </w:r>
            <w:r>
              <w:rPr>
                <w:rFonts w:hint="eastAsia" w:ascii="Times New Roman" w:hAnsi="Times New Roman" w:eastAsia="宋体" w:cs="Times New Roman"/>
                <w:color w:val="auto"/>
                <w:sz w:val="24"/>
                <w:szCs w:val="24"/>
                <w:highlight w:val="none"/>
              </w:rPr>
              <w:t>出口二氧化硫排放浓度为</w:t>
            </w:r>
            <w:r>
              <w:rPr>
                <w:rFonts w:hint="eastAsia" w:ascii="Times New Roman" w:hAnsi="Times New Roman" w:eastAsia="宋体" w:cs="Times New Roman"/>
                <w:color w:val="auto"/>
                <w:sz w:val="24"/>
                <w:szCs w:val="24"/>
                <w:highlight w:val="none"/>
                <w:lang w:val="en-US" w:eastAsia="zh-CN"/>
              </w:rPr>
              <w:t>6~10</w:t>
            </w:r>
            <w:r>
              <w:rPr>
                <w:rFonts w:ascii="Times New Roman" w:hAnsi="Times New Roman" w:eastAsia="宋体" w:cs="Times New Roman"/>
                <w:color w:val="auto"/>
                <w:sz w:val="24"/>
                <w:szCs w:val="24"/>
                <w:highlight w:val="none"/>
              </w:rPr>
              <w:t>mg/m</w:t>
            </w:r>
            <w:r>
              <w:rPr>
                <w:rFonts w:ascii="Times New Roman" w:hAnsi="Times New Roman" w:eastAsia="宋体" w:cs="Times New Roman"/>
                <w:color w:val="auto"/>
                <w:sz w:val="24"/>
                <w:szCs w:val="24"/>
                <w:highlight w:val="none"/>
                <w:vertAlign w:val="superscript"/>
              </w:rPr>
              <w:t>3</w:t>
            </w:r>
            <w:r>
              <w:rPr>
                <w:rFonts w:hint="eastAsia" w:ascii="Times New Roman" w:hAnsi="Times New Roman" w:eastAsia="宋体" w:cs="Times New Roman"/>
                <w:color w:val="auto"/>
                <w:sz w:val="24"/>
                <w:szCs w:val="24"/>
                <w:highlight w:val="none"/>
              </w:rPr>
              <w:t>；氮氧化物排放浓度为</w:t>
            </w:r>
            <w:r>
              <w:rPr>
                <w:rFonts w:hint="eastAsia" w:ascii="Times New Roman" w:hAnsi="Times New Roman" w:eastAsia="宋体" w:cs="Times New Roman"/>
                <w:color w:val="auto"/>
                <w:sz w:val="24"/>
                <w:szCs w:val="24"/>
                <w:highlight w:val="none"/>
                <w:lang w:val="en-US" w:eastAsia="zh-CN"/>
              </w:rPr>
              <w:t>94~102</w:t>
            </w:r>
            <w:r>
              <w:rPr>
                <w:rFonts w:ascii="Times New Roman" w:hAnsi="Times New Roman" w:eastAsia="宋体" w:cs="Times New Roman"/>
                <w:color w:val="auto"/>
                <w:sz w:val="24"/>
                <w:szCs w:val="24"/>
                <w:highlight w:val="none"/>
              </w:rPr>
              <w:t>mg/m</w:t>
            </w:r>
            <w:r>
              <w:rPr>
                <w:rFonts w:ascii="Times New Roman" w:hAnsi="Times New Roman" w:eastAsia="宋体" w:cs="Times New Roman"/>
                <w:color w:val="auto"/>
                <w:sz w:val="24"/>
                <w:szCs w:val="24"/>
                <w:highlight w:val="none"/>
                <w:vertAlign w:val="superscript"/>
              </w:rPr>
              <w:t>3</w:t>
            </w:r>
            <w:r>
              <w:rPr>
                <w:rFonts w:hint="eastAsia" w:ascii="Times New Roman" w:hAnsi="Times New Roman" w:eastAsia="宋体" w:cs="Times New Roman"/>
                <w:color w:val="auto"/>
                <w:sz w:val="24"/>
                <w:szCs w:val="24"/>
                <w:highlight w:val="none"/>
              </w:rPr>
              <w:t>；颗粒物排放浓度为</w:t>
            </w:r>
            <w:r>
              <w:rPr>
                <w:rFonts w:hint="eastAsia" w:ascii="Times New Roman" w:hAnsi="Times New Roman" w:eastAsia="宋体" w:cs="Times New Roman"/>
                <w:color w:val="auto"/>
                <w:sz w:val="24"/>
                <w:szCs w:val="24"/>
                <w:highlight w:val="none"/>
                <w:lang w:val="en-US" w:eastAsia="zh-CN"/>
              </w:rPr>
              <w:t>2~2.5</w:t>
            </w:r>
            <w:r>
              <w:rPr>
                <w:rFonts w:ascii="Times New Roman" w:hAnsi="Times New Roman" w:eastAsia="宋体" w:cs="Times New Roman"/>
                <w:color w:val="auto"/>
                <w:sz w:val="24"/>
                <w:szCs w:val="24"/>
                <w:highlight w:val="none"/>
              </w:rPr>
              <w:t>mg/m</w:t>
            </w:r>
            <w:r>
              <w:rPr>
                <w:rFonts w:ascii="Times New Roman" w:hAnsi="Times New Roman" w:eastAsia="宋体" w:cs="Times New Roman"/>
                <w:color w:val="auto"/>
                <w:sz w:val="24"/>
                <w:szCs w:val="24"/>
                <w:highlight w:val="none"/>
                <w:vertAlign w:val="superscript"/>
              </w:rPr>
              <w:t>3</w:t>
            </w:r>
            <w:r>
              <w:rPr>
                <w:rFonts w:hint="eastAsia" w:ascii="Times New Roman" w:hAnsi="Times New Roman" w:eastAsia="宋体" w:cs="Times New Roman"/>
                <w:color w:val="auto"/>
                <w:sz w:val="24"/>
                <w:szCs w:val="24"/>
                <w:highlight w:val="none"/>
              </w:rPr>
              <w:t>。锅炉烟囱二氧化硫、氮氧化物、颗粒物、汞及其化合物排放浓度及烟气黑度（林格曼黑度）均符合《锅炉大气污染物排放标准》（</w:t>
            </w:r>
            <w:r>
              <w:rPr>
                <w:rFonts w:ascii="Times New Roman" w:hAnsi="Times New Roman" w:eastAsia="宋体" w:cs="Times New Roman"/>
                <w:color w:val="auto"/>
                <w:sz w:val="24"/>
                <w:szCs w:val="24"/>
                <w:highlight w:val="none"/>
              </w:rPr>
              <w:t>GB1321-2014</w:t>
            </w:r>
            <w:r>
              <w:rPr>
                <w:rFonts w:hint="eastAsia" w:ascii="Times New Roman" w:hAnsi="Times New Roman" w:eastAsia="宋体" w:cs="Times New Roman"/>
                <w:color w:val="auto"/>
                <w:sz w:val="24"/>
                <w:szCs w:val="24"/>
                <w:highlight w:val="none"/>
              </w:rPr>
              <w:t>）表</w:t>
            </w:r>
            <w:r>
              <w:rPr>
                <w:rFonts w:ascii="Times New Roman" w:hAnsi="Times New Roman" w:eastAsia="宋体" w:cs="Times New Roman"/>
                <w:color w:val="auto"/>
                <w:sz w:val="24"/>
                <w:szCs w:val="24"/>
                <w:highlight w:val="none"/>
              </w:rPr>
              <w:t>2</w:t>
            </w:r>
            <w:r>
              <w:rPr>
                <w:rFonts w:hint="eastAsia" w:ascii="Times New Roman" w:hAnsi="Times New Roman" w:eastAsia="宋体" w:cs="Times New Roman"/>
                <w:color w:val="auto"/>
                <w:sz w:val="24"/>
                <w:szCs w:val="24"/>
                <w:highlight w:val="none"/>
              </w:rPr>
              <w:t>中</w:t>
            </w:r>
            <w:r>
              <w:rPr>
                <w:rFonts w:hint="eastAsia" w:ascii="Times New Roman" w:hAnsi="Times New Roman" w:eastAsia="宋体" w:cs="Times New Roman"/>
                <w:color w:val="auto"/>
                <w:sz w:val="24"/>
                <w:szCs w:val="24"/>
                <w:highlight w:val="none"/>
                <w:lang w:val="en-US" w:eastAsia="zh-CN"/>
              </w:rPr>
              <w:t>标准燃气锅炉</w:t>
            </w:r>
            <w:r>
              <w:rPr>
                <w:rFonts w:hint="eastAsia" w:ascii="Times New Roman" w:hAnsi="Times New Roman" w:eastAsia="宋体" w:cs="Times New Roman"/>
                <w:color w:val="auto"/>
                <w:sz w:val="24"/>
                <w:szCs w:val="24"/>
                <w:highlight w:val="none"/>
              </w:rPr>
              <w:t>排放标准限值。</w:t>
            </w:r>
          </w:p>
          <w:p w14:paraId="048E906B">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例行</w:t>
            </w:r>
            <w:r>
              <w:rPr>
                <w:rFonts w:hint="eastAsia" w:ascii="Times New Roman" w:hAnsi="Times New Roman" w:eastAsia="宋体" w:cs="Times New Roman"/>
                <w:color w:val="auto"/>
                <w:sz w:val="24"/>
                <w:szCs w:val="24"/>
                <w:highlight w:val="none"/>
              </w:rPr>
              <w:t>监测期</w:t>
            </w:r>
            <w:r>
              <w:rPr>
                <w:rFonts w:hint="eastAsia" w:ascii="Times New Roman" w:hAnsi="Times New Roman" w:eastAsia="宋体" w:cs="Times New Roman"/>
                <w:color w:val="auto"/>
                <w:sz w:val="24"/>
                <w:szCs w:val="24"/>
                <w:highlight w:val="none"/>
                <w:lang w:val="en-US" w:eastAsia="zh-CN"/>
              </w:rPr>
              <w:t>污水处理站</w:t>
            </w:r>
            <w:r>
              <w:rPr>
                <w:rFonts w:hint="eastAsia" w:ascii="Times New Roman" w:hAnsi="Times New Roman" w:eastAsia="宋体" w:cs="Times New Roman"/>
                <w:color w:val="auto"/>
                <w:sz w:val="24"/>
                <w:szCs w:val="24"/>
                <w:highlight w:val="none"/>
              </w:rPr>
              <w:t>废气排气筒出口</w:t>
            </w:r>
            <w:r>
              <w:rPr>
                <w:rFonts w:hint="eastAsia" w:ascii="Times New Roman" w:hAnsi="Times New Roman" w:eastAsia="宋体" w:cs="Times New Roman"/>
                <w:color w:val="auto"/>
                <w:sz w:val="24"/>
                <w:szCs w:val="24"/>
                <w:highlight w:val="none"/>
                <w:lang w:val="en-US" w:eastAsia="zh-CN"/>
              </w:rPr>
              <w:t>硫化氢</w:t>
            </w:r>
            <w:r>
              <w:rPr>
                <w:rFonts w:hint="eastAsia" w:ascii="Times New Roman" w:hAnsi="Times New Roman" w:eastAsia="宋体" w:cs="Times New Roman"/>
                <w:color w:val="auto"/>
                <w:sz w:val="24"/>
                <w:szCs w:val="24"/>
                <w:highlight w:val="none"/>
              </w:rPr>
              <w:t>排放浓度为</w:t>
            </w:r>
            <w:r>
              <w:rPr>
                <w:rFonts w:hint="eastAsia" w:ascii="Times New Roman" w:hAnsi="Times New Roman" w:eastAsia="宋体" w:cs="Times New Roman"/>
                <w:color w:val="auto"/>
                <w:sz w:val="24"/>
                <w:szCs w:val="24"/>
                <w:highlight w:val="none"/>
                <w:lang w:val="en-US" w:eastAsia="zh-CN"/>
              </w:rPr>
              <w:t>0.179</w:t>
            </w: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0.197</w:t>
            </w:r>
            <w:r>
              <w:rPr>
                <w:rFonts w:ascii="Times New Roman" w:hAnsi="Times New Roman" w:eastAsia="宋体" w:cs="Times New Roman"/>
                <w:color w:val="auto"/>
                <w:sz w:val="24"/>
                <w:szCs w:val="24"/>
                <w:highlight w:val="none"/>
              </w:rPr>
              <w:t>mg/m</w:t>
            </w:r>
            <w:r>
              <w:rPr>
                <w:rFonts w:ascii="Times New Roman" w:hAnsi="Times New Roman" w:eastAsia="宋体" w:cs="Times New Roman"/>
                <w:color w:val="auto"/>
                <w:sz w:val="24"/>
                <w:szCs w:val="24"/>
                <w:highlight w:val="none"/>
                <w:vertAlign w:val="superscript"/>
              </w:rPr>
              <w:t>3</w:t>
            </w: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氨</w:t>
            </w:r>
            <w:r>
              <w:rPr>
                <w:rFonts w:hint="eastAsia" w:ascii="Times New Roman" w:hAnsi="Times New Roman" w:eastAsia="宋体" w:cs="Times New Roman"/>
                <w:color w:val="auto"/>
                <w:sz w:val="24"/>
                <w:szCs w:val="24"/>
                <w:highlight w:val="none"/>
              </w:rPr>
              <w:t>排放浓度为</w:t>
            </w:r>
            <w:r>
              <w:rPr>
                <w:rFonts w:hint="eastAsia" w:ascii="Times New Roman" w:hAnsi="Times New Roman" w:eastAsia="宋体" w:cs="Times New Roman"/>
                <w:color w:val="auto"/>
                <w:sz w:val="24"/>
                <w:szCs w:val="24"/>
                <w:highlight w:val="none"/>
                <w:lang w:val="en-US" w:eastAsia="zh-CN"/>
              </w:rPr>
              <w:t>7.69~9.09</w:t>
            </w:r>
            <w:r>
              <w:rPr>
                <w:rFonts w:ascii="Times New Roman" w:hAnsi="Times New Roman" w:eastAsia="宋体" w:cs="Times New Roman"/>
                <w:color w:val="auto"/>
                <w:sz w:val="24"/>
                <w:szCs w:val="24"/>
                <w:highlight w:val="none"/>
              </w:rPr>
              <w:t>mg/m</w:t>
            </w:r>
            <w:r>
              <w:rPr>
                <w:rFonts w:ascii="Times New Roman" w:hAnsi="Times New Roman" w:eastAsia="宋体" w:cs="Times New Roman"/>
                <w:color w:val="auto"/>
                <w:sz w:val="24"/>
                <w:szCs w:val="24"/>
                <w:highlight w:val="none"/>
                <w:vertAlign w:val="superscript"/>
              </w:rPr>
              <w:t>3</w:t>
            </w: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臭气（无量纲）977~1318</w:t>
            </w:r>
            <w:r>
              <w:rPr>
                <w:rFonts w:hint="eastAsia" w:ascii="Times New Roman" w:hAnsi="Times New Roman" w:eastAsia="宋体" w:cs="Times New Roman"/>
                <w:color w:val="auto"/>
                <w:sz w:val="24"/>
                <w:szCs w:val="24"/>
                <w:highlight w:val="none"/>
              </w:rPr>
              <w:t>，均满足《</w:t>
            </w:r>
            <w:r>
              <w:rPr>
                <w:rFonts w:hint="eastAsia" w:ascii="Times New Roman" w:hAnsi="Times New Roman" w:eastAsia="宋体" w:cs="Times New Roman"/>
                <w:color w:val="auto"/>
                <w:sz w:val="24"/>
                <w:szCs w:val="24"/>
                <w:highlight w:val="none"/>
                <w:lang w:val="en-US" w:eastAsia="zh-CN"/>
              </w:rPr>
              <w:t>恶臭污染物排放标准</w:t>
            </w:r>
            <w:r>
              <w:rPr>
                <w:rFonts w:hint="eastAsia" w:ascii="Times New Roman" w:hAnsi="Times New Roman" w:eastAsia="宋体" w:cs="Times New Roman"/>
                <w:color w:val="auto"/>
                <w:sz w:val="24"/>
                <w:szCs w:val="24"/>
                <w:highlight w:val="none"/>
              </w:rPr>
              <w:t>》（</w:t>
            </w:r>
            <w:r>
              <w:rPr>
                <w:rFonts w:ascii="Times New Roman" w:hAnsi="Times New Roman" w:eastAsia="宋体" w:cs="Times New Roman"/>
                <w:color w:val="auto"/>
                <w:sz w:val="24"/>
                <w:szCs w:val="24"/>
                <w:highlight w:val="none"/>
              </w:rPr>
              <w:t>GB</w:t>
            </w:r>
            <w:r>
              <w:rPr>
                <w:rFonts w:hint="eastAsia" w:ascii="Times New Roman" w:hAnsi="Times New Roman" w:eastAsia="宋体" w:cs="Times New Roman"/>
                <w:color w:val="auto"/>
                <w:sz w:val="24"/>
                <w:szCs w:val="24"/>
                <w:highlight w:val="none"/>
                <w:lang w:val="en-US" w:eastAsia="zh-CN"/>
              </w:rPr>
              <w:t>14554-93</w:t>
            </w:r>
            <w:r>
              <w:rPr>
                <w:rFonts w:hint="eastAsia" w:ascii="Times New Roman" w:hAnsi="Times New Roman" w:eastAsia="宋体" w:cs="Times New Roman"/>
                <w:color w:val="auto"/>
                <w:sz w:val="24"/>
                <w:szCs w:val="24"/>
                <w:highlight w:val="none"/>
              </w:rPr>
              <w:t>）表</w:t>
            </w:r>
            <w:r>
              <w:rPr>
                <w:rFonts w:ascii="Times New Roman" w:hAnsi="Times New Roman" w:eastAsia="宋体" w:cs="Times New Roman"/>
                <w:color w:val="auto"/>
                <w:sz w:val="24"/>
                <w:szCs w:val="24"/>
                <w:highlight w:val="none"/>
              </w:rPr>
              <w:t>2</w:t>
            </w:r>
            <w:r>
              <w:rPr>
                <w:rFonts w:hint="eastAsia" w:ascii="Times New Roman" w:hAnsi="Times New Roman" w:eastAsia="宋体" w:cs="Times New Roman"/>
                <w:color w:val="auto"/>
                <w:sz w:val="24"/>
                <w:szCs w:val="24"/>
                <w:highlight w:val="none"/>
              </w:rPr>
              <w:t>中排放标准限值。</w:t>
            </w:r>
          </w:p>
          <w:p w14:paraId="0757D27C">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例行</w:t>
            </w:r>
            <w:r>
              <w:rPr>
                <w:rFonts w:hint="eastAsia" w:ascii="Times New Roman" w:hAnsi="Times New Roman" w:eastAsia="宋体" w:cs="Times New Roman"/>
                <w:color w:val="auto"/>
                <w:sz w:val="24"/>
                <w:szCs w:val="24"/>
                <w:highlight w:val="none"/>
              </w:rPr>
              <w:t>监测期间项目所在区域最大风速为</w:t>
            </w:r>
            <w:r>
              <w:rPr>
                <w:rFonts w:ascii="Times New Roman" w:hAnsi="Times New Roman" w:eastAsia="宋体" w:cs="Times New Roman"/>
                <w:color w:val="auto"/>
                <w:sz w:val="24"/>
                <w:szCs w:val="24"/>
                <w:highlight w:val="none"/>
              </w:rPr>
              <w:t>1.7m/s</w:t>
            </w:r>
            <w:r>
              <w:rPr>
                <w:rFonts w:hint="eastAsia" w:ascii="Times New Roman" w:hAnsi="Times New Roman" w:eastAsia="宋体" w:cs="Times New Roman"/>
                <w:color w:val="auto"/>
                <w:sz w:val="24"/>
                <w:szCs w:val="24"/>
                <w:highlight w:val="none"/>
              </w:rPr>
              <w:t>，监测结果显示厂界四周颗粒物无组织排放浓度最大值为</w:t>
            </w:r>
            <w:r>
              <w:rPr>
                <w:rFonts w:ascii="Times New Roman" w:hAnsi="Times New Roman" w:eastAsia="宋体" w:cs="Times New Roman"/>
                <w:color w:val="auto"/>
                <w:sz w:val="24"/>
                <w:szCs w:val="24"/>
                <w:highlight w:val="none"/>
              </w:rPr>
              <w:t>0.281mg/m</w:t>
            </w:r>
            <w:r>
              <w:rPr>
                <w:rFonts w:ascii="Times New Roman" w:hAnsi="Times New Roman" w:eastAsia="宋体" w:cs="Times New Roman"/>
                <w:color w:val="auto"/>
                <w:sz w:val="24"/>
                <w:szCs w:val="24"/>
                <w:highlight w:val="none"/>
                <w:vertAlign w:val="superscript"/>
              </w:rPr>
              <w:t>3</w:t>
            </w:r>
            <w:r>
              <w:rPr>
                <w:rFonts w:hint="eastAsia" w:ascii="Times New Roman" w:hAnsi="Times New Roman" w:eastAsia="宋体" w:cs="Times New Roman"/>
                <w:color w:val="auto"/>
                <w:sz w:val="24"/>
                <w:szCs w:val="24"/>
                <w:highlight w:val="none"/>
              </w:rPr>
              <w:t>，满足《大气污染物综合排放标准》（</w:t>
            </w:r>
            <w:r>
              <w:rPr>
                <w:rFonts w:ascii="Times New Roman" w:hAnsi="Times New Roman" w:eastAsia="宋体" w:cs="Times New Roman"/>
                <w:color w:val="auto"/>
                <w:sz w:val="24"/>
                <w:szCs w:val="24"/>
                <w:highlight w:val="none"/>
              </w:rPr>
              <w:t>GB16297-1996</w:t>
            </w:r>
            <w:r>
              <w:rPr>
                <w:rFonts w:hint="eastAsia" w:ascii="Times New Roman" w:hAnsi="Times New Roman" w:eastAsia="宋体" w:cs="Times New Roman"/>
                <w:color w:val="auto"/>
                <w:sz w:val="24"/>
                <w:szCs w:val="24"/>
                <w:highlight w:val="none"/>
              </w:rPr>
              <w:t>）表</w:t>
            </w:r>
            <w:r>
              <w:rPr>
                <w:rFonts w:ascii="Times New Roman" w:hAnsi="Times New Roman" w:eastAsia="宋体" w:cs="Times New Roman"/>
                <w:color w:val="auto"/>
                <w:sz w:val="24"/>
                <w:szCs w:val="24"/>
                <w:highlight w:val="none"/>
              </w:rPr>
              <w:t>2</w:t>
            </w:r>
            <w:r>
              <w:rPr>
                <w:rFonts w:hint="eastAsia" w:ascii="Times New Roman" w:hAnsi="Times New Roman" w:eastAsia="宋体" w:cs="Times New Roman"/>
                <w:color w:val="auto"/>
                <w:sz w:val="24"/>
                <w:szCs w:val="24"/>
                <w:highlight w:val="none"/>
              </w:rPr>
              <w:t>中无组织排放标准要求（颗粒物限值为</w:t>
            </w:r>
            <w:r>
              <w:rPr>
                <w:rFonts w:ascii="Times New Roman" w:hAnsi="Times New Roman" w:eastAsia="宋体" w:cs="Times New Roman"/>
                <w:color w:val="auto"/>
                <w:sz w:val="24"/>
                <w:szCs w:val="24"/>
                <w:highlight w:val="none"/>
              </w:rPr>
              <w:t>1.0mg/m</w:t>
            </w:r>
            <w:r>
              <w:rPr>
                <w:rFonts w:ascii="Times New Roman" w:hAnsi="Times New Roman" w:eastAsia="宋体" w:cs="Times New Roman"/>
                <w:color w:val="auto"/>
                <w:sz w:val="24"/>
                <w:szCs w:val="24"/>
                <w:highlight w:val="none"/>
                <w:vertAlign w:val="superscript"/>
              </w:rPr>
              <w:t>3</w:t>
            </w:r>
            <w:r>
              <w:rPr>
                <w:rFonts w:hint="eastAsia" w:ascii="Times New Roman" w:hAnsi="Times New Roman" w:eastAsia="宋体" w:cs="Times New Roman"/>
                <w:color w:val="auto"/>
                <w:sz w:val="24"/>
                <w:szCs w:val="24"/>
                <w:highlight w:val="none"/>
              </w:rPr>
              <w:t>）。</w:t>
            </w:r>
          </w:p>
          <w:p w14:paraId="545852A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（2）噪声</w:t>
            </w:r>
          </w:p>
          <w:p w14:paraId="07DE4E4B">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例行</w:t>
            </w:r>
            <w:r>
              <w:rPr>
                <w:rFonts w:hint="eastAsia" w:ascii="Times New Roman" w:hAnsi="Times New Roman" w:eastAsia="宋体" w:cs="Times New Roman"/>
                <w:color w:val="auto"/>
                <w:sz w:val="24"/>
                <w:szCs w:val="24"/>
                <w:highlight w:val="none"/>
              </w:rPr>
              <w:t>监测期间项目厂界噪声值昼间值为</w:t>
            </w:r>
            <w:r>
              <w:rPr>
                <w:rFonts w:hint="eastAsia" w:ascii="Times New Roman" w:hAnsi="Times New Roman" w:eastAsia="宋体" w:cs="Times New Roman"/>
                <w:color w:val="auto"/>
                <w:sz w:val="24"/>
                <w:szCs w:val="24"/>
                <w:highlight w:val="none"/>
                <w:lang w:val="en-US" w:eastAsia="zh-CN"/>
              </w:rPr>
              <w:t>51.7~55.1</w:t>
            </w:r>
            <w:r>
              <w:rPr>
                <w:rFonts w:ascii="Times New Roman" w:hAnsi="Times New Roman" w:eastAsia="宋体" w:cs="Times New Roman"/>
                <w:color w:val="auto"/>
                <w:sz w:val="24"/>
                <w:szCs w:val="24"/>
                <w:highlight w:val="none"/>
              </w:rPr>
              <w:t>dB(A)</w:t>
            </w:r>
            <w:r>
              <w:rPr>
                <w:rFonts w:hint="eastAsia" w:ascii="Times New Roman" w:hAnsi="Times New Roman" w:eastAsia="宋体" w:cs="Times New Roman"/>
                <w:color w:val="auto"/>
                <w:sz w:val="24"/>
                <w:szCs w:val="24"/>
                <w:highlight w:val="none"/>
              </w:rPr>
              <w:t>，夜间值为</w:t>
            </w:r>
            <w:r>
              <w:rPr>
                <w:rFonts w:hint="eastAsia" w:ascii="Times New Roman" w:hAnsi="Times New Roman" w:eastAsia="宋体" w:cs="Times New Roman"/>
                <w:color w:val="auto"/>
                <w:sz w:val="24"/>
                <w:szCs w:val="24"/>
                <w:highlight w:val="none"/>
                <w:lang w:val="en-US" w:eastAsia="zh-CN"/>
              </w:rPr>
              <w:t>43.5</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45.9</w:t>
            </w:r>
            <w:r>
              <w:rPr>
                <w:rFonts w:ascii="Times New Roman" w:hAnsi="Times New Roman" w:eastAsia="宋体" w:cs="Times New Roman"/>
                <w:color w:val="auto"/>
                <w:sz w:val="24"/>
                <w:szCs w:val="24"/>
                <w:highlight w:val="none"/>
              </w:rPr>
              <w:t>dB(A)</w:t>
            </w:r>
            <w:r>
              <w:rPr>
                <w:rFonts w:hint="eastAsia" w:ascii="Times New Roman" w:hAnsi="Times New Roman" w:eastAsia="宋体" w:cs="Times New Roman"/>
                <w:color w:val="auto"/>
                <w:sz w:val="24"/>
                <w:szCs w:val="24"/>
                <w:highlight w:val="none"/>
              </w:rPr>
              <w:t>，均满足《工业企业厂界环境噪声排放标准》</w:t>
            </w:r>
            <w:r>
              <w:rPr>
                <w:rFonts w:ascii="Times New Roman" w:hAnsi="Times New Roman" w:eastAsia="宋体" w:cs="Times New Roman"/>
                <w:color w:val="auto"/>
                <w:sz w:val="24"/>
                <w:szCs w:val="24"/>
                <w:highlight w:val="none"/>
              </w:rPr>
              <w:t>(GB12348-2008)3</w:t>
            </w:r>
            <w:r>
              <w:rPr>
                <w:rFonts w:hint="eastAsia" w:ascii="Times New Roman" w:hAnsi="Times New Roman" w:eastAsia="宋体" w:cs="Times New Roman"/>
                <w:color w:val="auto"/>
                <w:sz w:val="24"/>
                <w:szCs w:val="24"/>
                <w:highlight w:val="none"/>
              </w:rPr>
              <w:t>类标准要求（昼间</w:t>
            </w:r>
            <w:r>
              <w:rPr>
                <w:rFonts w:ascii="Times New Roman" w:hAnsi="Times New Roman" w:eastAsia="宋体" w:cs="Times New Roman"/>
                <w:color w:val="auto"/>
                <w:sz w:val="24"/>
                <w:szCs w:val="24"/>
                <w:highlight w:val="none"/>
              </w:rPr>
              <w:t>65dB(A)</w:t>
            </w:r>
            <w:r>
              <w:rPr>
                <w:rFonts w:hint="eastAsia" w:ascii="Times New Roman" w:hAnsi="Times New Roman" w:eastAsia="宋体" w:cs="Times New Roman"/>
                <w:color w:val="auto"/>
                <w:sz w:val="24"/>
                <w:szCs w:val="24"/>
                <w:highlight w:val="none"/>
              </w:rPr>
              <w:t>，夜间</w:t>
            </w:r>
            <w:r>
              <w:rPr>
                <w:rFonts w:ascii="Times New Roman" w:hAnsi="Times New Roman" w:eastAsia="宋体" w:cs="Times New Roman"/>
                <w:color w:val="auto"/>
                <w:sz w:val="24"/>
                <w:szCs w:val="24"/>
                <w:highlight w:val="none"/>
              </w:rPr>
              <w:t>55dB(A)</w:t>
            </w:r>
            <w:r>
              <w:rPr>
                <w:rFonts w:hint="eastAsia" w:ascii="Times New Roman" w:hAnsi="Times New Roman" w:eastAsia="宋体" w:cs="Times New Roman"/>
                <w:color w:val="auto"/>
                <w:sz w:val="24"/>
                <w:szCs w:val="24"/>
                <w:highlight w:val="none"/>
              </w:rPr>
              <w:t>）。</w:t>
            </w:r>
          </w:p>
        </w:tc>
      </w:tr>
    </w:tbl>
    <w:p w14:paraId="351530C1">
      <w:pPr>
        <w:pStyle w:val="20"/>
        <w:jc w:val="center"/>
        <w:rPr>
          <w:rFonts w:hint="eastAsia" w:ascii="宋体" w:hAnsi="宋体" w:eastAsia="宋体" w:cs="宋体"/>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9A5A4F5">
      <w:pPr>
        <w:pStyle w:val="20"/>
        <w:adjustRightInd w:val="0"/>
        <w:snapToGrid w:val="0"/>
        <w:spacing w:before="0" w:beforeAutospacing="0" w:after="0" w:afterAutospacing="0" w:line="14" w:lineRule="auto"/>
        <w:jc w:val="both"/>
        <w:rPr>
          <w:rFonts w:hint="eastAsia" w:ascii="宋体" w:hAnsi="宋体" w:eastAsia="宋体" w:cs="宋体"/>
          <w:snapToGrid w:val="0"/>
          <w:color w:val="auto"/>
          <w:sz w:val="30"/>
          <w:szCs w:val="30"/>
          <w:highlight w:val="none"/>
        </w:rPr>
      </w:pPr>
    </w:p>
    <w:p w14:paraId="62B63B52">
      <w:pPr>
        <w:pStyle w:val="20"/>
        <w:keepNext w:val="0"/>
        <w:keepLines w:val="0"/>
        <w:pageBreakBefore w:val="0"/>
        <w:widowControl/>
        <w:kinsoku/>
        <w:wordWrap/>
        <w:overflowPunct/>
        <w:topLinePunct w:val="0"/>
        <w:autoSpaceDE/>
        <w:autoSpaceDN/>
        <w:bidi w:val="0"/>
        <w:adjustRightInd/>
        <w:snapToGrid/>
        <w:spacing w:line="300" w:lineRule="exact"/>
        <w:jc w:val="center"/>
        <w:textAlignment w:val="auto"/>
        <w:outlineLvl w:val="0"/>
        <w:rPr>
          <w:rFonts w:hint="eastAsia" w:ascii="宋体" w:hAnsi="宋体" w:eastAsia="宋体" w:cs="宋体"/>
          <w:b/>
          <w:bCs/>
          <w:snapToGrid w:val="0"/>
          <w:color w:val="auto"/>
          <w:sz w:val="30"/>
          <w:szCs w:val="30"/>
          <w:highlight w:val="none"/>
        </w:rPr>
      </w:pPr>
      <w:r>
        <w:rPr>
          <w:rFonts w:hint="eastAsia" w:ascii="宋体" w:hAnsi="宋体" w:eastAsia="宋体" w:cs="宋体"/>
          <w:b/>
          <w:bCs/>
          <w:snapToGrid w:val="0"/>
          <w:color w:val="auto"/>
          <w:sz w:val="30"/>
          <w:szCs w:val="30"/>
          <w:highlight w:val="none"/>
        </w:rPr>
        <w:t>三、区域环境质量现状、环境保护目标及评价标准</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3"/>
        <w:gridCol w:w="8572"/>
      </w:tblGrid>
      <w:tr w14:paraId="6ABE1F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5" w:hRule="atLeast"/>
          <w:jc w:val="center"/>
        </w:trPr>
        <w:tc>
          <w:tcPr>
            <w:tcW w:w="453" w:type="dxa"/>
            <w:vAlign w:val="center"/>
          </w:tcPr>
          <w:p w14:paraId="040E9D6C">
            <w:pPr>
              <w:adjustRightInd w:val="0"/>
              <w:snapToGrid w:val="0"/>
              <w:jc w:val="center"/>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kern w:val="0"/>
                <w:sz w:val="24"/>
                <w:highlight w:val="none"/>
              </w:rPr>
              <w:t>区域</w:t>
            </w:r>
          </w:p>
          <w:p w14:paraId="3FB9E98A">
            <w:pPr>
              <w:adjustRightInd w:val="0"/>
              <w:snapToGrid w:val="0"/>
              <w:jc w:val="center"/>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kern w:val="0"/>
                <w:sz w:val="24"/>
                <w:highlight w:val="none"/>
              </w:rPr>
              <w:t>环境</w:t>
            </w:r>
          </w:p>
          <w:p w14:paraId="5A411A8A">
            <w:pPr>
              <w:adjustRightInd w:val="0"/>
              <w:snapToGrid w:val="0"/>
              <w:jc w:val="center"/>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kern w:val="0"/>
                <w:sz w:val="24"/>
                <w:highlight w:val="none"/>
              </w:rPr>
              <w:t>质量</w:t>
            </w:r>
          </w:p>
          <w:p w14:paraId="0EA3FDF2">
            <w:pPr>
              <w:adjustRightInd w:val="0"/>
              <w:snapToGrid w:val="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 w:val="24"/>
                <w:highlight w:val="none"/>
              </w:rPr>
              <w:t>现状</w:t>
            </w:r>
          </w:p>
        </w:tc>
        <w:tc>
          <w:tcPr>
            <w:tcW w:w="8572" w:type="dxa"/>
            <w:vAlign w:val="center"/>
          </w:tcPr>
          <w:p w14:paraId="57192E67">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b/>
                <w:bCs/>
                <w:color w:val="auto"/>
                <w:sz w:val="24"/>
                <w:szCs w:val="21"/>
                <w:highlight w:val="none"/>
              </w:rPr>
            </w:pPr>
            <w:r>
              <w:rPr>
                <w:rFonts w:hint="default" w:ascii="Times New Roman" w:hAnsi="Times New Roman" w:eastAsia="宋体" w:cs="Times New Roman"/>
                <w:color w:val="auto"/>
                <w:kern w:val="0"/>
                <w:sz w:val="24"/>
                <w:szCs w:val="24"/>
                <w:highlight w:val="none"/>
                <w:lang w:val="en-US" w:eastAsia="zh-CN" w:bidi="ar"/>
              </w:rPr>
              <w:t>本项目工程位于内蒙古自治区</w:t>
            </w:r>
            <w:r>
              <w:rPr>
                <w:rFonts w:hint="eastAsia" w:cs="Times New Roman"/>
                <w:color w:val="auto"/>
                <w:kern w:val="0"/>
                <w:sz w:val="24"/>
                <w:szCs w:val="24"/>
                <w:highlight w:val="none"/>
                <w:lang w:val="en-US" w:eastAsia="zh-CN" w:bidi="ar"/>
              </w:rPr>
              <w:t>巴彦淖尔市</w:t>
            </w:r>
            <w:r>
              <w:rPr>
                <w:rFonts w:hint="default" w:ascii="Times New Roman" w:hAnsi="Times New Roman" w:eastAsia="宋体" w:cs="Times New Roman"/>
                <w:color w:val="auto"/>
                <w:kern w:val="0"/>
                <w:sz w:val="24"/>
                <w:highlight w:val="none"/>
                <w:lang w:val="en-US" w:eastAsia="zh-CN"/>
              </w:rPr>
              <w:t>磴口县巴彦高勒镇</w:t>
            </w:r>
            <w:r>
              <w:rPr>
                <w:rFonts w:hint="default" w:ascii="Times New Roman" w:hAnsi="Times New Roman" w:eastAsia="宋体" w:cs="Times New Roman"/>
                <w:color w:val="auto"/>
                <w:kern w:val="0"/>
                <w:sz w:val="24"/>
                <w:szCs w:val="24"/>
                <w:highlight w:val="none"/>
                <w:lang w:val="en-US" w:eastAsia="zh-CN" w:bidi="ar"/>
              </w:rPr>
              <w:t>内，所在地区的环境质量现状分区如下：</w:t>
            </w:r>
          </w:p>
          <w:p w14:paraId="4451F046">
            <w:pPr>
              <w:keepNext w:val="0"/>
              <w:keepLines w:val="0"/>
              <w:pageBreakBefore w:val="0"/>
              <w:numPr>
                <w:ilvl w:val="0"/>
                <w:numId w:val="0"/>
              </w:numPr>
              <w:tabs>
                <w:tab w:val="left" w:pos="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1"/>
                <w:highlight w:val="none"/>
              </w:rPr>
            </w:pPr>
            <w:r>
              <w:rPr>
                <w:rFonts w:hint="default" w:ascii="Times New Roman" w:hAnsi="Times New Roman" w:eastAsia="宋体" w:cs="Times New Roman"/>
                <w:b/>
                <w:bCs/>
                <w:color w:val="auto"/>
                <w:kern w:val="2"/>
                <w:sz w:val="24"/>
                <w:szCs w:val="21"/>
                <w:highlight w:val="none"/>
                <w:lang w:val="en-US" w:eastAsia="zh-CN" w:bidi="ar-SA"/>
              </w:rPr>
              <w:t>1、</w:t>
            </w:r>
            <w:r>
              <w:rPr>
                <w:rFonts w:hint="default" w:ascii="Times New Roman" w:hAnsi="Times New Roman" w:eastAsia="宋体" w:cs="Times New Roman"/>
                <w:b/>
                <w:bCs/>
                <w:color w:val="auto"/>
                <w:sz w:val="24"/>
                <w:szCs w:val="21"/>
                <w:highlight w:val="none"/>
              </w:rPr>
              <w:t>大气环境质量现状</w:t>
            </w:r>
          </w:p>
          <w:p w14:paraId="0AD72CB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1"/>
                <w:highlight w:val="none"/>
                <w:lang w:eastAsia="zh-CN"/>
              </w:rPr>
            </w:pPr>
            <w:r>
              <w:rPr>
                <w:rFonts w:hint="default" w:ascii="Times New Roman" w:hAnsi="Times New Roman" w:eastAsia="宋体" w:cs="Times New Roman"/>
                <w:b w:val="0"/>
                <w:bCs w:val="0"/>
                <w:color w:val="auto"/>
                <w:sz w:val="24"/>
                <w:szCs w:val="21"/>
                <w:highlight w:val="none"/>
                <w:lang w:eastAsia="zh-CN"/>
              </w:rPr>
              <w:t>（1）达标区判定</w:t>
            </w:r>
          </w:p>
          <w:p w14:paraId="6ACED2C0">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本次评价引用202</w:t>
            </w:r>
            <w:r>
              <w:rPr>
                <w:rFonts w:hint="eastAsia"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rPr>
              <w:t>年</w:t>
            </w:r>
            <w:r>
              <w:rPr>
                <w:rFonts w:hint="eastAsia"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rPr>
              <w:t>月发布的《</w:t>
            </w:r>
            <w:r>
              <w:rPr>
                <w:rFonts w:hint="default" w:ascii="Times New Roman" w:hAnsi="Times New Roman" w:eastAsia="宋体" w:cs="Times New Roman"/>
                <w:bCs/>
                <w:color w:val="auto"/>
                <w:sz w:val="24"/>
                <w:szCs w:val="24"/>
                <w:highlight w:val="none"/>
                <w:lang w:val="en-US" w:eastAsia="zh-CN"/>
              </w:rPr>
              <w:t>巴彦淖尔市环境质量状况公报</w:t>
            </w:r>
            <w:r>
              <w:rPr>
                <w:rFonts w:hint="default" w:ascii="Times New Roman" w:hAnsi="Times New Roman" w:eastAsia="宋体" w:cs="Times New Roman"/>
                <w:bCs/>
                <w:color w:val="auto"/>
                <w:sz w:val="24"/>
                <w:szCs w:val="24"/>
                <w:highlight w:val="none"/>
              </w:rPr>
              <w:t>》（202</w:t>
            </w:r>
            <w:r>
              <w:rPr>
                <w:rFonts w:hint="eastAsia"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rPr>
              <w:t>年），202</w:t>
            </w:r>
            <w:r>
              <w:rPr>
                <w:rFonts w:hint="eastAsia"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rPr>
              <w:t>年</w:t>
            </w:r>
            <w:r>
              <w:rPr>
                <w:rFonts w:hint="eastAsia" w:cs="Times New Roman"/>
                <w:bCs/>
                <w:color w:val="auto"/>
                <w:sz w:val="24"/>
                <w:szCs w:val="24"/>
                <w:highlight w:val="none"/>
                <w:lang w:val="en-US" w:eastAsia="zh-CN"/>
              </w:rPr>
              <w:t>巴彦高勒镇</w:t>
            </w:r>
            <w:r>
              <w:rPr>
                <w:rFonts w:hint="default" w:ascii="Times New Roman" w:hAnsi="Times New Roman" w:eastAsia="宋体" w:cs="Times New Roman"/>
                <w:bCs/>
                <w:color w:val="auto"/>
                <w:sz w:val="24"/>
                <w:szCs w:val="24"/>
                <w:highlight w:val="none"/>
              </w:rPr>
              <w:t>基本污染物年均浓度和相应百分位数24h平均或8h平均质量浓度见表3-</w:t>
            </w:r>
            <w:r>
              <w:rPr>
                <w:rFonts w:hint="default" w:ascii="Times New Roman" w:hAnsi="Times New Roman" w:eastAsia="宋体" w:cs="Times New Roman"/>
                <w:bCs/>
                <w:color w:val="auto"/>
                <w:sz w:val="24"/>
                <w:szCs w:val="24"/>
                <w:highlight w:val="none"/>
                <w:lang w:val="en-US" w:eastAsia="zh-CN"/>
              </w:rPr>
              <w:t>1</w:t>
            </w:r>
            <w:r>
              <w:rPr>
                <w:rFonts w:hint="default" w:ascii="Times New Roman" w:hAnsi="Times New Roman" w:eastAsia="宋体" w:cs="Times New Roman"/>
                <w:bCs/>
                <w:color w:val="auto"/>
                <w:sz w:val="24"/>
                <w:szCs w:val="24"/>
                <w:highlight w:val="none"/>
              </w:rPr>
              <w:t>。</w:t>
            </w:r>
          </w:p>
          <w:p w14:paraId="25F212C3">
            <w:pPr>
              <w:spacing w:line="440" w:lineRule="exact"/>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表3-</w:t>
            </w: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 xml:space="preserve">   202</w:t>
            </w:r>
            <w:r>
              <w:rPr>
                <w:rFonts w:hint="eastAsia"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年</w:t>
            </w:r>
            <w:r>
              <w:rPr>
                <w:rFonts w:hint="eastAsia" w:cs="Times New Roman"/>
                <w:b/>
                <w:bCs/>
                <w:color w:val="auto"/>
                <w:sz w:val="24"/>
                <w:szCs w:val="24"/>
                <w:highlight w:val="none"/>
                <w:lang w:val="en-US" w:eastAsia="zh-CN"/>
              </w:rPr>
              <w:t>磴口县</w:t>
            </w:r>
            <w:r>
              <w:rPr>
                <w:rFonts w:hint="default" w:ascii="Times New Roman" w:hAnsi="Times New Roman" w:eastAsia="宋体" w:cs="Times New Roman"/>
                <w:b/>
                <w:bCs/>
                <w:color w:val="auto"/>
                <w:sz w:val="24"/>
                <w:szCs w:val="24"/>
                <w:highlight w:val="none"/>
              </w:rPr>
              <w:t>大气统计结果表</w:t>
            </w:r>
          </w:p>
          <w:tbl>
            <w:tblPr>
              <w:tblStyle w:val="21"/>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863"/>
              <w:gridCol w:w="2614"/>
              <w:gridCol w:w="1218"/>
              <w:gridCol w:w="1382"/>
              <w:gridCol w:w="1465"/>
              <w:gridCol w:w="815"/>
            </w:tblGrid>
            <w:tr w14:paraId="005809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604" w:hRule="atLeast"/>
                <w:jc w:val="center"/>
              </w:trPr>
              <w:tc>
                <w:tcPr>
                  <w:tcW w:w="516" w:type="pct"/>
                  <w:tcBorders>
                    <w:tl2br w:val="nil"/>
                    <w:tr2bl w:val="nil"/>
                  </w:tcBorders>
                  <w:noWrap w:val="0"/>
                  <w:vAlign w:val="center"/>
                </w:tcPr>
                <w:p w14:paraId="671E8A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rPr>
                  </w:pPr>
                  <w:bookmarkStart w:id="8" w:name="_Hlk534718391"/>
                  <w:r>
                    <w:rPr>
                      <w:rFonts w:hint="default" w:ascii="Times New Roman" w:hAnsi="Times New Roman" w:eastAsia="宋体" w:cs="Times New Roman"/>
                      <w:b/>
                      <w:bCs w:val="0"/>
                      <w:color w:val="auto"/>
                      <w:sz w:val="21"/>
                      <w:szCs w:val="21"/>
                      <w:highlight w:val="none"/>
                    </w:rPr>
                    <w:t>污染物</w:t>
                  </w:r>
                </w:p>
              </w:tc>
              <w:tc>
                <w:tcPr>
                  <w:tcW w:w="1563" w:type="pct"/>
                  <w:tcBorders>
                    <w:tl2br w:val="nil"/>
                    <w:tr2bl w:val="nil"/>
                  </w:tcBorders>
                  <w:noWrap w:val="0"/>
                  <w:vAlign w:val="center"/>
                </w:tcPr>
                <w:p w14:paraId="5CF9D6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年评价指标</w:t>
                  </w:r>
                </w:p>
              </w:tc>
              <w:tc>
                <w:tcPr>
                  <w:tcW w:w="728" w:type="pct"/>
                  <w:tcBorders>
                    <w:tl2br w:val="nil"/>
                    <w:tr2bl w:val="nil"/>
                  </w:tcBorders>
                  <w:noWrap w:val="0"/>
                  <w:vAlign w:val="center"/>
                </w:tcPr>
                <w:p w14:paraId="681C05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现状浓度</w:t>
                  </w:r>
                </w:p>
                <w:p w14:paraId="2ED4E0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（μg/m³）</w:t>
                  </w:r>
                </w:p>
              </w:tc>
              <w:tc>
                <w:tcPr>
                  <w:tcW w:w="827" w:type="pct"/>
                  <w:tcBorders>
                    <w:tl2br w:val="nil"/>
                    <w:tr2bl w:val="nil"/>
                  </w:tcBorders>
                  <w:noWrap w:val="0"/>
                  <w:vAlign w:val="center"/>
                </w:tcPr>
                <w:p w14:paraId="2A9981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标准值</w:t>
                  </w:r>
                </w:p>
                <w:p w14:paraId="09FD94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（μg/m³）</w:t>
                  </w:r>
                </w:p>
              </w:tc>
              <w:tc>
                <w:tcPr>
                  <w:tcW w:w="876" w:type="pct"/>
                  <w:tcBorders>
                    <w:tl2br w:val="nil"/>
                    <w:tr2bl w:val="nil"/>
                  </w:tcBorders>
                  <w:noWrap w:val="0"/>
                  <w:vAlign w:val="center"/>
                </w:tcPr>
                <w:p w14:paraId="67AEAE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占标率%</w:t>
                  </w:r>
                </w:p>
              </w:tc>
              <w:tc>
                <w:tcPr>
                  <w:tcW w:w="487" w:type="pct"/>
                  <w:tcBorders>
                    <w:tl2br w:val="nil"/>
                    <w:tr2bl w:val="nil"/>
                  </w:tcBorders>
                  <w:noWrap w:val="0"/>
                  <w:vAlign w:val="center"/>
                </w:tcPr>
                <w:p w14:paraId="30ADE4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达标情况</w:t>
                  </w:r>
                </w:p>
              </w:tc>
            </w:tr>
            <w:tr w14:paraId="2BEF09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19" w:hRule="atLeast"/>
                <w:jc w:val="center"/>
              </w:trPr>
              <w:tc>
                <w:tcPr>
                  <w:tcW w:w="516" w:type="pct"/>
                  <w:tcBorders>
                    <w:tl2br w:val="nil"/>
                    <w:tr2bl w:val="nil"/>
                  </w:tcBorders>
                  <w:noWrap w:val="0"/>
                  <w:vAlign w:val="center"/>
                </w:tcPr>
                <w:p w14:paraId="3648F8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563" w:type="pct"/>
                  <w:tcBorders>
                    <w:tl2br w:val="nil"/>
                    <w:tr2bl w:val="nil"/>
                  </w:tcBorders>
                  <w:noWrap w:val="0"/>
                  <w:vAlign w:val="center"/>
                </w:tcPr>
                <w:p w14:paraId="646F27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年均浓度</w:t>
                  </w:r>
                </w:p>
              </w:tc>
              <w:tc>
                <w:tcPr>
                  <w:tcW w:w="728" w:type="pct"/>
                  <w:tcBorders>
                    <w:tl2br w:val="nil"/>
                    <w:tr2bl w:val="nil"/>
                  </w:tcBorders>
                  <w:noWrap w:val="0"/>
                  <w:vAlign w:val="center"/>
                </w:tcPr>
                <w:p w14:paraId="355DAA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827" w:type="pct"/>
                  <w:tcBorders>
                    <w:tl2br w:val="nil"/>
                    <w:tr2bl w:val="nil"/>
                  </w:tcBorders>
                  <w:noWrap w:val="0"/>
                  <w:vAlign w:val="center"/>
                </w:tcPr>
                <w:p w14:paraId="034249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876" w:type="pct"/>
                  <w:tcBorders>
                    <w:tl2br w:val="nil"/>
                    <w:tr2bl w:val="nil"/>
                  </w:tcBorders>
                  <w:noWrap w:val="0"/>
                  <w:vAlign w:val="center"/>
                </w:tcPr>
                <w:p w14:paraId="4F2B6301">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16.67</w:t>
                  </w:r>
                </w:p>
              </w:tc>
              <w:tc>
                <w:tcPr>
                  <w:tcW w:w="487" w:type="pct"/>
                  <w:vMerge w:val="restart"/>
                  <w:tcBorders>
                    <w:tl2br w:val="nil"/>
                    <w:tr2bl w:val="nil"/>
                  </w:tcBorders>
                  <w:noWrap w:val="0"/>
                  <w:vAlign w:val="center"/>
                </w:tcPr>
                <w:p w14:paraId="3AF95A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bidi="zh-CN"/>
                    </w:rPr>
                  </w:pPr>
                  <w:r>
                    <w:rPr>
                      <w:rFonts w:hint="default" w:ascii="Times New Roman" w:hAnsi="Times New Roman" w:eastAsia="宋体" w:cs="Times New Roman"/>
                      <w:color w:val="auto"/>
                      <w:sz w:val="21"/>
                      <w:szCs w:val="21"/>
                      <w:highlight w:val="none"/>
                      <w:lang w:bidi="zh-CN"/>
                    </w:rPr>
                    <w:t>达标</w:t>
                  </w:r>
                </w:p>
              </w:tc>
            </w:tr>
            <w:tr w14:paraId="43E1C1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19" w:hRule="atLeast"/>
                <w:jc w:val="center"/>
              </w:trPr>
              <w:tc>
                <w:tcPr>
                  <w:tcW w:w="516" w:type="pct"/>
                  <w:tcBorders>
                    <w:tl2br w:val="nil"/>
                    <w:tr2bl w:val="nil"/>
                  </w:tcBorders>
                  <w:noWrap w:val="0"/>
                  <w:vAlign w:val="center"/>
                </w:tcPr>
                <w:p w14:paraId="69CB75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563" w:type="pct"/>
                  <w:tcBorders>
                    <w:tl2br w:val="nil"/>
                    <w:tr2bl w:val="nil"/>
                  </w:tcBorders>
                  <w:noWrap w:val="0"/>
                  <w:vAlign w:val="center"/>
                </w:tcPr>
                <w:p w14:paraId="2E5026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年均浓度</w:t>
                  </w:r>
                </w:p>
              </w:tc>
              <w:tc>
                <w:tcPr>
                  <w:tcW w:w="728" w:type="pct"/>
                  <w:tcBorders>
                    <w:tl2br w:val="nil"/>
                    <w:tr2bl w:val="nil"/>
                  </w:tcBorders>
                  <w:noWrap w:val="0"/>
                  <w:vAlign w:val="center"/>
                </w:tcPr>
                <w:p w14:paraId="41D901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w:t>
                  </w:r>
                </w:p>
              </w:tc>
              <w:tc>
                <w:tcPr>
                  <w:tcW w:w="827" w:type="pct"/>
                  <w:tcBorders>
                    <w:tl2br w:val="nil"/>
                    <w:tr2bl w:val="nil"/>
                  </w:tcBorders>
                  <w:noWrap w:val="0"/>
                  <w:vAlign w:val="center"/>
                </w:tcPr>
                <w:p w14:paraId="3D2376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876" w:type="pct"/>
                  <w:tcBorders>
                    <w:tl2br w:val="nil"/>
                    <w:tr2bl w:val="nil"/>
                  </w:tcBorders>
                  <w:noWrap w:val="0"/>
                  <w:vAlign w:val="center"/>
                </w:tcPr>
                <w:p w14:paraId="0E3BEF61">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45.00</w:t>
                  </w:r>
                </w:p>
              </w:tc>
              <w:tc>
                <w:tcPr>
                  <w:tcW w:w="487" w:type="pct"/>
                  <w:vMerge w:val="continue"/>
                  <w:tcBorders>
                    <w:tl2br w:val="nil"/>
                    <w:tr2bl w:val="nil"/>
                  </w:tcBorders>
                  <w:noWrap w:val="0"/>
                  <w:vAlign w:val="center"/>
                </w:tcPr>
                <w:p w14:paraId="54D28C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bidi="zh-CN"/>
                    </w:rPr>
                  </w:pPr>
                </w:p>
              </w:tc>
            </w:tr>
            <w:tr w14:paraId="38C716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94" w:hRule="atLeast"/>
                <w:jc w:val="center"/>
              </w:trPr>
              <w:tc>
                <w:tcPr>
                  <w:tcW w:w="516" w:type="pct"/>
                  <w:tcBorders>
                    <w:tl2br w:val="nil"/>
                    <w:tr2bl w:val="nil"/>
                  </w:tcBorders>
                  <w:noWrap w:val="0"/>
                  <w:vAlign w:val="center"/>
                </w:tcPr>
                <w:p w14:paraId="353043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563" w:type="pct"/>
                  <w:tcBorders>
                    <w:tl2br w:val="nil"/>
                    <w:tr2bl w:val="nil"/>
                  </w:tcBorders>
                  <w:noWrap w:val="0"/>
                  <w:vAlign w:val="center"/>
                </w:tcPr>
                <w:p w14:paraId="623306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年均浓度</w:t>
                  </w:r>
                </w:p>
              </w:tc>
              <w:tc>
                <w:tcPr>
                  <w:tcW w:w="728" w:type="pct"/>
                  <w:tcBorders>
                    <w:tl2br w:val="nil"/>
                    <w:tr2bl w:val="nil"/>
                  </w:tcBorders>
                  <w:noWrap w:val="0"/>
                  <w:vAlign w:val="center"/>
                </w:tcPr>
                <w:p w14:paraId="35E4DC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57</w:t>
                  </w:r>
                </w:p>
              </w:tc>
              <w:tc>
                <w:tcPr>
                  <w:tcW w:w="827" w:type="pct"/>
                  <w:tcBorders>
                    <w:tl2br w:val="nil"/>
                    <w:tr2bl w:val="nil"/>
                  </w:tcBorders>
                  <w:noWrap w:val="0"/>
                  <w:vAlign w:val="center"/>
                </w:tcPr>
                <w:p w14:paraId="0151C1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876" w:type="pct"/>
                  <w:tcBorders>
                    <w:tl2br w:val="nil"/>
                    <w:tr2bl w:val="nil"/>
                  </w:tcBorders>
                  <w:noWrap w:val="0"/>
                  <w:vAlign w:val="center"/>
                </w:tcPr>
                <w:p w14:paraId="4EAFC001">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81.43</w:t>
                  </w:r>
                </w:p>
              </w:tc>
              <w:tc>
                <w:tcPr>
                  <w:tcW w:w="487" w:type="pct"/>
                  <w:vMerge w:val="continue"/>
                  <w:tcBorders>
                    <w:tl2br w:val="nil"/>
                    <w:tr2bl w:val="nil"/>
                  </w:tcBorders>
                  <w:noWrap w:val="0"/>
                  <w:vAlign w:val="center"/>
                </w:tcPr>
                <w:p w14:paraId="6096A8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bidi="zh-CN"/>
                    </w:rPr>
                  </w:pPr>
                </w:p>
              </w:tc>
            </w:tr>
            <w:tr w14:paraId="4FEC7A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19" w:hRule="atLeast"/>
                <w:jc w:val="center"/>
              </w:trPr>
              <w:tc>
                <w:tcPr>
                  <w:tcW w:w="516" w:type="pct"/>
                  <w:tcBorders>
                    <w:tl2br w:val="nil"/>
                    <w:tr2bl w:val="nil"/>
                  </w:tcBorders>
                  <w:noWrap w:val="0"/>
                  <w:vAlign w:val="center"/>
                </w:tcPr>
                <w:p w14:paraId="4278CA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1563" w:type="pct"/>
                  <w:tcBorders>
                    <w:tl2br w:val="nil"/>
                    <w:tr2bl w:val="nil"/>
                  </w:tcBorders>
                  <w:noWrap w:val="0"/>
                  <w:vAlign w:val="center"/>
                </w:tcPr>
                <w:p w14:paraId="66FB36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年均浓度</w:t>
                  </w:r>
                </w:p>
              </w:tc>
              <w:tc>
                <w:tcPr>
                  <w:tcW w:w="728" w:type="pct"/>
                  <w:tcBorders>
                    <w:tl2br w:val="nil"/>
                    <w:tr2bl w:val="nil"/>
                  </w:tcBorders>
                  <w:noWrap w:val="0"/>
                  <w:vAlign w:val="center"/>
                </w:tcPr>
                <w:p w14:paraId="08226D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w:t>
                  </w:r>
                </w:p>
              </w:tc>
              <w:tc>
                <w:tcPr>
                  <w:tcW w:w="827" w:type="pct"/>
                  <w:tcBorders>
                    <w:tl2br w:val="nil"/>
                    <w:tr2bl w:val="nil"/>
                  </w:tcBorders>
                  <w:noWrap w:val="0"/>
                  <w:vAlign w:val="center"/>
                </w:tcPr>
                <w:p w14:paraId="39DDA4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876" w:type="pct"/>
                  <w:tcBorders>
                    <w:tl2br w:val="nil"/>
                    <w:tr2bl w:val="nil"/>
                  </w:tcBorders>
                  <w:noWrap w:val="0"/>
                  <w:vAlign w:val="center"/>
                </w:tcPr>
                <w:p w14:paraId="61903DD9">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45.71</w:t>
                  </w:r>
                </w:p>
              </w:tc>
              <w:tc>
                <w:tcPr>
                  <w:tcW w:w="487" w:type="pct"/>
                  <w:vMerge w:val="continue"/>
                  <w:tcBorders>
                    <w:tl2br w:val="nil"/>
                    <w:tr2bl w:val="nil"/>
                  </w:tcBorders>
                  <w:noWrap w:val="0"/>
                  <w:vAlign w:val="center"/>
                </w:tcPr>
                <w:p w14:paraId="31E59F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bidi="zh-CN"/>
                    </w:rPr>
                  </w:pPr>
                </w:p>
              </w:tc>
            </w:tr>
            <w:tr w14:paraId="7ADF77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581" w:hRule="atLeast"/>
                <w:jc w:val="center"/>
              </w:trPr>
              <w:tc>
                <w:tcPr>
                  <w:tcW w:w="516" w:type="pct"/>
                  <w:tcBorders>
                    <w:tl2br w:val="nil"/>
                    <w:tr2bl w:val="nil"/>
                  </w:tcBorders>
                  <w:noWrap w:val="0"/>
                  <w:vAlign w:val="center"/>
                </w:tcPr>
                <w:p w14:paraId="04668E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1563" w:type="pct"/>
                  <w:tcBorders>
                    <w:tl2br w:val="nil"/>
                    <w:tr2bl w:val="nil"/>
                  </w:tcBorders>
                  <w:noWrap w:val="0"/>
                  <w:vAlign w:val="center"/>
                </w:tcPr>
                <w:p w14:paraId="0C9497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日最大8小时滑动平均值第90百分位浓度</w:t>
                  </w:r>
                </w:p>
              </w:tc>
              <w:tc>
                <w:tcPr>
                  <w:tcW w:w="728" w:type="pct"/>
                  <w:tcBorders>
                    <w:tl2br w:val="nil"/>
                    <w:tr2bl w:val="nil"/>
                  </w:tcBorders>
                  <w:noWrap w:val="0"/>
                  <w:vAlign w:val="center"/>
                </w:tcPr>
                <w:p w14:paraId="18FC2D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132</w:t>
                  </w:r>
                </w:p>
              </w:tc>
              <w:tc>
                <w:tcPr>
                  <w:tcW w:w="827" w:type="pct"/>
                  <w:tcBorders>
                    <w:tl2br w:val="nil"/>
                    <w:tr2bl w:val="nil"/>
                  </w:tcBorders>
                  <w:noWrap w:val="0"/>
                  <w:vAlign w:val="center"/>
                </w:tcPr>
                <w:p w14:paraId="7428E2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160</w:t>
                  </w:r>
                </w:p>
              </w:tc>
              <w:tc>
                <w:tcPr>
                  <w:tcW w:w="876" w:type="pct"/>
                  <w:tcBorders>
                    <w:tl2br w:val="nil"/>
                    <w:tr2bl w:val="nil"/>
                  </w:tcBorders>
                  <w:noWrap w:val="0"/>
                  <w:vAlign w:val="center"/>
                </w:tcPr>
                <w:p w14:paraId="41294D72">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82.50</w:t>
                  </w:r>
                </w:p>
              </w:tc>
              <w:tc>
                <w:tcPr>
                  <w:tcW w:w="487" w:type="pct"/>
                  <w:vMerge w:val="continue"/>
                  <w:tcBorders>
                    <w:tl2br w:val="nil"/>
                    <w:tr2bl w:val="nil"/>
                  </w:tcBorders>
                  <w:noWrap w:val="0"/>
                  <w:vAlign w:val="center"/>
                </w:tcPr>
                <w:p w14:paraId="69021E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bidi="zh-CN"/>
                    </w:rPr>
                  </w:pPr>
                </w:p>
              </w:tc>
            </w:tr>
            <w:tr w14:paraId="44ABA8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28" w:hRule="atLeast"/>
                <w:jc w:val="center"/>
              </w:trPr>
              <w:tc>
                <w:tcPr>
                  <w:tcW w:w="516" w:type="pct"/>
                  <w:tcBorders>
                    <w:tl2br w:val="nil"/>
                    <w:tr2bl w:val="nil"/>
                  </w:tcBorders>
                  <w:noWrap w:val="0"/>
                  <w:vAlign w:val="center"/>
                </w:tcPr>
                <w:p w14:paraId="79A3B5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1563" w:type="pct"/>
                  <w:tcBorders>
                    <w:tl2br w:val="nil"/>
                    <w:tr2bl w:val="nil"/>
                  </w:tcBorders>
                  <w:noWrap w:val="0"/>
                  <w:vAlign w:val="center"/>
                </w:tcPr>
                <w:p w14:paraId="23A136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日均值第95百分位浓度</w:t>
                  </w:r>
                </w:p>
              </w:tc>
              <w:tc>
                <w:tcPr>
                  <w:tcW w:w="728" w:type="pct"/>
                  <w:tcBorders>
                    <w:tl2br w:val="nil"/>
                    <w:tr2bl w:val="nil"/>
                  </w:tcBorders>
                  <w:noWrap w:val="0"/>
                  <w:vAlign w:val="center"/>
                </w:tcPr>
                <w:p w14:paraId="3F989C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1.1</w:t>
                  </w:r>
                  <w:r>
                    <w:rPr>
                      <w:rFonts w:hint="default" w:ascii="Times New Roman" w:hAnsi="Times New Roman" w:eastAsia="宋体" w:cs="Times New Roman"/>
                      <w:color w:val="auto"/>
                      <w:sz w:val="21"/>
                      <w:szCs w:val="21"/>
                      <w:highlight w:val="none"/>
                    </w:rPr>
                    <w:t>mg/m³</w:t>
                  </w:r>
                </w:p>
              </w:tc>
              <w:tc>
                <w:tcPr>
                  <w:tcW w:w="827" w:type="pct"/>
                  <w:tcBorders>
                    <w:tl2br w:val="nil"/>
                    <w:tr2bl w:val="nil"/>
                  </w:tcBorders>
                  <w:noWrap w:val="0"/>
                  <w:vAlign w:val="center"/>
                </w:tcPr>
                <w:p w14:paraId="17A885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4mg/m³</w:t>
                  </w:r>
                </w:p>
              </w:tc>
              <w:tc>
                <w:tcPr>
                  <w:tcW w:w="876" w:type="pct"/>
                  <w:tcBorders>
                    <w:tl2br w:val="nil"/>
                    <w:tr2bl w:val="nil"/>
                  </w:tcBorders>
                  <w:noWrap w:val="0"/>
                  <w:vAlign w:val="center"/>
                </w:tcPr>
                <w:p w14:paraId="74100F29">
                  <w:pPr>
                    <w:pStyle w:val="4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27.50</w:t>
                  </w:r>
                </w:p>
              </w:tc>
              <w:tc>
                <w:tcPr>
                  <w:tcW w:w="487" w:type="pct"/>
                  <w:vMerge w:val="continue"/>
                  <w:tcBorders>
                    <w:tl2br w:val="nil"/>
                    <w:tr2bl w:val="nil"/>
                  </w:tcBorders>
                  <w:noWrap w:val="0"/>
                  <w:vAlign w:val="center"/>
                </w:tcPr>
                <w:p w14:paraId="37976C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bidi="zh-CN"/>
                    </w:rPr>
                  </w:pPr>
                </w:p>
              </w:tc>
            </w:tr>
            <w:bookmarkEnd w:id="8"/>
          </w:tbl>
          <w:p w14:paraId="721B1844">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由上表可知：项目区基本污染物均满足《环境空气质量标准》</w:t>
            </w:r>
            <w:r>
              <w:rPr>
                <w:rFonts w:hint="eastAsia"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GB3095-20</w:t>
            </w:r>
            <w:r>
              <w:rPr>
                <w:rFonts w:hint="eastAsia" w:cs="Times New Roman"/>
                <w:color w:val="auto"/>
                <w:kern w:val="0"/>
                <w:sz w:val="24"/>
                <w:szCs w:val="24"/>
                <w:highlight w:val="none"/>
                <w:lang w:val="en-US" w:eastAsia="zh-CN"/>
              </w:rPr>
              <w:t>12</w:t>
            </w:r>
            <w:r>
              <w:rPr>
                <w:rFonts w:hint="eastAsia"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二级标准限值，为达标区。</w:t>
            </w:r>
          </w:p>
          <w:p w14:paraId="5C35EDFE">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SA"/>
              </w:rPr>
              <w:t>（2）</w:t>
            </w:r>
            <w:r>
              <w:rPr>
                <w:rFonts w:hint="default" w:ascii="Times New Roman" w:hAnsi="Times New Roman" w:eastAsia="宋体" w:cs="Times New Roman"/>
                <w:color w:val="auto"/>
                <w:kern w:val="0"/>
                <w:sz w:val="24"/>
                <w:szCs w:val="24"/>
                <w:highlight w:val="none"/>
                <w:lang w:val="en-US" w:eastAsia="zh-CN"/>
              </w:rPr>
              <w:t>其他污染物</w:t>
            </w:r>
          </w:p>
          <w:p w14:paraId="18007607">
            <w:pPr>
              <w:pStyle w:val="31"/>
              <w:keepNext w:val="0"/>
              <w:keepLines w:val="0"/>
              <w:pageBreakBefore w:val="0"/>
              <w:kinsoku/>
              <w:wordWrap/>
              <w:overflowPunct/>
              <w:topLinePunct w:val="0"/>
              <w:autoSpaceDE/>
              <w:autoSpaceDN/>
              <w:bidi w:val="0"/>
              <w:spacing w:line="440" w:lineRule="exact"/>
              <w:ind w:firstLine="480" w:firstLineChars="200"/>
              <w:rPr>
                <w:rFonts w:hint="eastAsia" w:eastAsia="宋体"/>
                <w:color w:val="auto"/>
                <w:sz w:val="24"/>
                <w:szCs w:val="24"/>
                <w:highlight w:val="none"/>
                <w:lang w:eastAsia="zh-CN"/>
              </w:rPr>
            </w:pPr>
            <w:r>
              <w:rPr>
                <w:rFonts w:hint="eastAsia"/>
                <w:b w:val="0"/>
                <w:bCs w:val="0"/>
                <w:color w:val="auto"/>
                <w:kern w:val="0"/>
                <w:sz w:val="24"/>
                <w:szCs w:val="20"/>
                <w:highlight w:val="none"/>
                <w:lang w:val="en-US" w:eastAsia="zh-CN"/>
              </w:rPr>
              <w:t>①本项目特征污染物非甲烷总烃</w:t>
            </w:r>
            <w:r>
              <w:rPr>
                <w:rFonts w:hint="eastAsia"/>
                <w:color w:val="auto"/>
                <w:sz w:val="24"/>
                <w:szCs w:val="24"/>
                <w:highlight w:val="none"/>
              </w:rPr>
              <w:t>浓度环境质量现状</w:t>
            </w:r>
            <w:r>
              <w:rPr>
                <w:rFonts w:hint="eastAsia"/>
                <w:color w:val="auto"/>
                <w:sz w:val="24"/>
                <w:szCs w:val="24"/>
                <w:highlight w:val="none"/>
                <w:lang w:val="en-US" w:eastAsia="zh-CN"/>
              </w:rPr>
              <w:t>由巴彦淖尔市予敬科技有限公司</w:t>
            </w:r>
            <w:r>
              <w:rPr>
                <w:color w:val="auto"/>
                <w:kern w:val="0"/>
                <w:sz w:val="24"/>
                <w:szCs w:val="24"/>
                <w:highlight w:val="none"/>
              </w:rPr>
              <w:t>于202</w:t>
            </w:r>
            <w:r>
              <w:rPr>
                <w:rFonts w:hint="eastAsia"/>
                <w:color w:val="auto"/>
                <w:kern w:val="0"/>
                <w:sz w:val="24"/>
                <w:szCs w:val="24"/>
                <w:highlight w:val="none"/>
                <w:lang w:val="en-US" w:eastAsia="zh-CN"/>
              </w:rPr>
              <w:t>6</w:t>
            </w:r>
            <w:r>
              <w:rPr>
                <w:color w:val="auto"/>
                <w:kern w:val="0"/>
                <w:sz w:val="24"/>
                <w:szCs w:val="24"/>
                <w:highlight w:val="none"/>
              </w:rPr>
              <w:t>年</w:t>
            </w:r>
            <w:r>
              <w:rPr>
                <w:rFonts w:hint="eastAsia"/>
                <w:color w:val="auto"/>
                <w:kern w:val="0"/>
                <w:sz w:val="24"/>
                <w:szCs w:val="24"/>
                <w:highlight w:val="none"/>
                <w:lang w:val="en-US" w:eastAsia="zh-CN"/>
              </w:rPr>
              <w:t>3</w:t>
            </w:r>
            <w:r>
              <w:rPr>
                <w:color w:val="auto"/>
                <w:kern w:val="0"/>
                <w:sz w:val="24"/>
                <w:szCs w:val="24"/>
                <w:highlight w:val="none"/>
              </w:rPr>
              <w:t>月</w:t>
            </w:r>
            <w:r>
              <w:rPr>
                <w:rFonts w:hint="eastAsia"/>
                <w:color w:val="auto"/>
                <w:kern w:val="0"/>
                <w:sz w:val="24"/>
                <w:szCs w:val="24"/>
                <w:highlight w:val="none"/>
                <w:lang w:val="en-US" w:eastAsia="zh-CN"/>
              </w:rPr>
              <w:t>12</w:t>
            </w:r>
            <w:r>
              <w:rPr>
                <w:color w:val="auto"/>
                <w:kern w:val="0"/>
                <w:sz w:val="24"/>
                <w:szCs w:val="24"/>
                <w:highlight w:val="none"/>
              </w:rPr>
              <w:t>日至202</w:t>
            </w:r>
            <w:r>
              <w:rPr>
                <w:rFonts w:hint="eastAsia"/>
                <w:color w:val="auto"/>
                <w:kern w:val="0"/>
                <w:sz w:val="24"/>
                <w:szCs w:val="24"/>
                <w:highlight w:val="none"/>
                <w:lang w:val="en-US" w:eastAsia="zh-CN"/>
              </w:rPr>
              <w:t>6</w:t>
            </w:r>
            <w:r>
              <w:rPr>
                <w:color w:val="auto"/>
                <w:kern w:val="0"/>
                <w:sz w:val="24"/>
                <w:szCs w:val="24"/>
                <w:highlight w:val="none"/>
              </w:rPr>
              <w:t>年</w:t>
            </w:r>
            <w:r>
              <w:rPr>
                <w:rFonts w:hint="eastAsia"/>
                <w:color w:val="auto"/>
                <w:kern w:val="0"/>
                <w:sz w:val="24"/>
                <w:szCs w:val="24"/>
                <w:highlight w:val="none"/>
                <w:lang w:val="en-US" w:eastAsia="zh-CN"/>
              </w:rPr>
              <w:t>3月14</w:t>
            </w:r>
            <w:r>
              <w:rPr>
                <w:color w:val="auto"/>
                <w:kern w:val="0"/>
                <w:sz w:val="24"/>
                <w:szCs w:val="24"/>
                <w:highlight w:val="none"/>
              </w:rPr>
              <w:t>日</w:t>
            </w:r>
            <w:r>
              <w:rPr>
                <w:rFonts w:hint="eastAsia"/>
                <w:color w:val="auto"/>
                <w:kern w:val="0"/>
                <w:sz w:val="24"/>
                <w:szCs w:val="24"/>
                <w:highlight w:val="none"/>
                <w:lang w:val="en-US" w:eastAsia="zh-CN"/>
              </w:rPr>
              <w:t>在厂界下风向10米处</w:t>
            </w:r>
            <w:r>
              <w:rPr>
                <w:color w:val="auto"/>
                <w:kern w:val="0"/>
                <w:sz w:val="24"/>
                <w:szCs w:val="24"/>
                <w:highlight w:val="none"/>
              </w:rPr>
              <w:t>进行了环境空气质量现状监测</w:t>
            </w:r>
            <w:r>
              <w:rPr>
                <w:rFonts w:hint="eastAsia"/>
                <w:color w:val="auto"/>
                <w:kern w:val="0"/>
                <w:sz w:val="24"/>
                <w:szCs w:val="24"/>
                <w:highlight w:val="none"/>
              </w:rPr>
              <w:t>，</w:t>
            </w:r>
            <w:r>
              <w:rPr>
                <w:rFonts w:hint="eastAsia"/>
                <w:color w:val="auto"/>
                <w:sz w:val="24"/>
                <w:szCs w:val="24"/>
                <w:highlight w:val="none"/>
              </w:rPr>
              <w:t>项目</w:t>
            </w:r>
            <w:r>
              <w:rPr>
                <w:rFonts w:hint="eastAsia"/>
                <w:color w:val="auto"/>
                <w:sz w:val="24"/>
                <w:szCs w:val="24"/>
                <w:highlight w:val="none"/>
                <w:lang w:val="en-US" w:eastAsia="zh-CN"/>
              </w:rPr>
              <w:t>非甲烷总烃小时监测结果见表3-2，监测报告见附件</w:t>
            </w:r>
            <w:r>
              <w:rPr>
                <w:color w:val="auto"/>
                <w:sz w:val="24"/>
                <w:szCs w:val="24"/>
                <w:highlight w:val="none"/>
              </w:rPr>
              <w:t>。</w:t>
            </w:r>
          </w:p>
          <w:p w14:paraId="64BCB8C4">
            <w:pPr>
              <w:keepNext w:val="0"/>
              <w:keepLines w:val="0"/>
              <w:pageBreakBefore w:val="0"/>
              <w:kinsoku/>
              <w:wordWrap/>
              <w:overflowPunct/>
              <w:topLinePunct w:val="0"/>
              <w:autoSpaceDE/>
              <w:autoSpaceDN/>
              <w:bidi w:val="0"/>
              <w:adjustRightInd w:val="0"/>
              <w:snapToGrid w:val="0"/>
              <w:spacing w:line="440" w:lineRule="exact"/>
              <w:ind w:firstLine="482" w:firstLineChars="200"/>
              <w:jc w:val="center"/>
              <w:rPr>
                <w:b/>
                <w:color w:val="auto"/>
                <w:sz w:val="24"/>
                <w:szCs w:val="32"/>
                <w:highlight w:val="none"/>
              </w:rPr>
            </w:pPr>
            <w:r>
              <w:rPr>
                <w:b/>
                <w:color w:val="auto"/>
                <w:sz w:val="24"/>
                <w:szCs w:val="32"/>
                <w:highlight w:val="none"/>
              </w:rPr>
              <w:t>表</w:t>
            </w:r>
            <w:r>
              <w:rPr>
                <w:rFonts w:hint="eastAsia"/>
                <w:b/>
                <w:color w:val="auto"/>
                <w:sz w:val="24"/>
                <w:szCs w:val="32"/>
                <w:highlight w:val="none"/>
              </w:rPr>
              <w:t>3-2</w:t>
            </w:r>
            <w:r>
              <w:rPr>
                <w:b/>
                <w:color w:val="auto"/>
                <w:sz w:val="24"/>
                <w:szCs w:val="32"/>
                <w:highlight w:val="none"/>
              </w:rPr>
              <w:t xml:space="preserve">  </w:t>
            </w:r>
            <w:r>
              <w:rPr>
                <w:rFonts w:hint="eastAsia"/>
                <w:b/>
                <w:color w:val="auto"/>
                <w:sz w:val="24"/>
                <w:szCs w:val="32"/>
                <w:highlight w:val="none"/>
              </w:rPr>
              <w:t>其他污染物现状</w:t>
            </w:r>
            <w:r>
              <w:rPr>
                <w:b/>
                <w:color w:val="auto"/>
                <w:sz w:val="24"/>
                <w:szCs w:val="32"/>
                <w:highlight w:val="none"/>
              </w:rPr>
              <w:t>监测统计结果一览表</w:t>
            </w:r>
          </w:p>
          <w:tbl>
            <w:tblPr>
              <w:tblStyle w:val="21"/>
              <w:tblW w:w="496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5"/>
              <w:gridCol w:w="1050"/>
              <w:gridCol w:w="40"/>
              <w:gridCol w:w="789"/>
              <w:gridCol w:w="1769"/>
              <w:gridCol w:w="2125"/>
              <w:gridCol w:w="805"/>
            </w:tblGrid>
            <w:tr w14:paraId="454123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05" w:hRule="atLeast"/>
                <w:jc w:val="center"/>
              </w:trPr>
              <w:tc>
                <w:tcPr>
                  <w:tcW w:w="1039" w:type="pct"/>
                  <w:tcBorders>
                    <w:bottom w:val="single" w:color="auto" w:sz="12" w:space="0"/>
                  </w:tcBorders>
                  <w:vAlign w:val="center"/>
                </w:tcPr>
                <w:p w14:paraId="37092952">
                  <w:pPr>
                    <w:keepNext w:val="0"/>
                    <w:keepLines w:val="0"/>
                    <w:pageBreakBefore w:val="0"/>
                    <w:kinsoku/>
                    <w:wordWrap/>
                    <w:overflowPunct/>
                    <w:topLinePunct w:val="0"/>
                    <w:autoSpaceDE/>
                    <w:autoSpaceDN/>
                    <w:bidi w:val="0"/>
                    <w:spacing w:line="440" w:lineRule="exact"/>
                    <w:jc w:val="center"/>
                    <w:rPr>
                      <w:b/>
                      <w:bCs/>
                      <w:color w:val="auto"/>
                      <w:sz w:val="21"/>
                      <w:szCs w:val="21"/>
                      <w:highlight w:val="none"/>
                      <w:lang w:bidi="ar"/>
                    </w:rPr>
                  </w:pPr>
                  <w:r>
                    <w:rPr>
                      <w:rFonts w:hint="eastAsia"/>
                      <w:b/>
                      <w:bCs/>
                      <w:color w:val="auto"/>
                      <w:sz w:val="21"/>
                      <w:szCs w:val="21"/>
                      <w:highlight w:val="none"/>
                      <w:lang w:bidi="ar"/>
                    </w:rPr>
                    <w:t>采样位置</w:t>
                  </w:r>
                </w:p>
              </w:tc>
              <w:tc>
                <w:tcPr>
                  <w:tcW w:w="656" w:type="pct"/>
                  <w:gridSpan w:val="2"/>
                  <w:tcBorders>
                    <w:bottom w:val="single" w:color="auto" w:sz="12" w:space="0"/>
                  </w:tcBorders>
                  <w:vAlign w:val="center"/>
                </w:tcPr>
                <w:p w14:paraId="7582FAC3">
                  <w:pPr>
                    <w:keepNext w:val="0"/>
                    <w:keepLines w:val="0"/>
                    <w:pageBreakBefore w:val="0"/>
                    <w:kinsoku/>
                    <w:wordWrap/>
                    <w:overflowPunct/>
                    <w:topLinePunct w:val="0"/>
                    <w:autoSpaceDE/>
                    <w:autoSpaceDN/>
                    <w:bidi w:val="0"/>
                    <w:spacing w:line="440" w:lineRule="exact"/>
                    <w:jc w:val="center"/>
                    <w:rPr>
                      <w:rFonts w:hint="default" w:eastAsia="宋体"/>
                      <w:b/>
                      <w:bCs/>
                      <w:color w:val="auto"/>
                      <w:sz w:val="21"/>
                      <w:szCs w:val="21"/>
                      <w:highlight w:val="none"/>
                      <w:lang w:val="en-US" w:eastAsia="zh-CN"/>
                    </w:rPr>
                  </w:pPr>
                  <w:r>
                    <w:rPr>
                      <w:b w:val="0"/>
                      <w:bCs w:val="0"/>
                      <w:color w:val="auto"/>
                      <w:sz w:val="21"/>
                      <w:szCs w:val="21"/>
                      <w:highlight w:val="none"/>
                      <w:lang w:bidi="ar"/>
                    </w:rPr>
                    <w:t>项目厂界下风向</w:t>
                  </w:r>
                  <w:r>
                    <w:rPr>
                      <w:rFonts w:hint="eastAsia"/>
                      <w:b w:val="0"/>
                      <w:bCs w:val="0"/>
                      <w:color w:val="auto"/>
                      <w:sz w:val="21"/>
                      <w:szCs w:val="21"/>
                      <w:highlight w:val="none"/>
                      <w:lang w:val="en-US" w:eastAsia="zh-CN" w:bidi="ar"/>
                    </w:rPr>
                    <w:t>10m处</w:t>
                  </w:r>
                </w:p>
              </w:tc>
              <w:tc>
                <w:tcPr>
                  <w:tcW w:w="475" w:type="pct"/>
                  <w:tcBorders>
                    <w:bottom w:val="single" w:color="auto" w:sz="12" w:space="0"/>
                  </w:tcBorders>
                  <w:vAlign w:val="center"/>
                </w:tcPr>
                <w:p w14:paraId="74EDFD97">
                  <w:pPr>
                    <w:keepNext w:val="0"/>
                    <w:keepLines w:val="0"/>
                    <w:pageBreakBefore w:val="0"/>
                    <w:kinsoku/>
                    <w:wordWrap/>
                    <w:overflowPunct/>
                    <w:topLinePunct w:val="0"/>
                    <w:autoSpaceDE/>
                    <w:autoSpaceDN/>
                    <w:bidi w:val="0"/>
                    <w:spacing w:line="440" w:lineRule="exact"/>
                    <w:jc w:val="center"/>
                    <w:rPr>
                      <w:rFonts w:hint="default" w:eastAsia="宋体"/>
                      <w:b/>
                      <w:bCs/>
                      <w:color w:val="auto"/>
                      <w:sz w:val="21"/>
                      <w:szCs w:val="21"/>
                      <w:highlight w:val="none"/>
                      <w:lang w:val="en-US" w:eastAsia="zh-CN" w:bidi="ar"/>
                    </w:rPr>
                  </w:pPr>
                  <w:r>
                    <w:rPr>
                      <w:rFonts w:hint="eastAsia"/>
                      <w:b/>
                      <w:bCs/>
                      <w:color w:val="auto"/>
                      <w:sz w:val="21"/>
                      <w:szCs w:val="21"/>
                      <w:highlight w:val="none"/>
                      <w:lang w:val="en-US" w:eastAsia="zh-CN" w:bidi="ar"/>
                    </w:rPr>
                    <w:t>厂址</w:t>
                  </w:r>
                </w:p>
              </w:tc>
              <w:tc>
                <w:tcPr>
                  <w:tcW w:w="1064" w:type="pct"/>
                  <w:tcBorders>
                    <w:bottom w:val="single" w:color="auto" w:sz="12" w:space="0"/>
                  </w:tcBorders>
                  <w:vAlign w:val="center"/>
                </w:tcPr>
                <w:p w14:paraId="1B45F196">
                  <w:pPr>
                    <w:keepNext w:val="0"/>
                    <w:keepLines w:val="0"/>
                    <w:pageBreakBefore w:val="0"/>
                    <w:kinsoku/>
                    <w:wordWrap/>
                    <w:overflowPunct/>
                    <w:topLinePunct w:val="0"/>
                    <w:autoSpaceDE/>
                    <w:autoSpaceDN/>
                    <w:bidi w:val="0"/>
                    <w:spacing w:line="440" w:lineRule="exact"/>
                    <w:jc w:val="center"/>
                    <w:rPr>
                      <w:rFonts w:hint="eastAsia"/>
                      <w:b w:val="0"/>
                      <w:bCs w:val="0"/>
                      <w:color w:val="auto"/>
                      <w:sz w:val="21"/>
                      <w:szCs w:val="21"/>
                      <w:highlight w:val="none"/>
                      <w:u w:val="none"/>
                      <w:lang w:val="en-US" w:eastAsia="zh-CN"/>
                    </w:rPr>
                  </w:pPr>
                  <w:r>
                    <w:rPr>
                      <w:rFonts w:hint="eastAsia"/>
                      <w:b w:val="0"/>
                      <w:bCs w:val="0"/>
                      <w:color w:val="auto"/>
                      <w:sz w:val="21"/>
                      <w:szCs w:val="21"/>
                      <w:highlight w:val="none"/>
                      <w:u w:val="none"/>
                      <w:lang w:val="en-US" w:eastAsia="zh-CN"/>
                    </w:rPr>
                    <w:t>上海佳格食品有限公司内蒙古分公司</w:t>
                  </w:r>
                </w:p>
                <w:p w14:paraId="175C0CEF">
                  <w:pPr>
                    <w:keepNext w:val="0"/>
                    <w:keepLines w:val="0"/>
                    <w:pageBreakBefore w:val="0"/>
                    <w:kinsoku/>
                    <w:wordWrap/>
                    <w:overflowPunct/>
                    <w:topLinePunct w:val="0"/>
                    <w:autoSpaceDE/>
                    <w:autoSpaceDN/>
                    <w:bidi w:val="0"/>
                    <w:spacing w:line="440" w:lineRule="exact"/>
                    <w:jc w:val="center"/>
                    <w:rPr>
                      <w:rFonts w:hint="eastAsia" w:eastAsia="宋体"/>
                      <w:b/>
                      <w:bCs/>
                      <w:color w:val="auto"/>
                      <w:sz w:val="21"/>
                      <w:szCs w:val="21"/>
                      <w:highlight w:val="none"/>
                      <w:lang w:val="en-US" w:eastAsia="zh-CN" w:bidi="ar"/>
                    </w:rPr>
                  </w:pPr>
                </w:p>
              </w:tc>
              <w:tc>
                <w:tcPr>
                  <w:tcW w:w="1279" w:type="pct"/>
                  <w:tcBorders>
                    <w:bottom w:val="single" w:color="auto" w:sz="12" w:space="0"/>
                  </w:tcBorders>
                  <w:vAlign w:val="center"/>
                </w:tcPr>
                <w:p w14:paraId="3B51AA96">
                  <w:pPr>
                    <w:keepNext w:val="0"/>
                    <w:keepLines w:val="0"/>
                    <w:pageBreakBefore w:val="0"/>
                    <w:kinsoku/>
                    <w:wordWrap/>
                    <w:overflowPunct/>
                    <w:topLinePunct w:val="0"/>
                    <w:autoSpaceDE/>
                    <w:autoSpaceDN/>
                    <w:bidi w:val="0"/>
                    <w:spacing w:line="440" w:lineRule="exact"/>
                    <w:jc w:val="center"/>
                    <w:rPr>
                      <w:b/>
                      <w:bCs/>
                      <w:color w:val="auto"/>
                      <w:sz w:val="21"/>
                      <w:szCs w:val="21"/>
                      <w:highlight w:val="none"/>
                    </w:rPr>
                  </w:pPr>
                  <w:r>
                    <w:rPr>
                      <w:rFonts w:hint="eastAsia"/>
                      <w:b/>
                      <w:bCs/>
                      <w:color w:val="auto"/>
                      <w:sz w:val="21"/>
                      <w:szCs w:val="21"/>
                      <w:highlight w:val="none"/>
                      <w:lang w:bidi="ar"/>
                    </w:rPr>
                    <w:t>执行标准及限值</w:t>
                  </w:r>
                </w:p>
              </w:tc>
              <w:tc>
                <w:tcPr>
                  <w:tcW w:w="484" w:type="pct"/>
                  <w:tcBorders>
                    <w:bottom w:val="single" w:color="auto" w:sz="12" w:space="0"/>
                  </w:tcBorders>
                  <w:vAlign w:val="center"/>
                </w:tcPr>
                <w:p w14:paraId="4241BFB1">
                  <w:pPr>
                    <w:keepNext w:val="0"/>
                    <w:keepLines w:val="0"/>
                    <w:pageBreakBefore w:val="0"/>
                    <w:kinsoku/>
                    <w:wordWrap/>
                    <w:overflowPunct/>
                    <w:topLinePunct w:val="0"/>
                    <w:autoSpaceDE/>
                    <w:autoSpaceDN/>
                    <w:bidi w:val="0"/>
                    <w:spacing w:line="440" w:lineRule="exact"/>
                    <w:jc w:val="center"/>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达标情况</w:t>
                  </w:r>
                </w:p>
              </w:tc>
            </w:tr>
            <w:tr w14:paraId="0E235B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65" w:hRule="atLeast"/>
                <w:jc w:val="center"/>
              </w:trPr>
              <w:tc>
                <w:tcPr>
                  <w:tcW w:w="1039" w:type="pct"/>
                  <w:tcBorders>
                    <w:top w:val="single" w:color="auto" w:sz="12" w:space="0"/>
                    <w:bottom w:val="single" w:color="auto" w:sz="4" w:space="0"/>
                  </w:tcBorders>
                  <w:vAlign w:val="center"/>
                </w:tcPr>
                <w:p w14:paraId="454557E6">
                  <w:pPr>
                    <w:widowControl/>
                    <w:spacing w:line="240" w:lineRule="auto"/>
                    <w:jc w:val="center"/>
                    <w:textAlignment w:val="center"/>
                    <w:rPr>
                      <w:rFonts w:hint="default" w:ascii="Times New Roman" w:hAnsi="Times New Roman" w:cs="Times New Roman"/>
                      <w:b/>
                      <w:bCs/>
                      <w:color w:val="auto"/>
                      <w:position w:val="-10"/>
                      <w:sz w:val="21"/>
                      <w:szCs w:val="21"/>
                      <w:highlight w:val="none"/>
                      <w:lang w:val="en-US" w:eastAsia="zh-CN"/>
                    </w:rPr>
                  </w:pPr>
                  <w:r>
                    <w:rPr>
                      <w:rFonts w:hint="eastAsia" w:ascii="Times New Roman" w:hAnsi="Times New Roman" w:cs="Times New Roman"/>
                      <w:b/>
                      <w:bCs/>
                      <w:color w:val="auto"/>
                      <w:position w:val="-10"/>
                      <w:sz w:val="21"/>
                      <w:szCs w:val="21"/>
                      <w:highlight w:val="none"/>
                      <w:lang w:val="en-US" w:eastAsia="zh-CN"/>
                    </w:rPr>
                    <w:t>检测项目</w:t>
                  </w:r>
                </w:p>
              </w:tc>
              <w:tc>
                <w:tcPr>
                  <w:tcW w:w="2197" w:type="pct"/>
                  <w:gridSpan w:val="4"/>
                  <w:tcBorders>
                    <w:top w:val="single" w:color="auto" w:sz="12" w:space="0"/>
                    <w:bottom w:val="single" w:color="auto" w:sz="4" w:space="0"/>
                  </w:tcBorders>
                  <w:vAlign w:val="center"/>
                </w:tcPr>
                <w:p w14:paraId="562DAD86">
                  <w:pPr>
                    <w:jc w:val="center"/>
                    <w:rPr>
                      <w:rFonts w:hint="eastAsia" w:cs="Times New Roman"/>
                      <w:color w:val="auto"/>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非甲烷总烃</w:t>
                  </w:r>
                  <w:r>
                    <w:rPr>
                      <w:rFonts w:hint="default" w:ascii="Times New Roman" w:hAnsi="Times New Roman" w:eastAsia="宋体" w:cs="Times New Roman"/>
                      <w:b/>
                      <w:bCs/>
                      <w:color w:val="auto"/>
                      <w:sz w:val="21"/>
                      <w:szCs w:val="21"/>
                      <w:highlight w:val="none"/>
                      <w:vertAlign w:val="baseline"/>
                      <w:lang w:val="en-US" w:eastAsia="zh-CN"/>
                    </w:rPr>
                    <w:t>（</w:t>
                  </w:r>
                  <w:r>
                    <w:rPr>
                      <w:rFonts w:hint="default" w:ascii="Times New Roman" w:hAnsi="Times New Roman" w:cs="Times New Roman"/>
                      <w:b/>
                      <w:bCs/>
                      <w:color w:val="auto"/>
                      <w:sz w:val="21"/>
                      <w:szCs w:val="21"/>
                      <w:highlight w:val="none"/>
                      <w:lang w:val="en-US" w:eastAsia="zh-CN"/>
                    </w:rPr>
                    <w:t>m</w:t>
                  </w:r>
                  <w:r>
                    <w:rPr>
                      <w:rFonts w:hint="default" w:ascii="Times New Roman" w:hAnsi="Times New Roman" w:cs="Times New Roman"/>
                      <w:b/>
                      <w:bCs/>
                      <w:color w:val="auto"/>
                      <w:kern w:val="0"/>
                      <w:sz w:val="21"/>
                      <w:szCs w:val="21"/>
                      <w:highlight w:val="none"/>
                    </w:rPr>
                    <w:t>g/m</w:t>
                  </w:r>
                  <w:r>
                    <w:rPr>
                      <w:rFonts w:hint="default" w:ascii="Times New Roman" w:hAnsi="Times New Roman" w:cs="Times New Roman"/>
                      <w:b/>
                      <w:bCs/>
                      <w:color w:val="auto"/>
                      <w:kern w:val="0"/>
                      <w:sz w:val="21"/>
                      <w:szCs w:val="21"/>
                      <w:highlight w:val="none"/>
                      <w:vertAlign w:val="superscript"/>
                    </w:rPr>
                    <w:t>3</w:t>
                  </w:r>
                  <w:r>
                    <w:rPr>
                      <w:rFonts w:hint="default" w:ascii="Times New Roman" w:hAnsi="Times New Roman" w:eastAsia="宋体" w:cs="Times New Roman"/>
                      <w:b/>
                      <w:bCs/>
                      <w:color w:val="auto"/>
                      <w:sz w:val="21"/>
                      <w:szCs w:val="21"/>
                      <w:highlight w:val="none"/>
                      <w:vertAlign w:val="baseline"/>
                      <w:lang w:val="en-US" w:eastAsia="zh-CN"/>
                    </w:rPr>
                    <w:t>）</w:t>
                  </w:r>
                </w:p>
              </w:tc>
              <w:tc>
                <w:tcPr>
                  <w:tcW w:w="1279" w:type="pct"/>
                  <w:tcBorders>
                    <w:top w:val="single" w:color="auto" w:sz="12" w:space="0"/>
                    <w:bottom w:val="single" w:color="auto" w:sz="4" w:space="0"/>
                  </w:tcBorders>
                  <w:vAlign w:val="center"/>
                </w:tcPr>
                <w:p w14:paraId="208466FC">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r>
                    <w:rPr>
                      <w:rFonts w:hint="eastAsia"/>
                      <w:b/>
                      <w:bCs/>
                      <w:color w:val="auto"/>
                      <w:sz w:val="21"/>
                      <w:szCs w:val="21"/>
                      <w:highlight w:val="none"/>
                      <w:lang w:bidi="ar"/>
                    </w:rPr>
                    <w:t>执行标准及限值</w:t>
                  </w:r>
                </w:p>
              </w:tc>
              <w:tc>
                <w:tcPr>
                  <w:tcW w:w="484" w:type="pct"/>
                  <w:tcBorders>
                    <w:top w:val="single" w:color="auto" w:sz="12" w:space="0"/>
                  </w:tcBorders>
                  <w:vAlign w:val="center"/>
                </w:tcPr>
                <w:p w14:paraId="6BCE8B6A">
                  <w:pPr>
                    <w:keepNext w:val="0"/>
                    <w:keepLines w:val="0"/>
                    <w:pageBreakBefore w:val="0"/>
                    <w:kinsoku/>
                    <w:wordWrap/>
                    <w:overflowPunct/>
                    <w:topLinePunct w:val="0"/>
                    <w:autoSpaceDE/>
                    <w:autoSpaceDN/>
                    <w:bidi w:val="0"/>
                    <w:spacing w:line="440" w:lineRule="exact"/>
                    <w:jc w:val="center"/>
                    <w:rPr>
                      <w:rFonts w:hint="default" w:eastAsia="宋体"/>
                      <w:color w:val="auto"/>
                      <w:szCs w:val="21"/>
                      <w:highlight w:val="none"/>
                      <w:lang w:val="en-US" w:eastAsia="zh-CN" w:bidi="ar"/>
                    </w:rPr>
                  </w:pPr>
                  <w:r>
                    <w:rPr>
                      <w:rFonts w:hint="eastAsia"/>
                      <w:b/>
                      <w:bCs/>
                      <w:color w:val="auto"/>
                      <w:szCs w:val="21"/>
                      <w:highlight w:val="none"/>
                      <w:lang w:val="en-US" w:eastAsia="zh-CN" w:bidi="ar"/>
                    </w:rPr>
                    <w:t>达标情况</w:t>
                  </w:r>
                </w:p>
              </w:tc>
            </w:tr>
            <w:tr w14:paraId="071844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1039" w:type="pct"/>
                  <w:tcBorders>
                    <w:top w:val="single" w:color="auto" w:sz="4" w:space="0"/>
                    <w:bottom w:val="single" w:color="auto" w:sz="4" w:space="0"/>
                  </w:tcBorders>
                  <w:vAlign w:val="center"/>
                </w:tcPr>
                <w:p w14:paraId="26D32488">
                  <w:pPr>
                    <w:widowControl/>
                    <w:spacing w:line="240" w:lineRule="auto"/>
                    <w:jc w:val="center"/>
                    <w:textAlignment w:val="center"/>
                    <w:rPr>
                      <w:rFonts w:hint="default" w:ascii="Times New Roman" w:hAnsi="Times New Roman" w:cs="Times New Roman"/>
                      <w:b/>
                      <w:bCs/>
                      <w:color w:val="auto"/>
                      <w:position w:val="-10"/>
                      <w:sz w:val="21"/>
                      <w:szCs w:val="21"/>
                      <w:highlight w:val="none"/>
                      <w:lang w:val="en-US" w:eastAsia="zh-CN"/>
                    </w:rPr>
                  </w:pPr>
                  <w:r>
                    <w:rPr>
                      <w:rFonts w:hint="eastAsia" w:ascii="Times New Roman" w:hAnsi="Times New Roman" w:cs="Times New Roman"/>
                      <w:b/>
                      <w:bCs/>
                      <w:color w:val="auto"/>
                      <w:position w:val="-10"/>
                      <w:sz w:val="21"/>
                      <w:szCs w:val="21"/>
                      <w:highlight w:val="none"/>
                      <w:lang w:val="en-US" w:eastAsia="zh-CN"/>
                    </w:rPr>
                    <w:t>采样时间</w:t>
                  </w:r>
                </w:p>
              </w:tc>
              <w:tc>
                <w:tcPr>
                  <w:tcW w:w="2197" w:type="pct"/>
                  <w:gridSpan w:val="4"/>
                  <w:tcBorders>
                    <w:top w:val="single" w:color="auto" w:sz="4" w:space="0"/>
                    <w:bottom w:val="single" w:color="auto" w:sz="4" w:space="0"/>
                  </w:tcBorders>
                  <w:vAlign w:val="center"/>
                </w:tcPr>
                <w:p w14:paraId="1B2D9E5F">
                  <w:pPr>
                    <w:jc w:val="center"/>
                    <w:rPr>
                      <w:rFonts w:hint="default" w:cs="Times New Roman"/>
                      <w:color w:val="auto"/>
                      <w:sz w:val="21"/>
                      <w:szCs w:val="21"/>
                      <w:highlight w:val="none"/>
                      <w:lang w:val="en-US" w:eastAsia="zh-CN"/>
                    </w:rPr>
                  </w:pPr>
                  <w:r>
                    <w:rPr>
                      <w:rFonts w:hint="eastAsia" w:cs="Times New Roman"/>
                      <w:b/>
                      <w:bCs/>
                      <w:color w:val="auto"/>
                      <w:sz w:val="21"/>
                      <w:szCs w:val="21"/>
                      <w:highlight w:val="none"/>
                      <w:lang w:val="en-US" w:eastAsia="zh-CN"/>
                    </w:rPr>
                    <w:t>检测结果</w:t>
                  </w:r>
                </w:p>
              </w:tc>
              <w:tc>
                <w:tcPr>
                  <w:tcW w:w="1279" w:type="pct"/>
                  <w:vMerge w:val="restart"/>
                  <w:tcBorders>
                    <w:top w:val="single" w:color="auto" w:sz="4" w:space="0"/>
                  </w:tcBorders>
                  <w:vAlign w:val="center"/>
                </w:tcPr>
                <w:p w14:paraId="4745B872">
                  <w:pPr>
                    <w:keepNext w:val="0"/>
                    <w:keepLines w:val="0"/>
                    <w:pageBreakBefore w:val="0"/>
                    <w:kinsoku/>
                    <w:wordWrap/>
                    <w:overflowPunct/>
                    <w:topLinePunct w:val="0"/>
                    <w:autoSpaceDE/>
                    <w:autoSpaceDN/>
                    <w:bidi w:val="0"/>
                    <w:spacing w:line="440" w:lineRule="exact"/>
                    <w:jc w:val="center"/>
                    <w:rPr>
                      <w:rFonts w:hint="eastAsia"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 xml:space="preserve">《大气污染物综合排放标准详解》 </w:t>
                  </w:r>
                </w:p>
                <w:p w14:paraId="5B12ABC5">
                  <w:pPr>
                    <w:keepNext w:val="0"/>
                    <w:keepLines w:val="0"/>
                    <w:pageBreakBefore w:val="0"/>
                    <w:kinsoku/>
                    <w:wordWrap/>
                    <w:overflowPunct/>
                    <w:topLinePunct w:val="0"/>
                    <w:autoSpaceDE/>
                    <w:autoSpaceDN/>
                    <w:bidi w:val="0"/>
                    <w:spacing w:line="440" w:lineRule="exact"/>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非甲烷总烃浓度限值：</w:t>
                  </w:r>
                  <w:r>
                    <w:rPr>
                      <w:rFonts w:hint="eastAsia" w:cs="Times New Roman"/>
                      <w:color w:val="auto"/>
                      <w:kern w:val="2"/>
                      <w:sz w:val="21"/>
                      <w:szCs w:val="21"/>
                      <w:highlight w:val="none"/>
                      <w:lang w:val="en-US" w:eastAsia="zh-CN" w:bidi="ar-SA"/>
                    </w:rPr>
                    <w:t>5</w:t>
                  </w:r>
                  <w:r>
                    <w:rPr>
                      <w:rFonts w:hint="eastAsia" w:ascii="Times New Roman" w:hAnsi="Times New Roman" w:cs="Times New Roman"/>
                      <w:color w:val="auto"/>
                      <w:kern w:val="2"/>
                      <w:sz w:val="21"/>
                      <w:szCs w:val="21"/>
                      <w:highlight w:val="none"/>
                      <w:lang w:val="en-US" w:eastAsia="zh-CN" w:bidi="ar-SA"/>
                    </w:rPr>
                    <w:t>.0mg/m</w:t>
                  </w:r>
                  <w:r>
                    <w:rPr>
                      <w:rFonts w:hint="eastAsia" w:ascii="Times New Roman" w:hAnsi="Times New Roman" w:cs="Times New Roman"/>
                      <w:color w:val="auto"/>
                      <w:kern w:val="2"/>
                      <w:sz w:val="21"/>
                      <w:szCs w:val="21"/>
                      <w:highlight w:val="none"/>
                      <w:vertAlign w:val="superscript"/>
                      <w:lang w:val="en-US" w:eastAsia="zh-CN" w:bidi="ar-SA"/>
                    </w:rPr>
                    <w:t>3</w:t>
                  </w:r>
                </w:p>
              </w:tc>
              <w:tc>
                <w:tcPr>
                  <w:tcW w:w="484" w:type="pct"/>
                  <w:vMerge w:val="restart"/>
                  <w:vAlign w:val="center"/>
                </w:tcPr>
                <w:p w14:paraId="2E552371">
                  <w:pPr>
                    <w:keepNext w:val="0"/>
                    <w:keepLines w:val="0"/>
                    <w:pageBreakBefore w:val="0"/>
                    <w:kinsoku/>
                    <w:wordWrap/>
                    <w:overflowPunct/>
                    <w:topLinePunct w:val="0"/>
                    <w:autoSpaceDE/>
                    <w:autoSpaceDN/>
                    <w:bidi w:val="0"/>
                    <w:spacing w:line="440" w:lineRule="exact"/>
                    <w:jc w:val="center"/>
                    <w:rPr>
                      <w:rFonts w:hint="eastAsia" w:eastAsia="宋体"/>
                      <w:color w:val="auto"/>
                      <w:szCs w:val="21"/>
                      <w:highlight w:val="none"/>
                      <w:lang w:val="en-US" w:eastAsia="zh-CN" w:bidi="ar"/>
                    </w:rPr>
                  </w:pPr>
                  <w:r>
                    <w:rPr>
                      <w:rFonts w:hint="eastAsia"/>
                      <w:color w:val="auto"/>
                      <w:szCs w:val="21"/>
                      <w:highlight w:val="none"/>
                      <w:lang w:val="en-US" w:eastAsia="zh-CN" w:bidi="ar"/>
                    </w:rPr>
                    <w:t>达标</w:t>
                  </w:r>
                </w:p>
              </w:tc>
            </w:tr>
            <w:tr w14:paraId="571F4B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1039" w:type="pct"/>
                  <w:vMerge w:val="restart"/>
                  <w:tcBorders>
                    <w:top w:val="single" w:color="auto" w:sz="4" w:space="0"/>
                  </w:tcBorders>
                  <w:vAlign w:val="center"/>
                </w:tcPr>
                <w:p w14:paraId="225E67F1">
                  <w:pPr>
                    <w:widowControl/>
                    <w:spacing w:line="240" w:lineRule="auto"/>
                    <w:jc w:val="center"/>
                    <w:textAlignment w:val="center"/>
                    <w:rPr>
                      <w:rFonts w:hint="default"/>
                      <w:color w:val="auto"/>
                      <w:highlight w:val="none"/>
                      <w:lang w:val="en-US"/>
                    </w:rPr>
                  </w:pPr>
                  <w:r>
                    <w:rPr>
                      <w:rFonts w:hint="default" w:ascii="Times New Roman" w:hAnsi="Times New Roman" w:cs="Times New Roman"/>
                      <w:color w:val="auto"/>
                      <w:position w:val="-10"/>
                      <w:sz w:val="21"/>
                      <w:szCs w:val="21"/>
                      <w:highlight w:val="none"/>
                      <w:lang w:val="en-US" w:eastAsia="zh-CN"/>
                    </w:rPr>
                    <w:t>202</w:t>
                  </w:r>
                  <w:r>
                    <w:rPr>
                      <w:rFonts w:hint="eastAsia" w:ascii="Times New Roman" w:hAnsi="Times New Roman" w:cs="Times New Roman"/>
                      <w:color w:val="auto"/>
                      <w:position w:val="-10"/>
                      <w:sz w:val="21"/>
                      <w:szCs w:val="21"/>
                      <w:highlight w:val="none"/>
                      <w:lang w:val="en-US" w:eastAsia="zh-CN"/>
                    </w:rPr>
                    <w:t>6</w:t>
                  </w:r>
                  <w:r>
                    <w:rPr>
                      <w:rFonts w:hint="default" w:ascii="Times New Roman" w:hAnsi="Times New Roman" w:cs="Times New Roman"/>
                      <w:color w:val="auto"/>
                      <w:position w:val="-10"/>
                      <w:sz w:val="21"/>
                      <w:szCs w:val="21"/>
                      <w:highlight w:val="none"/>
                      <w:lang w:val="en-US" w:eastAsia="zh-CN"/>
                    </w:rPr>
                    <w:t>.</w:t>
                  </w:r>
                  <w:r>
                    <w:rPr>
                      <w:rFonts w:hint="eastAsia" w:ascii="Times New Roman" w:hAnsi="Times New Roman" w:cs="Times New Roman"/>
                      <w:color w:val="auto"/>
                      <w:position w:val="-10"/>
                      <w:sz w:val="21"/>
                      <w:szCs w:val="21"/>
                      <w:highlight w:val="none"/>
                      <w:lang w:val="en-US" w:eastAsia="zh-CN"/>
                    </w:rPr>
                    <w:t>03</w:t>
                  </w:r>
                  <w:r>
                    <w:rPr>
                      <w:rFonts w:hint="default" w:ascii="Times New Roman" w:hAnsi="Times New Roman" w:cs="Times New Roman"/>
                      <w:color w:val="auto"/>
                      <w:position w:val="-10"/>
                      <w:sz w:val="21"/>
                      <w:szCs w:val="21"/>
                      <w:highlight w:val="none"/>
                      <w:lang w:val="en-US" w:eastAsia="zh-CN"/>
                    </w:rPr>
                    <w:t>.</w:t>
                  </w:r>
                  <w:r>
                    <w:rPr>
                      <w:rFonts w:hint="eastAsia" w:ascii="Times New Roman" w:hAnsi="Times New Roman" w:cs="Times New Roman"/>
                      <w:color w:val="auto"/>
                      <w:position w:val="-10"/>
                      <w:sz w:val="21"/>
                      <w:szCs w:val="21"/>
                      <w:highlight w:val="none"/>
                      <w:lang w:val="en-US" w:eastAsia="zh-CN"/>
                    </w:rPr>
                    <w:t>12</w:t>
                  </w:r>
                </w:p>
              </w:tc>
              <w:tc>
                <w:tcPr>
                  <w:tcW w:w="632" w:type="pct"/>
                  <w:tcBorders>
                    <w:top w:val="single" w:color="auto" w:sz="4" w:space="0"/>
                  </w:tcBorders>
                  <w:vAlign w:val="center"/>
                </w:tcPr>
                <w:p w14:paraId="3A84D08E">
                  <w:pPr>
                    <w:snapToGrid w:val="0"/>
                    <w:jc w:val="center"/>
                    <w:rPr>
                      <w:rFonts w:hint="eastAsia"/>
                      <w:bCs/>
                      <w:color w:val="auto"/>
                      <w:highlight w:val="none"/>
                      <w:lang w:val="en-US" w:eastAsia="zh-CN"/>
                    </w:rPr>
                  </w:pPr>
                  <w:r>
                    <w:rPr>
                      <w:rFonts w:hint="default" w:ascii="Times New Roman" w:hAnsi="Times New Roman" w:cs="Times New Roman"/>
                      <w:color w:val="auto"/>
                      <w:sz w:val="21"/>
                      <w:szCs w:val="21"/>
                      <w:highlight w:val="none"/>
                      <w:lang w:bidi="ar"/>
                    </w:rPr>
                    <w:t>第一次</w:t>
                  </w:r>
                </w:p>
              </w:tc>
              <w:tc>
                <w:tcPr>
                  <w:tcW w:w="1564" w:type="pct"/>
                  <w:gridSpan w:val="3"/>
                  <w:tcBorders>
                    <w:top w:val="single" w:color="auto" w:sz="4" w:space="0"/>
                  </w:tcBorders>
                  <w:vAlign w:val="center"/>
                </w:tcPr>
                <w:p w14:paraId="20F832C3">
                  <w:pPr>
                    <w:keepNext w:val="0"/>
                    <w:keepLines w:val="0"/>
                    <w:widowControl/>
                    <w:suppressLineNumbers w:val="0"/>
                    <w:jc w:val="center"/>
                    <w:textAlignment w:val="center"/>
                    <w:rPr>
                      <w:rFonts w:hint="eastAsia"/>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1.01</w:t>
                  </w:r>
                </w:p>
              </w:tc>
              <w:tc>
                <w:tcPr>
                  <w:tcW w:w="1279" w:type="pct"/>
                  <w:vMerge w:val="continue"/>
                  <w:vAlign w:val="center"/>
                </w:tcPr>
                <w:p w14:paraId="5AF1A34F">
                  <w:pPr>
                    <w:keepNext w:val="0"/>
                    <w:keepLines w:val="0"/>
                    <w:pageBreakBefore w:val="0"/>
                    <w:tabs>
                      <w:tab w:val="left" w:pos="420"/>
                    </w:tabs>
                    <w:kinsoku/>
                    <w:wordWrap/>
                    <w:overflowPunct/>
                    <w:topLinePunct w:val="0"/>
                    <w:autoSpaceDE/>
                    <w:autoSpaceDN/>
                    <w:bidi w:val="0"/>
                    <w:spacing w:line="440" w:lineRule="exact"/>
                    <w:jc w:val="left"/>
                    <w:rPr>
                      <w:rFonts w:hint="eastAsia" w:eastAsia="宋体"/>
                      <w:color w:val="auto"/>
                      <w:szCs w:val="21"/>
                      <w:highlight w:val="none"/>
                      <w:lang w:eastAsia="zh-CN" w:bidi="ar"/>
                    </w:rPr>
                  </w:pPr>
                </w:p>
              </w:tc>
              <w:tc>
                <w:tcPr>
                  <w:tcW w:w="484" w:type="pct"/>
                  <w:vMerge w:val="continue"/>
                  <w:vAlign w:val="center"/>
                </w:tcPr>
                <w:p w14:paraId="6ED18084">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r>
            <w:tr w14:paraId="67BC89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1039" w:type="pct"/>
                  <w:vMerge w:val="continue"/>
                  <w:vAlign w:val="center"/>
                </w:tcPr>
                <w:p w14:paraId="473E8AC2">
                  <w:pPr>
                    <w:snapToGrid w:val="0"/>
                    <w:jc w:val="center"/>
                    <w:rPr>
                      <w:rFonts w:hint="eastAsia"/>
                      <w:color w:val="auto"/>
                      <w:highlight w:val="none"/>
                    </w:rPr>
                  </w:pPr>
                </w:p>
              </w:tc>
              <w:tc>
                <w:tcPr>
                  <w:tcW w:w="632" w:type="pct"/>
                  <w:vAlign w:val="center"/>
                </w:tcPr>
                <w:p w14:paraId="6E583D01">
                  <w:pPr>
                    <w:snapToGrid w:val="0"/>
                    <w:jc w:val="center"/>
                    <w:rPr>
                      <w:rFonts w:hint="eastAsia"/>
                      <w:bCs/>
                      <w:color w:val="auto"/>
                      <w:highlight w:val="none"/>
                      <w:lang w:val="en-US" w:eastAsia="zh-CN"/>
                    </w:rPr>
                  </w:pPr>
                  <w:r>
                    <w:rPr>
                      <w:rFonts w:hint="default" w:ascii="Times New Roman" w:hAnsi="Times New Roman" w:cs="Times New Roman"/>
                      <w:color w:val="auto"/>
                      <w:sz w:val="21"/>
                      <w:szCs w:val="21"/>
                      <w:highlight w:val="none"/>
                      <w:lang w:bidi="ar"/>
                    </w:rPr>
                    <w:t>第二次</w:t>
                  </w:r>
                </w:p>
              </w:tc>
              <w:tc>
                <w:tcPr>
                  <w:tcW w:w="1564" w:type="pct"/>
                  <w:gridSpan w:val="3"/>
                  <w:vAlign w:val="center"/>
                </w:tcPr>
                <w:p w14:paraId="7D3EE6B9">
                  <w:pPr>
                    <w:keepNext w:val="0"/>
                    <w:keepLines w:val="0"/>
                    <w:widowControl/>
                    <w:suppressLineNumbers w:val="0"/>
                    <w:jc w:val="center"/>
                    <w:textAlignment w:val="center"/>
                    <w:rPr>
                      <w:rFonts w:hint="eastAsia"/>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0.96</w:t>
                  </w:r>
                </w:p>
              </w:tc>
              <w:tc>
                <w:tcPr>
                  <w:tcW w:w="1279" w:type="pct"/>
                  <w:vMerge w:val="continue"/>
                  <w:vAlign w:val="center"/>
                </w:tcPr>
                <w:p w14:paraId="1C88E811">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c>
                <w:tcPr>
                  <w:tcW w:w="484" w:type="pct"/>
                  <w:vMerge w:val="continue"/>
                  <w:vAlign w:val="center"/>
                </w:tcPr>
                <w:p w14:paraId="296EC3C4">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r>
            <w:tr w14:paraId="3A3DDB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1039" w:type="pct"/>
                  <w:vMerge w:val="continue"/>
                  <w:vAlign w:val="center"/>
                </w:tcPr>
                <w:p w14:paraId="787EEDED">
                  <w:pPr>
                    <w:snapToGrid w:val="0"/>
                    <w:jc w:val="center"/>
                    <w:rPr>
                      <w:rFonts w:hint="eastAsia"/>
                      <w:color w:val="auto"/>
                      <w:highlight w:val="none"/>
                    </w:rPr>
                  </w:pPr>
                </w:p>
              </w:tc>
              <w:tc>
                <w:tcPr>
                  <w:tcW w:w="632" w:type="pct"/>
                  <w:vAlign w:val="center"/>
                </w:tcPr>
                <w:p w14:paraId="2A2CACAA">
                  <w:pPr>
                    <w:snapToGrid w:val="0"/>
                    <w:jc w:val="center"/>
                    <w:rPr>
                      <w:rFonts w:hint="eastAsia"/>
                      <w:bCs/>
                      <w:color w:val="auto"/>
                      <w:highlight w:val="none"/>
                      <w:lang w:val="en-US" w:eastAsia="zh-CN"/>
                    </w:rPr>
                  </w:pPr>
                  <w:r>
                    <w:rPr>
                      <w:rFonts w:hint="default" w:ascii="Times New Roman" w:hAnsi="Times New Roman" w:cs="Times New Roman"/>
                      <w:color w:val="auto"/>
                      <w:sz w:val="21"/>
                      <w:szCs w:val="21"/>
                      <w:highlight w:val="none"/>
                      <w:lang w:bidi="ar"/>
                    </w:rPr>
                    <w:t>第三次</w:t>
                  </w:r>
                </w:p>
              </w:tc>
              <w:tc>
                <w:tcPr>
                  <w:tcW w:w="1564" w:type="pct"/>
                  <w:gridSpan w:val="3"/>
                  <w:vAlign w:val="center"/>
                </w:tcPr>
                <w:p w14:paraId="122DABD8">
                  <w:pPr>
                    <w:keepNext w:val="0"/>
                    <w:keepLines w:val="0"/>
                    <w:widowControl/>
                    <w:suppressLineNumbers w:val="0"/>
                    <w:jc w:val="center"/>
                    <w:textAlignment w:val="center"/>
                    <w:rPr>
                      <w:rFonts w:hint="eastAsia"/>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1.02</w:t>
                  </w:r>
                </w:p>
              </w:tc>
              <w:tc>
                <w:tcPr>
                  <w:tcW w:w="1279" w:type="pct"/>
                  <w:vMerge w:val="continue"/>
                  <w:vAlign w:val="center"/>
                </w:tcPr>
                <w:p w14:paraId="197FE785">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c>
                <w:tcPr>
                  <w:tcW w:w="484" w:type="pct"/>
                  <w:vMerge w:val="continue"/>
                  <w:vAlign w:val="center"/>
                </w:tcPr>
                <w:p w14:paraId="1743695D">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r>
            <w:tr w14:paraId="2310C9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1039" w:type="pct"/>
                  <w:vMerge w:val="continue"/>
                  <w:vAlign w:val="center"/>
                </w:tcPr>
                <w:p w14:paraId="46DBABEF">
                  <w:pPr>
                    <w:snapToGrid w:val="0"/>
                    <w:jc w:val="center"/>
                    <w:rPr>
                      <w:rFonts w:hint="eastAsia"/>
                      <w:color w:val="auto"/>
                      <w:highlight w:val="none"/>
                    </w:rPr>
                  </w:pPr>
                </w:p>
              </w:tc>
              <w:tc>
                <w:tcPr>
                  <w:tcW w:w="632" w:type="pct"/>
                  <w:vAlign w:val="center"/>
                </w:tcPr>
                <w:p w14:paraId="616B2D81">
                  <w:pPr>
                    <w:snapToGrid w:val="0"/>
                    <w:jc w:val="center"/>
                    <w:rPr>
                      <w:rFonts w:hint="eastAsia"/>
                      <w:bCs/>
                      <w:color w:val="auto"/>
                      <w:highlight w:val="none"/>
                      <w:lang w:val="en-US" w:eastAsia="zh-CN"/>
                    </w:rPr>
                  </w:pPr>
                  <w:r>
                    <w:rPr>
                      <w:rFonts w:hint="default" w:ascii="Times New Roman" w:hAnsi="Times New Roman" w:cs="Times New Roman"/>
                      <w:color w:val="auto"/>
                      <w:sz w:val="21"/>
                      <w:szCs w:val="21"/>
                      <w:highlight w:val="none"/>
                      <w:lang w:bidi="ar"/>
                    </w:rPr>
                    <w:t>第四次</w:t>
                  </w:r>
                </w:p>
              </w:tc>
              <w:tc>
                <w:tcPr>
                  <w:tcW w:w="1564" w:type="pct"/>
                  <w:gridSpan w:val="3"/>
                  <w:vAlign w:val="center"/>
                </w:tcPr>
                <w:p w14:paraId="1CC13305">
                  <w:pPr>
                    <w:keepNext w:val="0"/>
                    <w:keepLines w:val="0"/>
                    <w:widowControl/>
                    <w:suppressLineNumbers w:val="0"/>
                    <w:jc w:val="center"/>
                    <w:textAlignment w:val="center"/>
                    <w:rPr>
                      <w:rFonts w:hint="eastAsia"/>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0.97</w:t>
                  </w:r>
                </w:p>
              </w:tc>
              <w:tc>
                <w:tcPr>
                  <w:tcW w:w="1279" w:type="pct"/>
                  <w:vMerge w:val="continue"/>
                  <w:vAlign w:val="center"/>
                </w:tcPr>
                <w:p w14:paraId="6D117B5A">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c>
                <w:tcPr>
                  <w:tcW w:w="484" w:type="pct"/>
                  <w:vMerge w:val="continue"/>
                  <w:vAlign w:val="center"/>
                </w:tcPr>
                <w:p w14:paraId="5DC82C13">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r>
            <w:tr w14:paraId="1CC6A3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1039" w:type="pct"/>
                  <w:vMerge w:val="restart"/>
                  <w:vAlign w:val="center"/>
                </w:tcPr>
                <w:p w14:paraId="66E3E035">
                  <w:pPr>
                    <w:widowControl/>
                    <w:spacing w:line="240" w:lineRule="auto"/>
                    <w:jc w:val="center"/>
                    <w:textAlignment w:val="center"/>
                    <w:rPr>
                      <w:rFonts w:hint="default"/>
                      <w:color w:val="auto"/>
                      <w:highlight w:val="none"/>
                      <w:lang w:val="en-US"/>
                    </w:rPr>
                  </w:pPr>
                  <w:r>
                    <w:rPr>
                      <w:rFonts w:hint="default" w:ascii="Times New Roman" w:hAnsi="Times New Roman" w:cs="Times New Roman"/>
                      <w:color w:val="auto"/>
                      <w:position w:val="-10"/>
                      <w:sz w:val="21"/>
                      <w:szCs w:val="21"/>
                      <w:highlight w:val="none"/>
                      <w:lang w:val="en-US" w:eastAsia="zh-CN"/>
                    </w:rPr>
                    <w:t>202</w:t>
                  </w:r>
                  <w:r>
                    <w:rPr>
                      <w:rFonts w:hint="eastAsia" w:ascii="Times New Roman" w:hAnsi="Times New Roman" w:cs="Times New Roman"/>
                      <w:color w:val="auto"/>
                      <w:position w:val="-10"/>
                      <w:sz w:val="21"/>
                      <w:szCs w:val="21"/>
                      <w:highlight w:val="none"/>
                      <w:lang w:val="en-US" w:eastAsia="zh-CN"/>
                    </w:rPr>
                    <w:t>6</w:t>
                  </w:r>
                  <w:r>
                    <w:rPr>
                      <w:rFonts w:hint="default" w:ascii="Times New Roman" w:hAnsi="Times New Roman" w:cs="Times New Roman"/>
                      <w:color w:val="auto"/>
                      <w:position w:val="-10"/>
                      <w:sz w:val="21"/>
                      <w:szCs w:val="21"/>
                      <w:highlight w:val="none"/>
                      <w:lang w:val="en-US" w:eastAsia="zh-CN"/>
                    </w:rPr>
                    <w:t>.</w:t>
                  </w:r>
                  <w:r>
                    <w:rPr>
                      <w:rFonts w:hint="eastAsia" w:ascii="Times New Roman" w:hAnsi="Times New Roman" w:cs="Times New Roman"/>
                      <w:color w:val="auto"/>
                      <w:position w:val="-10"/>
                      <w:sz w:val="21"/>
                      <w:szCs w:val="21"/>
                      <w:highlight w:val="none"/>
                      <w:lang w:val="en-US" w:eastAsia="zh-CN"/>
                    </w:rPr>
                    <w:t>03</w:t>
                  </w:r>
                  <w:r>
                    <w:rPr>
                      <w:rFonts w:hint="default" w:ascii="Times New Roman" w:hAnsi="Times New Roman" w:cs="Times New Roman"/>
                      <w:color w:val="auto"/>
                      <w:position w:val="-10"/>
                      <w:sz w:val="21"/>
                      <w:szCs w:val="21"/>
                      <w:highlight w:val="none"/>
                      <w:lang w:val="en-US" w:eastAsia="zh-CN"/>
                    </w:rPr>
                    <w:t>.</w:t>
                  </w:r>
                  <w:r>
                    <w:rPr>
                      <w:rFonts w:hint="eastAsia" w:ascii="Times New Roman" w:hAnsi="Times New Roman" w:cs="Times New Roman"/>
                      <w:color w:val="auto"/>
                      <w:position w:val="-10"/>
                      <w:sz w:val="21"/>
                      <w:szCs w:val="21"/>
                      <w:highlight w:val="none"/>
                      <w:lang w:val="en-US" w:eastAsia="zh-CN"/>
                    </w:rPr>
                    <w:t>13</w:t>
                  </w:r>
                </w:p>
              </w:tc>
              <w:tc>
                <w:tcPr>
                  <w:tcW w:w="632" w:type="pct"/>
                  <w:vAlign w:val="center"/>
                </w:tcPr>
                <w:p w14:paraId="62CA2814">
                  <w:pPr>
                    <w:snapToGrid w:val="0"/>
                    <w:jc w:val="center"/>
                    <w:rPr>
                      <w:rFonts w:hint="eastAsia"/>
                      <w:bCs/>
                      <w:color w:val="auto"/>
                      <w:highlight w:val="none"/>
                      <w:lang w:val="en-US" w:eastAsia="zh-CN"/>
                    </w:rPr>
                  </w:pPr>
                  <w:r>
                    <w:rPr>
                      <w:rFonts w:hint="default" w:ascii="Times New Roman" w:hAnsi="Times New Roman" w:cs="Times New Roman"/>
                      <w:color w:val="auto"/>
                      <w:sz w:val="21"/>
                      <w:szCs w:val="21"/>
                      <w:highlight w:val="none"/>
                      <w:lang w:bidi="ar"/>
                    </w:rPr>
                    <w:t>第一次</w:t>
                  </w:r>
                </w:p>
              </w:tc>
              <w:tc>
                <w:tcPr>
                  <w:tcW w:w="1564" w:type="pct"/>
                  <w:gridSpan w:val="3"/>
                  <w:vAlign w:val="center"/>
                </w:tcPr>
                <w:p w14:paraId="6CA8E338">
                  <w:pPr>
                    <w:keepNext w:val="0"/>
                    <w:keepLines w:val="0"/>
                    <w:widowControl/>
                    <w:suppressLineNumbers w:val="0"/>
                    <w:jc w:val="center"/>
                    <w:textAlignment w:val="center"/>
                    <w:rPr>
                      <w:rFonts w:hint="eastAsia"/>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1.02</w:t>
                  </w:r>
                </w:p>
              </w:tc>
              <w:tc>
                <w:tcPr>
                  <w:tcW w:w="1279" w:type="pct"/>
                  <w:vMerge w:val="continue"/>
                  <w:vAlign w:val="center"/>
                </w:tcPr>
                <w:p w14:paraId="62301C3F">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c>
                <w:tcPr>
                  <w:tcW w:w="484" w:type="pct"/>
                  <w:vMerge w:val="restart"/>
                  <w:vAlign w:val="center"/>
                </w:tcPr>
                <w:p w14:paraId="430C05E0">
                  <w:pPr>
                    <w:keepNext w:val="0"/>
                    <w:keepLines w:val="0"/>
                    <w:pageBreakBefore w:val="0"/>
                    <w:kinsoku/>
                    <w:wordWrap/>
                    <w:overflowPunct/>
                    <w:topLinePunct w:val="0"/>
                    <w:autoSpaceDE/>
                    <w:autoSpaceDN/>
                    <w:bidi w:val="0"/>
                    <w:spacing w:line="440" w:lineRule="exact"/>
                    <w:jc w:val="center"/>
                    <w:rPr>
                      <w:rFonts w:hint="eastAsia" w:eastAsia="宋体"/>
                      <w:color w:val="auto"/>
                      <w:szCs w:val="21"/>
                      <w:highlight w:val="none"/>
                      <w:lang w:val="en-US" w:eastAsia="zh-CN" w:bidi="ar"/>
                    </w:rPr>
                  </w:pPr>
                  <w:r>
                    <w:rPr>
                      <w:rFonts w:hint="eastAsia"/>
                      <w:color w:val="auto"/>
                      <w:szCs w:val="21"/>
                      <w:highlight w:val="none"/>
                      <w:lang w:val="en-US" w:eastAsia="zh-CN" w:bidi="ar"/>
                    </w:rPr>
                    <w:t>达标</w:t>
                  </w:r>
                </w:p>
              </w:tc>
            </w:tr>
            <w:tr w14:paraId="7A4225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1039" w:type="pct"/>
                  <w:vMerge w:val="continue"/>
                  <w:vAlign w:val="center"/>
                </w:tcPr>
                <w:p w14:paraId="4C31D6B3">
                  <w:pPr>
                    <w:snapToGrid w:val="0"/>
                    <w:jc w:val="center"/>
                    <w:rPr>
                      <w:rFonts w:hint="eastAsia"/>
                      <w:color w:val="auto"/>
                      <w:highlight w:val="none"/>
                    </w:rPr>
                  </w:pPr>
                </w:p>
              </w:tc>
              <w:tc>
                <w:tcPr>
                  <w:tcW w:w="632" w:type="pct"/>
                  <w:vAlign w:val="center"/>
                </w:tcPr>
                <w:p w14:paraId="212899BF">
                  <w:pPr>
                    <w:snapToGrid w:val="0"/>
                    <w:jc w:val="center"/>
                    <w:rPr>
                      <w:rFonts w:hint="eastAsia"/>
                      <w:bCs/>
                      <w:color w:val="auto"/>
                      <w:highlight w:val="none"/>
                      <w:lang w:val="en-US" w:eastAsia="zh-CN"/>
                    </w:rPr>
                  </w:pPr>
                  <w:r>
                    <w:rPr>
                      <w:rFonts w:hint="default" w:ascii="Times New Roman" w:hAnsi="Times New Roman" w:cs="Times New Roman"/>
                      <w:color w:val="auto"/>
                      <w:sz w:val="21"/>
                      <w:szCs w:val="21"/>
                      <w:highlight w:val="none"/>
                      <w:lang w:bidi="ar"/>
                    </w:rPr>
                    <w:t>第二次</w:t>
                  </w:r>
                </w:p>
              </w:tc>
              <w:tc>
                <w:tcPr>
                  <w:tcW w:w="1564" w:type="pct"/>
                  <w:gridSpan w:val="3"/>
                  <w:vAlign w:val="center"/>
                </w:tcPr>
                <w:p w14:paraId="2C9D9A7A">
                  <w:pPr>
                    <w:keepNext w:val="0"/>
                    <w:keepLines w:val="0"/>
                    <w:widowControl/>
                    <w:suppressLineNumbers w:val="0"/>
                    <w:jc w:val="center"/>
                    <w:textAlignment w:val="center"/>
                    <w:rPr>
                      <w:rFonts w:hint="eastAsia"/>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0.99</w:t>
                  </w:r>
                </w:p>
              </w:tc>
              <w:tc>
                <w:tcPr>
                  <w:tcW w:w="1279" w:type="pct"/>
                  <w:vMerge w:val="continue"/>
                  <w:vAlign w:val="center"/>
                </w:tcPr>
                <w:p w14:paraId="3D2D5B5E">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c>
                <w:tcPr>
                  <w:tcW w:w="484" w:type="pct"/>
                  <w:vMerge w:val="continue"/>
                  <w:vAlign w:val="center"/>
                </w:tcPr>
                <w:p w14:paraId="73FDFAB8">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r>
            <w:tr w14:paraId="26CA22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1039" w:type="pct"/>
                  <w:vMerge w:val="continue"/>
                  <w:vAlign w:val="center"/>
                </w:tcPr>
                <w:p w14:paraId="73A77257">
                  <w:pPr>
                    <w:snapToGrid w:val="0"/>
                    <w:jc w:val="center"/>
                    <w:rPr>
                      <w:rFonts w:hint="eastAsia"/>
                      <w:color w:val="auto"/>
                      <w:highlight w:val="none"/>
                    </w:rPr>
                  </w:pPr>
                </w:p>
              </w:tc>
              <w:tc>
                <w:tcPr>
                  <w:tcW w:w="632" w:type="pct"/>
                  <w:vAlign w:val="center"/>
                </w:tcPr>
                <w:p w14:paraId="6DD86E96">
                  <w:pPr>
                    <w:snapToGrid w:val="0"/>
                    <w:jc w:val="center"/>
                    <w:rPr>
                      <w:rFonts w:hint="eastAsia"/>
                      <w:bCs/>
                      <w:color w:val="auto"/>
                      <w:highlight w:val="none"/>
                      <w:lang w:val="en-US" w:eastAsia="zh-CN"/>
                    </w:rPr>
                  </w:pPr>
                  <w:r>
                    <w:rPr>
                      <w:rFonts w:hint="default" w:ascii="Times New Roman" w:hAnsi="Times New Roman" w:cs="Times New Roman"/>
                      <w:color w:val="auto"/>
                      <w:sz w:val="21"/>
                      <w:szCs w:val="21"/>
                      <w:highlight w:val="none"/>
                      <w:lang w:bidi="ar"/>
                    </w:rPr>
                    <w:t>第三次</w:t>
                  </w:r>
                </w:p>
              </w:tc>
              <w:tc>
                <w:tcPr>
                  <w:tcW w:w="1564" w:type="pct"/>
                  <w:gridSpan w:val="3"/>
                  <w:vAlign w:val="center"/>
                </w:tcPr>
                <w:p w14:paraId="2A703F16">
                  <w:pPr>
                    <w:keepNext w:val="0"/>
                    <w:keepLines w:val="0"/>
                    <w:widowControl/>
                    <w:suppressLineNumbers w:val="0"/>
                    <w:jc w:val="center"/>
                    <w:textAlignment w:val="center"/>
                    <w:rPr>
                      <w:rFonts w:hint="eastAsia"/>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1.01</w:t>
                  </w:r>
                </w:p>
              </w:tc>
              <w:tc>
                <w:tcPr>
                  <w:tcW w:w="1279" w:type="pct"/>
                  <w:vMerge w:val="continue"/>
                  <w:vAlign w:val="center"/>
                </w:tcPr>
                <w:p w14:paraId="4F3EB2CB">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c>
                <w:tcPr>
                  <w:tcW w:w="484" w:type="pct"/>
                  <w:vMerge w:val="continue"/>
                  <w:vAlign w:val="center"/>
                </w:tcPr>
                <w:p w14:paraId="3EEDFCB1">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r>
            <w:tr w14:paraId="19D395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1039" w:type="pct"/>
                  <w:vMerge w:val="continue"/>
                  <w:vAlign w:val="center"/>
                </w:tcPr>
                <w:p w14:paraId="3E4D1918">
                  <w:pPr>
                    <w:snapToGrid w:val="0"/>
                    <w:jc w:val="center"/>
                    <w:rPr>
                      <w:rFonts w:hint="eastAsia"/>
                      <w:color w:val="auto"/>
                      <w:highlight w:val="none"/>
                    </w:rPr>
                  </w:pPr>
                </w:p>
              </w:tc>
              <w:tc>
                <w:tcPr>
                  <w:tcW w:w="632" w:type="pct"/>
                  <w:vAlign w:val="center"/>
                </w:tcPr>
                <w:p w14:paraId="7531EA25">
                  <w:pPr>
                    <w:snapToGrid w:val="0"/>
                    <w:jc w:val="center"/>
                    <w:rPr>
                      <w:rFonts w:hint="eastAsia"/>
                      <w:bCs/>
                      <w:color w:val="auto"/>
                      <w:highlight w:val="none"/>
                      <w:lang w:val="en-US" w:eastAsia="zh-CN"/>
                    </w:rPr>
                  </w:pPr>
                  <w:r>
                    <w:rPr>
                      <w:rFonts w:hint="default" w:ascii="Times New Roman" w:hAnsi="Times New Roman" w:cs="Times New Roman"/>
                      <w:color w:val="auto"/>
                      <w:sz w:val="21"/>
                      <w:szCs w:val="21"/>
                      <w:highlight w:val="none"/>
                      <w:lang w:bidi="ar"/>
                    </w:rPr>
                    <w:t>第四次</w:t>
                  </w:r>
                </w:p>
              </w:tc>
              <w:tc>
                <w:tcPr>
                  <w:tcW w:w="1564" w:type="pct"/>
                  <w:gridSpan w:val="3"/>
                  <w:vAlign w:val="center"/>
                </w:tcPr>
                <w:p w14:paraId="4F660AA8">
                  <w:pPr>
                    <w:keepNext w:val="0"/>
                    <w:keepLines w:val="0"/>
                    <w:widowControl/>
                    <w:suppressLineNumbers w:val="0"/>
                    <w:jc w:val="center"/>
                    <w:textAlignment w:val="center"/>
                    <w:rPr>
                      <w:rFonts w:hint="eastAsia"/>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0.95</w:t>
                  </w:r>
                </w:p>
              </w:tc>
              <w:tc>
                <w:tcPr>
                  <w:tcW w:w="1279" w:type="pct"/>
                  <w:vMerge w:val="continue"/>
                  <w:vAlign w:val="center"/>
                </w:tcPr>
                <w:p w14:paraId="22ADA3CB">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c>
                <w:tcPr>
                  <w:tcW w:w="484" w:type="pct"/>
                  <w:vMerge w:val="continue"/>
                  <w:vAlign w:val="center"/>
                </w:tcPr>
                <w:p w14:paraId="2B93A558">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r>
            <w:tr w14:paraId="17A541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1039" w:type="pct"/>
                  <w:vMerge w:val="restart"/>
                  <w:vAlign w:val="center"/>
                </w:tcPr>
                <w:p w14:paraId="404313E2">
                  <w:pPr>
                    <w:widowControl/>
                    <w:spacing w:line="240" w:lineRule="auto"/>
                    <w:jc w:val="center"/>
                    <w:textAlignment w:val="center"/>
                    <w:rPr>
                      <w:rFonts w:hint="default"/>
                      <w:color w:val="auto"/>
                      <w:highlight w:val="none"/>
                      <w:lang w:val="en-US"/>
                    </w:rPr>
                  </w:pPr>
                  <w:r>
                    <w:rPr>
                      <w:rFonts w:hint="default" w:ascii="Times New Roman" w:hAnsi="Times New Roman" w:cs="Times New Roman"/>
                      <w:color w:val="auto"/>
                      <w:position w:val="-10"/>
                      <w:sz w:val="21"/>
                      <w:szCs w:val="21"/>
                      <w:highlight w:val="none"/>
                      <w:lang w:val="en-US" w:eastAsia="zh-CN"/>
                    </w:rPr>
                    <w:t>202</w:t>
                  </w:r>
                  <w:r>
                    <w:rPr>
                      <w:rFonts w:hint="eastAsia" w:ascii="Times New Roman" w:hAnsi="Times New Roman" w:cs="Times New Roman"/>
                      <w:color w:val="auto"/>
                      <w:position w:val="-10"/>
                      <w:sz w:val="21"/>
                      <w:szCs w:val="21"/>
                      <w:highlight w:val="none"/>
                      <w:lang w:val="en-US" w:eastAsia="zh-CN"/>
                    </w:rPr>
                    <w:t>6</w:t>
                  </w:r>
                  <w:r>
                    <w:rPr>
                      <w:rFonts w:hint="default" w:ascii="Times New Roman" w:hAnsi="Times New Roman" w:cs="Times New Roman"/>
                      <w:color w:val="auto"/>
                      <w:position w:val="-10"/>
                      <w:sz w:val="21"/>
                      <w:szCs w:val="21"/>
                      <w:highlight w:val="none"/>
                      <w:lang w:val="en-US" w:eastAsia="zh-CN"/>
                    </w:rPr>
                    <w:t>.</w:t>
                  </w:r>
                  <w:r>
                    <w:rPr>
                      <w:rFonts w:hint="eastAsia" w:ascii="Times New Roman" w:hAnsi="Times New Roman" w:cs="Times New Roman"/>
                      <w:color w:val="auto"/>
                      <w:position w:val="-10"/>
                      <w:sz w:val="21"/>
                      <w:szCs w:val="21"/>
                      <w:highlight w:val="none"/>
                      <w:lang w:val="en-US" w:eastAsia="zh-CN"/>
                    </w:rPr>
                    <w:t>03</w:t>
                  </w:r>
                  <w:r>
                    <w:rPr>
                      <w:rFonts w:hint="default" w:ascii="Times New Roman" w:hAnsi="Times New Roman" w:cs="Times New Roman"/>
                      <w:color w:val="auto"/>
                      <w:position w:val="-10"/>
                      <w:sz w:val="21"/>
                      <w:szCs w:val="21"/>
                      <w:highlight w:val="none"/>
                      <w:lang w:val="en-US" w:eastAsia="zh-CN"/>
                    </w:rPr>
                    <w:t>.</w:t>
                  </w:r>
                  <w:r>
                    <w:rPr>
                      <w:rFonts w:hint="eastAsia" w:ascii="Times New Roman" w:hAnsi="Times New Roman" w:cs="Times New Roman"/>
                      <w:color w:val="auto"/>
                      <w:position w:val="-10"/>
                      <w:sz w:val="21"/>
                      <w:szCs w:val="21"/>
                      <w:highlight w:val="none"/>
                      <w:lang w:val="en-US" w:eastAsia="zh-CN"/>
                    </w:rPr>
                    <w:t>14</w:t>
                  </w:r>
                </w:p>
              </w:tc>
              <w:tc>
                <w:tcPr>
                  <w:tcW w:w="632" w:type="pct"/>
                  <w:vAlign w:val="center"/>
                </w:tcPr>
                <w:p w14:paraId="533E6CCC">
                  <w:pPr>
                    <w:snapToGrid w:val="0"/>
                    <w:jc w:val="center"/>
                    <w:rPr>
                      <w:rFonts w:hint="eastAsia"/>
                      <w:bCs/>
                      <w:color w:val="auto"/>
                      <w:highlight w:val="none"/>
                      <w:lang w:val="en-US" w:eastAsia="zh-CN"/>
                    </w:rPr>
                  </w:pPr>
                  <w:r>
                    <w:rPr>
                      <w:rFonts w:hint="default" w:ascii="Times New Roman" w:hAnsi="Times New Roman" w:cs="Times New Roman"/>
                      <w:color w:val="auto"/>
                      <w:sz w:val="21"/>
                      <w:szCs w:val="21"/>
                      <w:highlight w:val="none"/>
                      <w:lang w:bidi="ar"/>
                    </w:rPr>
                    <w:t>第一次</w:t>
                  </w:r>
                </w:p>
              </w:tc>
              <w:tc>
                <w:tcPr>
                  <w:tcW w:w="1564" w:type="pct"/>
                  <w:gridSpan w:val="3"/>
                  <w:vAlign w:val="center"/>
                </w:tcPr>
                <w:p w14:paraId="0ECCCF58">
                  <w:pPr>
                    <w:keepNext w:val="0"/>
                    <w:keepLines w:val="0"/>
                    <w:widowControl/>
                    <w:suppressLineNumbers w:val="0"/>
                    <w:jc w:val="center"/>
                    <w:textAlignment w:val="center"/>
                    <w:rPr>
                      <w:rFonts w:hint="eastAsia"/>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1.04</w:t>
                  </w:r>
                </w:p>
              </w:tc>
              <w:tc>
                <w:tcPr>
                  <w:tcW w:w="1279" w:type="pct"/>
                  <w:vMerge w:val="continue"/>
                  <w:vAlign w:val="center"/>
                </w:tcPr>
                <w:p w14:paraId="74715C01">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c>
                <w:tcPr>
                  <w:tcW w:w="484" w:type="pct"/>
                  <w:vMerge w:val="restart"/>
                  <w:vAlign w:val="center"/>
                </w:tcPr>
                <w:p w14:paraId="472C4726">
                  <w:pPr>
                    <w:keepNext w:val="0"/>
                    <w:keepLines w:val="0"/>
                    <w:pageBreakBefore w:val="0"/>
                    <w:kinsoku/>
                    <w:wordWrap/>
                    <w:overflowPunct/>
                    <w:topLinePunct w:val="0"/>
                    <w:autoSpaceDE/>
                    <w:autoSpaceDN/>
                    <w:bidi w:val="0"/>
                    <w:spacing w:line="440" w:lineRule="exact"/>
                    <w:jc w:val="center"/>
                    <w:rPr>
                      <w:rFonts w:hint="default" w:eastAsia="宋体"/>
                      <w:color w:val="auto"/>
                      <w:szCs w:val="21"/>
                      <w:highlight w:val="none"/>
                      <w:lang w:val="en-US" w:eastAsia="zh-CN" w:bidi="ar"/>
                    </w:rPr>
                  </w:pPr>
                  <w:r>
                    <w:rPr>
                      <w:rFonts w:hint="eastAsia"/>
                      <w:color w:val="auto"/>
                      <w:szCs w:val="21"/>
                      <w:highlight w:val="none"/>
                      <w:lang w:val="en-US" w:eastAsia="zh-CN" w:bidi="ar"/>
                    </w:rPr>
                    <w:t>达标</w:t>
                  </w:r>
                </w:p>
              </w:tc>
            </w:tr>
            <w:tr w14:paraId="2F7396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1039" w:type="pct"/>
                  <w:vMerge w:val="continue"/>
                  <w:vAlign w:val="center"/>
                </w:tcPr>
                <w:p w14:paraId="57F8E900">
                  <w:pPr>
                    <w:snapToGrid w:val="0"/>
                    <w:jc w:val="center"/>
                    <w:rPr>
                      <w:rFonts w:hint="eastAsia"/>
                      <w:color w:val="auto"/>
                      <w:highlight w:val="none"/>
                    </w:rPr>
                  </w:pPr>
                </w:p>
              </w:tc>
              <w:tc>
                <w:tcPr>
                  <w:tcW w:w="632" w:type="pct"/>
                  <w:vAlign w:val="center"/>
                </w:tcPr>
                <w:p w14:paraId="523CF6ED">
                  <w:pPr>
                    <w:snapToGrid w:val="0"/>
                    <w:jc w:val="center"/>
                    <w:rPr>
                      <w:rFonts w:hint="eastAsia"/>
                      <w:bCs/>
                      <w:color w:val="auto"/>
                      <w:highlight w:val="none"/>
                      <w:lang w:val="en-US" w:eastAsia="zh-CN"/>
                    </w:rPr>
                  </w:pPr>
                  <w:r>
                    <w:rPr>
                      <w:rFonts w:hint="default" w:ascii="Times New Roman" w:hAnsi="Times New Roman" w:cs="Times New Roman"/>
                      <w:color w:val="auto"/>
                      <w:sz w:val="21"/>
                      <w:szCs w:val="21"/>
                      <w:highlight w:val="none"/>
                      <w:lang w:bidi="ar"/>
                    </w:rPr>
                    <w:t>第二次</w:t>
                  </w:r>
                </w:p>
              </w:tc>
              <w:tc>
                <w:tcPr>
                  <w:tcW w:w="1564" w:type="pct"/>
                  <w:gridSpan w:val="3"/>
                  <w:vAlign w:val="center"/>
                </w:tcPr>
                <w:p w14:paraId="2FCE3B42">
                  <w:pPr>
                    <w:keepNext w:val="0"/>
                    <w:keepLines w:val="0"/>
                    <w:widowControl/>
                    <w:suppressLineNumbers w:val="0"/>
                    <w:jc w:val="center"/>
                    <w:textAlignment w:val="center"/>
                    <w:rPr>
                      <w:rFonts w:hint="default"/>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1.02</w:t>
                  </w:r>
                </w:p>
              </w:tc>
              <w:tc>
                <w:tcPr>
                  <w:tcW w:w="1279" w:type="pct"/>
                  <w:vMerge w:val="continue"/>
                  <w:vAlign w:val="center"/>
                </w:tcPr>
                <w:p w14:paraId="28381FAA">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c>
                <w:tcPr>
                  <w:tcW w:w="484" w:type="pct"/>
                  <w:vMerge w:val="continue"/>
                  <w:vAlign w:val="center"/>
                </w:tcPr>
                <w:p w14:paraId="67ED46F2">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r>
            <w:tr w14:paraId="698916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8" w:hRule="atLeast"/>
                <w:jc w:val="center"/>
              </w:trPr>
              <w:tc>
                <w:tcPr>
                  <w:tcW w:w="1039" w:type="pct"/>
                  <w:vMerge w:val="continue"/>
                  <w:vAlign w:val="center"/>
                </w:tcPr>
                <w:p w14:paraId="5F718BF1">
                  <w:pPr>
                    <w:snapToGrid w:val="0"/>
                    <w:jc w:val="center"/>
                    <w:rPr>
                      <w:rFonts w:hint="eastAsia"/>
                      <w:color w:val="auto"/>
                      <w:highlight w:val="none"/>
                    </w:rPr>
                  </w:pPr>
                </w:p>
              </w:tc>
              <w:tc>
                <w:tcPr>
                  <w:tcW w:w="632" w:type="pct"/>
                  <w:vAlign w:val="center"/>
                </w:tcPr>
                <w:p w14:paraId="5E15B3AA">
                  <w:pPr>
                    <w:snapToGrid w:val="0"/>
                    <w:jc w:val="center"/>
                    <w:rPr>
                      <w:rFonts w:hint="eastAsia"/>
                      <w:bCs/>
                      <w:color w:val="auto"/>
                      <w:highlight w:val="none"/>
                      <w:lang w:val="en-US" w:eastAsia="zh-CN"/>
                    </w:rPr>
                  </w:pPr>
                  <w:r>
                    <w:rPr>
                      <w:rFonts w:hint="default" w:ascii="Times New Roman" w:hAnsi="Times New Roman" w:cs="Times New Roman"/>
                      <w:color w:val="auto"/>
                      <w:sz w:val="21"/>
                      <w:szCs w:val="21"/>
                      <w:highlight w:val="none"/>
                      <w:lang w:bidi="ar"/>
                    </w:rPr>
                    <w:t>第三次</w:t>
                  </w:r>
                </w:p>
              </w:tc>
              <w:tc>
                <w:tcPr>
                  <w:tcW w:w="1564" w:type="pct"/>
                  <w:gridSpan w:val="3"/>
                  <w:vAlign w:val="center"/>
                </w:tcPr>
                <w:p w14:paraId="30DDCA04">
                  <w:pPr>
                    <w:keepNext w:val="0"/>
                    <w:keepLines w:val="0"/>
                    <w:widowControl/>
                    <w:suppressLineNumbers w:val="0"/>
                    <w:jc w:val="center"/>
                    <w:textAlignment w:val="center"/>
                    <w:rPr>
                      <w:rFonts w:hint="eastAsia"/>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0.99</w:t>
                  </w:r>
                </w:p>
              </w:tc>
              <w:tc>
                <w:tcPr>
                  <w:tcW w:w="1279" w:type="pct"/>
                  <w:vMerge w:val="continue"/>
                  <w:vAlign w:val="center"/>
                </w:tcPr>
                <w:p w14:paraId="728863D8">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c>
                <w:tcPr>
                  <w:tcW w:w="484" w:type="pct"/>
                  <w:vMerge w:val="continue"/>
                  <w:vAlign w:val="center"/>
                </w:tcPr>
                <w:p w14:paraId="74607E9E">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r>
            <w:tr w14:paraId="371173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3" w:hRule="atLeast"/>
                <w:jc w:val="center"/>
              </w:trPr>
              <w:tc>
                <w:tcPr>
                  <w:tcW w:w="1039" w:type="pct"/>
                  <w:vMerge w:val="continue"/>
                  <w:vAlign w:val="center"/>
                </w:tcPr>
                <w:p w14:paraId="4B36AF60">
                  <w:pPr>
                    <w:snapToGrid w:val="0"/>
                    <w:jc w:val="center"/>
                    <w:rPr>
                      <w:rFonts w:hint="eastAsia"/>
                      <w:color w:val="auto"/>
                      <w:highlight w:val="none"/>
                    </w:rPr>
                  </w:pPr>
                </w:p>
              </w:tc>
              <w:tc>
                <w:tcPr>
                  <w:tcW w:w="632" w:type="pct"/>
                  <w:vAlign w:val="center"/>
                </w:tcPr>
                <w:p w14:paraId="3954D868">
                  <w:pPr>
                    <w:snapToGrid w:val="0"/>
                    <w:jc w:val="center"/>
                    <w:rPr>
                      <w:rFonts w:hint="eastAsia"/>
                      <w:bCs/>
                      <w:color w:val="auto"/>
                      <w:highlight w:val="none"/>
                      <w:lang w:val="en-US" w:eastAsia="zh-CN"/>
                    </w:rPr>
                  </w:pPr>
                  <w:r>
                    <w:rPr>
                      <w:rFonts w:hint="default" w:ascii="Times New Roman" w:hAnsi="Times New Roman" w:cs="Times New Roman"/>
                      <w:color w:val="auto"/>
                      <w:sz w:val="21"/>
                      <w:szCs w:val="21"/>
                      <w:highlight w:val="none"/>
                      <w:lang w:bidi="ar"/>
                    </w:rPr>
                    <w:t>第四次</w:t>
                  </w:r>
                </w:p>
              </w:tc>
              <w:tc>
                <w:tcPr>
                  <w:tcW w:w="1564" w:type="pct"/>
                  <w:gridSpan w:val="3"/>
                  <w:vAlign w:val="center"/>
                </w:tcPr>
                <w:p w14:paraId="3BB8DC0C">
                  <w:pPr>
                    <w:keepNext w:val="0"/>
                    <w:keepLines w:val="0"/>
                    <w:widowControl/>
                    <w:suppressLineNumbers w:val="0"/>
                    <w:jc w:val="center"/>
                    <w:textAlignment w:val="center"/>
                    <w:rPr>
                      <w:rFonts w:hint="eastAsia"/>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0.95</w:t>
                  </w:r>
                </w:p>
              </w:tc>
              <w:tc>
                <w:tcPr>
                  <w:tcW w:w="1279" w:type="pct"/>
                  <w:vMerge w:val="continue"/>
                  <w:vAlign w:val="center"/>
                </w:tcPr>
                <w:p w14:paraId="36696527">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c>
                <w:tcPr>
                  <w:tcW w:w="484" w:type="pct"/>
                  <w:vMerge w:val="continue"/>
                  <w:vAlign w:val="center"/>
                </w:tcPr>
                <w:p w14:paraId="2FB1D908">
                  <w:pPr>
                    <w:keepNext w:val="0"/>
                    <w:keepLines w:val="0"/>
                    <w:pageBreakBefore w:val="0"/>
                    <w:kinsoku/>
                    <w:wordWrap/>
                    <w:overflowPunct/>
                    <w:topLinePunct w:val="0"/>
                    <w:autoSpaceDE/>
                    <w:autoSpaceDN/>
                    <w:bidi w:val="0"/>
                    <w:spacing w:line="440" w:lineRule="exact"/>
                    <w:jc w:val="center"/>
                    <w:rPr>
                      <w:color w:val="auto"/>
                      <w:szCs w:val="21"/>
                      <w:highlight w:val="none"/>
                      <w:lang w:bidi="ar"/>
                    </w:rPr>
                  </w:pPr>
                </w:p>
              </w:tc>
            </w:tr>
          </w:tbl>
          <w:p w14:paraId="1759CB04">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imes New Roman" w:hAnsi="Times New Roman" w:cs="Times New Roman"/>
                <w:color w:val="auto"/>
                <w:kern w:val="2"/>
                <w:sz w:val="24"/>
                <w:szCs w:val="24"/>
                <w:highlight w:val="none"/>
                <w:lang w:val="en-US" w:eastAsia="zh-CN" w:bidi="ar-SA"/>
              </w:rPr>
            </w:pPr>
            <w:r>
              <w:rPr>
                <w:rFonts w:hint="default" w:ascii="Times New Roman" w:hAnsi="Times New Roman" w:eastAsia="宋体" w:cs="Times New Roman"/>
                <w:b w:val="0"/>
                <w:bCs/>
                <w:color w:val="auto"/>
                <w:sz w:val="24"/>
                <w:szCs w:val="24"/>
                <w:highlight w:val="none"/>
                <w:lang w:val="en-US" w:eastAsia="zh-CN"/>
              </w:rPr>
              <w:t>上表监测结果显示，</w:t>
            </w:r>
            <w:r>
              <w:rPr>
                <w:rFonts w:hint="eastAsia" w:ascii="Times New Roman" w:hAnsi="Times New Roman" w:cs="Times New Roman"/>
                <w:b w:val="0"/>
                <w:bCs/>
                <w:color w:val="auto"/>
                <w:sz w:val="24"/>
                <w:szCs w:val="24"/>
                <w:highlight w:val="none"/>
                <w:lang w:val="en-US" w:eastAsia="zh-CN"/>
              </w:rPr>
              <w:t>本项目</w:t>
            </w:r>
            <w:r>
              <w:rPr>
                <w:rFonts w:hint="eastAsia" w:cs="Times New Roman"/>
                <w:b w:val="0"/>
                <w:bCs/>
                <w:color w:val="auto"/>
                <w:sz w:val="24"/>
                <w:szCs w:val="24"/>
                <w:highlight w:val="none"/>
                <w:lang w:val="en-US" w:eastAsia="zh-CN"/>
              </w:rPr>
              <w:t>非甲烷总烃现状达到</w:t>
            </w:r>
            <w:r>
              <w:rPr>
                <w:rFonts w:hint="default" w:ascii="Times New Roman" w:hAnsi="Times New Roman" w:cs="Times New Roman"/>
                <w:color w:val="auto"/>
                <w:kern w:val="2"/>
                <w:sz w:val="24"/>
                <w:szCs w:val="24"/>
                <w:highlight w:val="none"/>
                <w:lang w:val="en-US" w:eastAsia="zh-CN" w:bidi="ar-SA"/>
              </w:rPr>
              <w:t>《大气污染物综合排放标准详解》</w:t>
            </w:r>
            <w:r>
              <w:rPr>
                <w:rFonts w:hint="eastAsia" w:ascii="Times New Roman" w:hAnsi="Times New Roman" w:cs="Times New Roman"/>
                <w:color w:val="auto"/>
                <w:kern w:val="2"/>
                <w:sz w:val="24"/>
                <w:szCs w:val="24"/>
                <w:highlight w:val="none"/>
                <w:lang w:val="en-US" w:eastAsia="zh-CN" w:bidi="ar-SA"/>
              </w:rPr>
              <w:t>中的标准限值。</w:t>
            </w:r>
          </w:p>
          <w:p w14:paraId="1F1156D8">
            <w:pPr>
              <w:pStyle w:val="5"/>
              <w:keepNext w:val="0"/>
              <w:keepLines w:val="0"/>
              <w:pageBreakBefore w:val="0"/>
              <w:kinsoku/>
              <w:wordWrap/>
              <w:overflowPunct/>
              <w:topLinePunct w:val="0"/>
              <w:autoSpaceDE/>
              <w:autoSpaceDN/>
              <w:bidi w:val="0"/>
              <w:adjustRightInd/>
              <w:spacing w:before="0" w:after="0" w:line="440" w:lineRule="exact"/>
              <w:ind w:right="0"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②</w:t>
            </w:r>
            <w:r>
              <w:rPr>
                <w:rFonts w:hint="default" w:ascii="Times New Roman" w:hAnsi="Times New Roman" w:eastAsia="宋体" w:cs="Times New Roman"/>
                <w:color w:val="auto"/>
                <w:sz w:val="24"/>
                <w:szCs w:val="24"/>
                <w:highlight w:val="none"/>
              </w:rPr>
              <w:t>项目其他污染物TSP引用</w:t>
            </w:r>
            <w:r>
              <w:rPr>
                <w:rFonts w:hint="eastAsia" w:cs="Times New Roman"/>
                <w:color w:val="auto"/>
                <w:sz w:val="24"/>
                <w:szCs w:val="24"/>
                <w:highlight w:val="none"/>
                <w:lang w:val="en-US" w:eastAsia="zh-CN"/>
              </w:rPr>
              <w:t>上海佳格食品有限公司内蒙古分公司例行监测报告</w:t>
            </w:r>
            <w:r>
              <w:rPr>
                <w:rFonts w:hint="default" w:ascii="Times New Roman" w:hAnsi="Times New Roman" w:eastAsia="宋体" w:cs="Times New Roman"/>
                <w:color w:val="auto"/>
                <w:sz w:val="24"/>
                <w:szCs w:val="24"/>
                <w:highlight w:val="none"/>
              </w:rPr>
              <w:t>中的相关监测资料，监测点位为本项目</w:t>
            </w:r>
            <w:r>
              <w:rPr>
                <w:rFonts w:hint="eastAsia" w:cs="Times New Roman"/>
                <w:color w:val="auto"/>
                <w:sz w:val="24"/>
                <w:szCs w:val="24"/>
                <w:highlight w:val="none"/>
                <w:lang w:val="en-US" w:eastAsia="zh-CN"/>
              </w:rPr>
              <w:t>厂界</w:t>
            </w:r>
            <w:r>
              <w:rPr>
                <w:rFonts w:hint="default" w:ascii="Times New Roman" w:hAnsi="Times New Roman" w:eastAsia="宋体" w:cs="Times New Roman"/>
                <w:color w:val="auto"/>
                <w:sz w:val="24"/>
                <w:szCs w:val="24"/>
                <w:highlight w:val="none"/>
              </w:rPr>
              <w:t>，监测时间为202</w:t>
            </w:r>
            <w:r>
              <w:rPr>
                <w:rFonts w:hint="eastAsia"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年</w:t>
            </w: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月</w:t>
            </w:r>
            <w:r>
              <w:rPr>
                <w:rFonts w:hint="eastAsia"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rPr>
              <w:t>日至</w:t>
            </w: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月</w:t>
            </w:r>
            <w:r>
              <w:rPr>
                <w:rFonts w:hint="eastAsia" w:cs="Times New Roman"/>
                <w:color w:val="auto"/>
                <w:sz w:val="24"/>
                <w:szCs w:val="24"/>
                <w:highlight w:val="none"/>
                <w:lang w:val="en-US" w:eastAsia="zh-CN"/>
              </w:rPr>
              <w:t>14</w:t>
            </w:r>
            <w:r>
              <w:rPr>
                <w:rFonts w:hint="default" w:ascii="Times New Roman" w:hAnsi="Times New Roman" w:eastAsia="宋体" w:cs="Times New Roman"/>
                <w:color w:val="auto"/>
                <w:sz w:val="24"/>
                <w:szCs w:val="24"/>
                <w:highlight w:val="none"/>
              </w:rPr>
              <w:t>日，监测结果显示，该监测点位处环境空气中TSP日均浓度最大值</w:t>
            </w:r>
            <w:r>
              <w:rPr>
                <w:rFonts w:hint="eastAsia"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，最大占标率69.67%，满足</w:t>
            </w:r>
            <w:r>
              <w:rPr>
                <w:rFonts w:hint="eastAsia" w:ascii="Times New Roman" w:hAnsi="Times New Roman" w:eastAsia="宋体" w:cs="Times New Roman"/>
                <w:color w:val="auto"/>
                <w:sz w:val="24"/>
                <w:szCs w:val="24"/>
                <w:highlight w:val="none"/>
                <w:lang w:val="en-US" w:eastAsia="zh-CN"/>
              </w:rPr>
              <w:t>监测期间执行的</w:t>
            </w:r>
            <w:r>
              <w:rPr>
                <w:rFonts w:hint="default" w:ascii="Times New Roman" w:hAnsi="Times New Roman" w:eastAsia="宋体" w:cs="Times New Roman"/>
                <w:color w:val="auto"/>
                <w:sz w:val="24"/>
                <w:szCs w:val="24"/>
                <w:highlight w:val="none"/>
              </w:rPr>
              <w:t>《环境空气质量标准》（GB3095-</w:t>
            </w:r>
            <w:r>
              <w:rPr>
                <w:rFonts w:hint="eastAsia" w:ascii="Times New Roman" w:hAnsi="Times New Roman" w:eastAsia="宋体" w:cs="Times New Roman"/>
                <w:color w:val="auto"/>
                <w:sz w:val="24"/>
                <w:szCs w:val="24"/>
                <w:highlight w:val="none"/>
                <w:lang w:val="en-US" w:eastAsia="zh-CN"/>
              </w:rPr>
              <w:t>2012</w:t>
            </w:r>
            <w:r>
              <w:rPr>
                <w:rFonts w:hint="default" w:ascii="Times New Roman" w:hAnsi="Times New Roman" w:eastAsia="宋体" w:cs="Times New Roman"/>
                <w:color w:val="auto"/>
                <w:sz w:val="24"/>
                <w:szCs w:val="24"/>
                <w:highlight w:val="none"/>
              </w:rPr>
              <w:t>）二级限值要求</w:t>
            </w:r>
            <w:r>
              <w:rPr>
                <w:rFonts w:hint="eastAsia"/>
                <w:color w:val="auto"/>
                <w:sz w:val="24"/>
                <w:highlight w:val="none"/>
                <w:lang w:val="en-US" w:eastAsia="zh-CN"/>
              </w:rPr>
              <w:t>。</w:t>
            </w:r>
          </w:p>
          <w:p w14:paraId="54926D98">
            <w:pPr>
              <w:keepNext w:val="0"/>
              <w:keepLines w:val="0"/>
              <w:pageBreakBefore w:val="0"/>
              <w:tabs>
                <w:tab w:val="left" w:pos="0"/>
              </w:tabs>
              <w:kinsoku/>
              <w:wordWrap/>
              <w:overflowPunct/>
              <w:topLinePunct w:val="0"/>
              <w:bidi w:val="0"/>
              <w:spacing w:line="440" w:lineRule="exact"/>
              <w:textAlignment w:val="auto"/>
              <w:rPr>
                <w:rFonts w:hint="default" w:ascii="Times New Roman" w:hAnsi="Times New Roman" w:eastAsia="宋体" w:cs="Times New Roman"/>
                <w:b/>
                <w:color w:val="auto"/>
                <w:sz w:val="24"/>
                <w:szCs w:val="21"/>
                <w:highlight w:val="none"/>
              </w:rPr>
            </w:pPr>
            <w:r>
              <w:rPr>
                <w:rFonts w:hint="default" w:ascii="Times New Roman" w:hAnsi="Times New Roman" w:eastAsia="宋体" w:cs="Times New Roman"/>
                <w:b/>
                <w:color w:val="auto"/>
                <w:sz w:val="24"/>
                <w:szCs w:val="21"/>
                <w:highlight w:val="none"/>
              </w:rPr>
              <w:t>2、地下水及土壤环境质量现状</w:t>
            </w:r>
          </w:p>
          <w:p w14:paraId="5E733969">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本次评价要求项目生产车间应采取相应防渗处理，</w:t>
            </w:r>
            <w:r>
              <w:rPr>
                <w:rFonts w:hint="default" w:ascii="Times New Roman" w:hAnsi="Times New Roman" w:eastAsia="宋体" w:cs="Times New Roman"/>
                <w:color w:val="auto"/>
                <w:sz w:val="24"/>
                <w:szCs w:val="24"/>
                <w:highlight w:val="none"/>
                <w:lang w:val="en-US" w:eastAsia="zh-CN"/>
              </w:rPr>
              <w:t>正常工况</w:t>
            </w:r>
            <w:r>
              <w:rPr>
                <w:rFonts w:hint="eastAsia" w:cs="Times New Roman"/>
                <w:color w:val="auto"/>
                <w:sz w:val="24"/>
                <w:szCs w:val="24"/>
                <w:highlight w:val="none"/>
                <w:lang w:val="en-US" w:eastAsia="zh-CN"/>
              </w:rPr>
              <w:t>下不存在污染地下水、土壤的情况</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根据《建设项目环境影响报告表编制技术指南（污染影响类）》（试行），</w:t>
            </w:r>
            <w:r>
              <w:rPr>
                <w:rFonts w:hint="eastAsia" w:cs="Times New Roman"/>
                <w:color w:val="auto"/>
                <w:sz w:val="24"/>
                <w:szCs w:val="24"/>
                <w:highlight w:val="none"/>
                <w:lang w:val="en-US" w:eastAsia="zh-CN"/>
              </w:rPr>
              <w:t>本次评价</w:t>
            </w:r>
            <w:r>
              <w:rPr>
                <w:rFonts w:hint="eastAsia"/>
                <w:color w:val="auto"/>
                <w:sz w:val="24"/>
                <w:szCs w:val="24"/>
                <w:highlight w:val="none"/>
              </w:rPr>
              <w:t>不进行土壤、地下水的环境质量现状监测</w:t>
            </w:r>
            <w:r>
              <w:rPr>
                <w:rFonts w:hint="default" w:ascii="Times New Roman" w:hAnsi="Times New Roman" w:eastAsia="宋体" w:cs="Times New Roman"/>
                <w:color w:val="auto"/>
                <w:sz w:val="24"/>
                <w:szCs w:val="24"/>
                <w:highlight w:val="none"/>
              </w:rPr>
              <w:t>。</w:t>
            </w:r>
          </w:p>
          <w:p w14:paraId="78A83CC2">
            <w:pPr>
              <w:keepNext w:val="0"/>
              <w:keepLines w:val="0"/>
              <w:pageBreakBefore w:val="0"/>
              <w:tabs>
                <w:tab w:val="left" w:pos="0"/>
              </w:tabs>
              <w:kinsoku/>
              <w:wordWrap/>
              <w:overflowPunct/>
              <w:topLinePunct w:val="0"/>
              <w:bidi w:val="0"/>
              <w:spacing w:line="440" w:lineRule="exact"/>
              <w:textAlignment w:val="auto"/>
              <w:rPr>
                <w:rFonts w:hint="default" w:ascii="Times New Roman" w:hAnsi="Times New Roman" w:eastAsia="宋体" w:cs="Times New Roman"/>
                <w:b/>
                <w:color w:val="auto"/>
                <w:sz w:val="24"/>
                <w:szCs w:val="21"/>
                <w:highlight w:val="none"/>
              </w:rPr>
            </w:pPr>
            <w:r>
              <w:rPr>
                <w:rFonts w:hint="default" w:ascii="Times New Roman" w:hAnsi="Times New Roman" w:eastAsia="宋体" w:cs="Times New Roman"/>
                <w:b/>
                <w:color w:val="auto"/>
                <w:sz w:val="24"/>
                <w:szCs w:val="21"/>
                <w:highlight w:val="none"/>
              </w:rPr>
              <w:t>3、声环境现状</w:t>
            </w:r>
          </w:p>
          <w:p w14:paraId="11AD743A">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项目厂界外周边50米范围内无声环境保护目标，根据《建设项目环境影响报告表编制技术指南（污染影响类）》（试行），可不进行声环境现状调查</w:t>
            </w:r>
            <w:r>
              <w:rPr>
                <w:rFonts w:hint="default" w:ascii="Times New Roman" w:hAnsi="Times New Roman" w:eastAsia="宋体" w:cs="Times New Roman"/>
                <w:color w:val="auto"/>
                <w:sz w:val="24"/>
                <w:highlight w:val="none"/>
                <w:lang w:eastAsia="zh-CN"/>
              </w:rPr>
              <w:t>。</w:t>
            </w:r>
          </w:p>
          <w:p w14:paraId="37F3D75E">
            <w:pPr>
              <w:keepNext w:val="0"/>
              <w:keepLines w:val="0"/>
              <w:pageBreakBefore w:val="0"/>
              <w:tabs>
                <w:tab w:val="left" w:pos="0"/>
              </w:tabs>
              <w:kinsoku/>
              <w:wordWrap/>
              <w:overflowPunct/>
              <w:topLinePunct w:val="0"/>
              <w:bidi w:val="0"/>
              <w:spacing w:line="440" w:lineRule="exact"/>
              <w:textAlignment w:val="auto"/>
              <w:rPr>
                <w:rFonts w:hint="eastAsia" w:ascii="Times New Roman" w:hAnsi="Times New Roman" w:eastAsia="宋体" w:cs="Times New Roman"/>
                <w:b/>
                <w:color w:val="auto"/>
                <w:sz w:val="24"/>
                <w:szCs w:val="21"/>
                <w:highlight w:val="none"/>
                <w:lang w:eastAsia="zh-CN"/>
              </w:rPr>
            </w:pPr>
            <w:r>
              <w:rPr>
                <w:rFonts w:hint="default" w:ascii="Times New Roman" w:hAnsi="Times New Roman" w:eastAsia="宋体" w:cs="Times New Roman"/>
                <w:b/>
                <w:color w:val="auto"/>
                <w:sz w:val="24"/>
                <w:szCs w:val="21"/>
                <w:highlight w:val="none"/>
                <w:lang w:val="en-US" w:eastAsia="zh-CN"/>
              </w:rPr>
              <w:t>4</w:t>
            </w:r>
            <w:r>
              <w:rPr>
                <w:rFonts w:hint="default" w:ascii="Times New Roman" w:hAnsi="Times New Roman" w:eastAsia="宋体" w:cs="Times New Roman"/>
                <w:b/>
                <w:color w:val="auto"/>
                <w:sz w:val="24"/>
                <w:szCs w:val="21"/>
                <w:highlight w:val="none"/>
              </w:rPr>
              <w:t>、</w:t>
            </w:r>
            <w:r>
              <w:rPr>
                <w:rFonts w:hint="default" w:ascii="Times New Roman" w:hAnsi="Times New Roman" w:eastAsia="宋体" w:cs="Times New Roman"/>
                <w:b/>
                <w:color w:val="auto"/>
                <w:sz w:val="24"/>
                <w:szCs w:val="21"/>
                <w:highlight w:val="none"/>
                <w:lang w:val="en-US" w:eastAsia="zh-CN"/>
              </w:rPr>
              <w:t>地表水</w:t>
            </w:r>
            <w:r>
              <w:rPr>
                <w:rFonts w:hint="default" w:ascii="Times New Roman" w:hAnsi="Times New Roman" w:eastAsia="宋体" w:cs="Times New Roman"/>
                <w:b/>
                <w:color w:val="auto"/>
                <w:sz w:val="24"/>
                <w:szCs w:val="21"/>
                <w:highlight w:val="none"/>
              </w:rPr>
              <w:t>环境现状</w:t>
            </w:r>
          </w:p>
          <w:p w14:paraId="516365EA">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sz w:val="24"/>
                <w:highlight w:val="none"/>
                <w:lang w:val="en-US" w:eastAsia="zh-CN"/>
              </w:rPr>
              <w:t>项目运营期</w:t>
            </w:r>
            <w:r>
              <w:rPr>
                <w:rFonts w:hint="eastAsia" w:cs="Times New Roman"/>
                <w:color w:val="auto"/>
                <w:sz w:val="24"/>
                <w:highlight w:val="none"/>
                <w:lang w:val="en-US" w:eastAsia="zh-CN"/>
              </w:rPr>
              <w:t>生产</w:t>
            </w:r>
            <w:r>
              <w:rPr>
                <w:rFonts w:hint="default" w:ascii="Times New Roman" w:hAnsi="Times New Roman" w:eastAsia="宋体" w:cs="Times New Roman"/>
                <w:color w:val="auto"/>
                <w:kern w:val="0"/>
                <w:sz w:val="24"/>
                <w:highlight w:val="none"/>
                <w:lang w:val="en-US" w:eastAsia="zh-CN"/>
              </w:rPr>
              <w:t>废水</w:t>
            </w:r>
            <w:r>
              <w:rPr>
                <w:rFonts w:hint="eastAsia" w:cs="Times New Roman"/>
                <w:color w:val="auto"/>
                <w:kern w:val="0"/>
                <w:sz w:val="24"/>
                <w:highlight w:val="none"/>
                <w:lang w:val="en-US" w:eastAsia="zh-CN"/>
              </w:rPr>
              <w:t>经现有的污水处理站处理达标后排入市政管网</w:t>
            </w:r>
            <w:r>
              <w:rPr>
                <w:rFonts w:hint="default" w:ascii="Times New Roman" w:hAnsi="Times New Roman" w:eastAsia="宋体" w:cs="Times New Roman"/>
                <w:color w:val="auto"/>
                <w:kern w:val="0"/>
                <w:sz w:val="24"/>
                <w:highlight w:val="none"/>
                <w:lang w:val="en-US" w:eastAsia="zh-CN"/>
              </w:rPr>
              <w:t>后最终由磴口县中涵水务有限公司处理</w:t>
            </w:r>
            <w:r>
              <w:rPr>
                <w:rFonts w:hint="eastAsia" w:cs="Times New Roman"/>
                <w:color w:val="auto"/>
                <w:kern w:val="0"/>
                <w:sz w:val="24"/>
                <w:highlight w:val="none"/>
                <w:lang w:val="en-US" w:eastAsia="zh-CN"/>
              </w:rPr>
              <w:t>，污废水不直接向地表水排放污染物，因此不会对地表水造成影响，</w:t>
            </w:r>
            <w:r>
              <w:rPr>
                <w:rFonts w:hint="default" w:ascii="Times New Roman" w:hAnsi="Times New Roman" w:eastAsia="宋体" w:cs="Times New Roman"/>
                <w:color w:val="auto"/>
                <w:kern w:val="0"/>
                <w:sz w:val="24"/>
                <w:highlight w:val="none"/>
                <w:lang w:val="en-US" w:eastAsia="zh-CN"/>
              </w:rPr>
              <w:t>本次不进行地表水环境质量现状监测工作。</w:t>
            </w:r>
          </w:p>
          <w:p w14:paraId="5036545E">
            <w:pPr>
              <w:keepNext w:val="0"/>
              <w:keepLines w:val="0"/>
              <w:pageBreakBefore w:val="0"/>
              <w:tabs>
                <w:tab w:val="left" w:pos="0"/>
              </w:tabs>
              <w:kinsoku/>
              <w:wordWrap/>
              <w:overflowPunct/>
              <w:topLinePunct w:val="0"/>
              <w:bidi w:val="0"/>
              <w:spacing w:line="440" w:lineRule="exact"/>
              <w:textAlignment w:val="auto"/>
              <w:rPr>
                <w:rFonts w:hint="default" w:ascii="Times New Roman" w:hAnsi="Times New Roman" w:eastAsia="宋体" w:cs="Times New Roman"/>
                <w:b/>
                <w:color w:val="auto"/>
                <w:sz w:val="24"/>
                <w:szCs w:val="21"/>
                <w:highlight w:val="none"/>
              </w:rPr>
            </w:pPr>
            <w:r>
              <w:rPr>
                <w:rFonts w:hint="default" w:ascii="Times New Roman" w:hAnsi="Times New Roman" w:eastAsia="宋体" w:cs="Times New Roman"/>
                <w:b/>
                <w:color w:val="auto"/>
                <w:sz w:val="24"/>
                <w:szCs w:val="21"/>
                <w:highlight w:val="none"/>
                <w:lang w:val="en-US" w:eastAsia="zh-CN"/>
              </w:rPr>
              <w:t>5</w:t>
            </w:r>
            <w:r>
              <w:rPr>
                <w:rFonts w:hint="default" w:ascii="Times New Roman" w:hAnsi="Times New Roman" w:eastAsia="宋体" w:cs="Times New Roman"/>
                <w:b/>
                <w:color w:val="auto"/>
                <w:sz w:val="24"/>
                <w:szCs w:val="21"/>
                <w:highlight w:val="none"/>
              </w:rPr>
              <w:t>、</w:t>
            </w:r>
            <w:r>
              <w:rPr>
                <w:rFonts w:hint="default" w:ascii="Times New Roman" w:hAnsi="Times New Roman" w:eastAsia="宋体" w:cs="Times New Roman"/>
                <w:b/>
                <w:color w:val="auto"/>
                <w:sz w:val="24"/>
                <w:szCs w:val="21"/>
                <w:highlight w:val="none"/>
                <w:lang w:val="en-US" w:eastAsia="zh-CN"/>
              </w:rPr>
              <w:t>生态</w:t>
            </w:r>
            <w:r>
              <w:rPr>
                <w:rFonts w:hint="default" w:ascii="Times New Roman" w:hAnsi="Times New Roman" w:eastAsia="宋体" w:cs="Times New Roman"/>
                <w:b/>
                <w:color w:val="auto"/>
                <w:sz w:val="24"/>
                <w:szCs w:val="21"/>
                <w:highlight w:val="none"/>
              </w:rPr>
              <w:t>环境现状</w:t>
            </w:r>
          </w:p>
          <w:p w14:paraId="516D6AF1">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sz w:val="24"/>
                <w:highlight w:val="none"/>
                <w:lang w:val="en-US" w:eastAsia="zh-CN"/>
              </w:rPr>
              <w:t>项目建设</w:t>
            </w:r>
            <w:r>
              <w:rPr>
                <w:rFonts w:hint="eastAsia" w:cs="Times New Roman"/>
                <w:color w:val="auto"/>
                <w:sz w:val="24"/>
                <w:highlight w:val="none"/>
                <w:lang w:val="en-US" w:eastAsia="zh-CN"/>
              </w:rPr>
              <w:t>位于</w:t>
            </w:r>
            <w:r>
              <w:rPr>
                <w:rFonts w:hint="eastAsia" w:cs="Times New Roman"/>
                <w:color w:val="auto"/>
                <w:sz w:val="24"/>
                <w:szCs w:val="21"/>
                <w:highlight w:val="none"/>
                <w:lang w:val="en-US" w:eastAsia="zh-CN"/>
              </w:rPr>
              <w:t>内蒙古巴彦淖尔市</w:t>
            </w:r>
            <w:r>
              <w:rPr>
                <w:rFonts w:hint="default" w:ascii="Times New Roman" w:hAnsi="Times New Roman" w:eastAsia="宋体" w:cs="Times New Roman"/>
                <w:color w:val="auto"/>
                <w:kern w:val="0"/>
                <w:sz w:val="24"/>
                <w:highlight w:val="none"/>
                <w:lang w:val="en-US" w:eastAsia="zh-CN"/>
              </w:rPr>
              <w:t>磴口县巴彦高勒镇</w:t>
            </w:r>
            <w:r>
              <w:rPr>
                <w:rFonts w:hint="eastAsia" w:cs="Times New Roman"/>
                <w:color w:val="auto"/>
                <w:sz w:val="24"/>
                <w:szCs w:val="21"/>
                <w:highlight w:val="none"/>
                <w:lang w:val="en-US" w:eastAsia="zh-CN"/>
              </w:rPr>
              <w:t>上海佳格食品有限公司内蒙古分公司院内</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szCs w:val="21"/>
                <w:highlight w:val="none"/>
              </w:rPr>
              <w:t>项目所在区域评价范围内无风景名胜区、饮用水源保护区、国家重点保护珍稀动植物及历史文化保护遗迹</w:t>
            </w:r>
            <w:r>
              <w:rPr>
                <w:rFonts w:hint="eastAsia" w:cs="Times New Roman"/>
                <w:color w:val="auto"/>
                <w:sz w:val="24"/>
                <w:szCs w:val="21"/>
                <w:highlight w:val="none"/>
                <w:lang w:eastAsia="zh-CN"/>
              </w:rPr>
              <w:t>。</w:t>
            </w:r>
            <w:r>
              <w:rPr>
                <w:rFonts w:hint="default" w:ascii="Times New Roman" w:hAnsi="Times New Roman" w:eastAsia="宋体" w:cs="Times New Roman"/>
                <w:color w:val="auto"/>
                <w:sz w:val="24"/>
                <w:highlight w:val="none"/>
              </w:rPr>
              <w:t>根据《建设项目环境影响报告表编制技术指南（污染影响类）》（试行），</w:t>
            </w:r>
            <w:r>
              <w:rPr>
                <w:rFonts w:hint="default" w:ascii="Times New Roman" w:hAnsi="Times New Roman" w:eastAsia="宋体" w:cs="Times New Roman"/>
                <w:color w:val="auto"/>
                <w:kern w:val="0"/>
                <w:sz w:val="24"/>
                <w:highlight w:val="none"/>
                <w:lang w:val="en-US" w:eastAsia="zh-CN"/>
              </w:rPr>
              <w:t>本次</w:t>
            </w:r>
            <w:r>
              <w:rPr>
                <w:rFonts w:hint="eastAsia" w:cs="Times New Roman"/>
                <w:color w:val="auto"/>
                <w:kern w:val="0"/>
                <w:sz w:val="24"/>
                <w:highlight w:val="none"/>
                <w:lang w:val="en-US" w:eastAsia="zh-CN"/>
              </w:rPr>
              <w:t>评价</w:t>
            </w:r>
            <w:r>
              <w:rPr>
                <w:rFonts w:hint="default" w:ascii="Times New Roman" w:hAnsi="Times New Roman" w:eastAsia="宋体" w:cs="Times New Roman"/>
                <w:color w:val="auto"/>
                <w:kern w:val="0"/>
                <w:sz w:val="24"/>
                <w:highlight w:val="none"/>
                <w:lang w:val="en-US" w:eastAsia="zh-CN"/>
              </w:rPr>
              <w:t>不进行生态环境质量现状</w:t>
            </w:r>
            <w:r>
              <w:rPr>
                <w:rFonts w:hint="eastAsia" w:cs="Times New Roman"/>
                <w:color w:val="auto"/>
                <w:kern w:val="0"/>
                <w:sz w:val="24"/>
                <w:highlight w:val="none"/>
                <w:lang w:val="en-US" w:eastAsia="zh-CN"/>
              </w:rPr>
              <w:t>调查</w:t>
            </w:r>
            <w:r>
              <w:rPr>
                <w:rFonts w:hint="default" w:ascii="Times New Roman" w:hAnsi="Times New Roman" w:eastAsia="宋体" w:cs="Times New Roman"/>
                <w:color w:val="auto"/>
                <w:kern w:val="0"/>
                <w:sz w:val="24"/>
                <w:highlight w:val="none"/>
                <w:lang w:val="en-US" w:eastAsia="zh-CN"/>
              </w:rPr>
              <w:t>。</w:t>
            </w:r>
          </w:p>
        </w:tc>
      </w:tr>
      <w:tr w14:paraId="5C2BB5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43" w:hRule="atLeast"/>
          <w:jc w:val="center"/>
        </w:trPr>
        <w:tc>
          <w:tcPr>
            <w:tcW w:w="453" w:type="dxa"/>
            <w:vAlign w:val="center"/>
          </w:tcPr>
          <w:p w14:paraId="1ABD326C">
            <w:pPr>
              <w:adjustRightInd w:val="0"/>
              <w:snapToGrid w:val="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 w:val="24"/>
                <w:highlight w:val="none"/>
              </w:rPr>
              <w:t>环境保护目标</w:t>
            </w:r>
          </w:p>
        </w:tc>
        <w:tc>
          <w:tcPr>
            <w:tcW w:w="8572" w:type="dxa"/>
            <w:vAlign w:val="center"/>
          </w:tcPr>
          <w:p w14:paraId="6C6D1502">
            <w:pPr>
              <w:keepNext w:val="0"/>
              <w:keepLines w:val="0"/>
              <w:pageBreakBefore w:val="0"/>
              <w:widowControl w:val="0"/>
              <w:tabs>
                <w:tab w:val="left" w:pos="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1"/>
                <w:highlight w:val="none"/>
              </w:rPr>
            </w:pPr>
            <w:r>
              <w:rPr>
                <w:rFonts w:hint="default" w:ascii="Times New Roman" w:hAnsi="Times New Roman" w:eastAsia="宋体" w:cs="Times New Roman"/>
                <w:b/>
                <w:bCs/>
                <w:color w:val="auto"/>
                <w:sz w:val="24"/>
                <w:szCs w:val="21"/>
                <w:highlight w:val="none"/>
              </w:rPr>
              <w:t>主要环境保护目标：</w:t>
            </w:r>
          </w:p>
          <w:p w14:paraId="5F1ADE31">
            <w:pPr>
              <w:keepNext w:val="0"/>
              <w:keepLines w:val="0"/>
              <w:pageBreakBefore w:val="0"/>
              <w:widowControl w:val="0"/>
              <w:tabs>
                <w:tab w:val="left" w:pos="0"/>
              </w:tabs>
              <w:kinsoku/>
              <w:wordWrap/>
              <w:overflowPunct/>
              <w:topLinePunct w:val="0"/>
              <w:autoSpaceDE/>
              <w:autoSpaceDN/>
              <w:bidi w:val="0"/>
              <w:adjustRightInd/>
              <w:snapToGrid/>
              <w:spacing w:line="440" w:lineRule="exact"/>
              <w:ind w:firstLine="480"/>
              <w:textAlignment w:val="auto"/>
              <w:rPr>
                <w:rFonts w:hint="default" w:ascii="Times New Roman" w:hAnsi="Times New Roman" w:eastAsia="宋体" w:cs="Times New Roman"/>
                <w:color w:val="auto"/>
                <w:sz w:val="24"/>
                <w:szCs w:val="21"/>
                <w:highlight w:val="none"/>
                <w:vertAlign w:val="superscript"/>
              </w:rPr>
            </w:pPr>
            <w:r>
              <w:rPr>
                <w:rFonts w:hint="default" w:ascii="Times New Roman" w:hAnsi="Times New Roman" w:eastAsia="宋体" w:cs="Times New Roman"/>
                <w:color w:val="auto"/>
                <w:sz w:val="24"/>
                <w:szCs w:val="21"/>
                <w:highlight w:val="none"/>
              </w:rPr>
              <w:t>本项目位于</w:t>
            </w:r>
            <w:r>
              <w:rPr>
                <w:rFonts w:hint="eastAsia"/>
                <w:color w:val="auto"/>
                <w:kern w:val="0"/>
                <w:sz w:val="24"/>
                <w:highlight w:val="none"/>
                <w:lang w:val="en-US" w:eastAsia="zh-CN"/>
              </w:rPr>
              <w:t>内蒙古巴彦淖尔市</w:t>
            </w:r>
            <w:r>
              <w:rPr>
                <w:rFonts w:hint="default" w:ascii="Times New Roman" w:hAnsi="Times New Roman" w:eastAsia="宋体" w:cs="Times New Roman"/>
                <w:color w:val="auto"/>
                <w:kern w:val="0"/>
                <w:sz w:val="24"/>
                <w:highlight w:val="none"/>
                <w:lang w:val="en-US" w:eastAsia="zh-CN"/>
              </w:rPr>
              <w:t>磴口县巴彦高勒镇</w:t>
            </w:r>
            <w:r>
              <w:rPr>
                <w:rFonts w:hint="eastAsia" w:ascii="Times New Roman" w:hAnsi="Times New Roman" w:cs="Times New Roman"/>
                <w:color w:val="auto"/>
                <w:sz w:val="24"/>
                <w:highlight w:val="none"/>
                <w:lang w:val="en-US" w:eastAsia="zh-CN"/>
              </w:rPr>
              <w:t>上海佳格食品有限公司内蒙古分公司院内</w:t>
            </w:r>
            <w:r>
              <w:rPr>
                <w:rFonts w:hint="default" w:ascii="Times New Roman" w:hAnsi="Times New Roman" w:eastAsia="宋体" w:cs="Times New Roman"/>
                <w:color w:val="auto"/>
                <w:sz w:val="24"/>
                <w:szCs w:val="21"/>
                <w:highlight w:val="none"/>
              </w:rPr>
              <w:t>，根据现场踏勘，项目所在区域评价范围内无风景名胜区、饮用水源保护区、国家重点保护珍稀动植物及历史文化保护遗迹。根据项目工程特点、评价</w:t>
            </w:r>
            <w:r>
              <w:rPr>
                <w:rFonts w:hint="eastAsia" w:cs="Times New Roman"/>
                <w:color w:val="auto"/>
                <w:sz w:val="24"/>
                <w:szCs w:val="21"/>
                <w:highlight w:val="none"/>
                <w:lang w:val="en-US" w:eastAsia="zh-CN"/>
              </w:rPr>
              <w:t>范围</w:t>
            </w:r>
            <w:r>
              <w:rPr>
                <w:rFonts w:hint="default" w:ascii="Times New Roman" w:hAnsi="Times New Roman" w:eastAsia="宋体" w:cs="Times New Roman"/>
                <w:color w:val="auto"/>
                <w:sz w:val="24"/>
                <w:szCs w:val="21"/>
                <w:highlight w:val="none"/>
              </w:rPr>
              <w:t>环境特征，确定本项目环境保护目标及保护级别见</w:t>
            </w:r>
            <w:r>
              <w:rPr>
                <w:rFonts w:hint="default" w:ascii="Times New Roman" w:hAnsi="Times New Roman" w:eastAsia="宋体" w:cs="Times New Roman"/>
                <w:bCs/>
                <w:color w:val="auto"/>
                <w:sz w:val="24"/>
                <w:szCs w:val="21"/>
                <w:highlight w:val="none"/>
              </w:rPr>
              <w:t>表3-</w:t>
            </w:r>
            <w:r>
              <w:rPr>
                <w:rFonts w:hint="eastAsia" w:cs="Times New Roman"/>
                <w:bCs/>
                <w:color w:val="auto"/>
                <w:sz w:val="24"/>
                <w:szCs w:val="21"/>
                <w:highlight w:val="none"/>
                <w:lang w:val="en-US" w:eastAsia="zh-CN"/>
              </w:rPr>
              <w:t>3</w:t>
            </w:r>
            <w:r>
              <w:rPr>
                <w:rFonts w:hint="default" w:ascii="Times New Roman" w:hAnsi="Times New Roman" w:eastAsia="宋体" w:cs="Times New Roman"/>
                <w:bCs/>
                <w:color w:val="auto"/>
                <w:sz w:val="24"/>
                <w:szCs w:val="21"/>
                <w:highlight w:val="none"/>
              </w:rPr>
              <w:t>。</w:t>
            </w:r>
          </w:p>
          <w:p w14:paraId="2B21E869">
            <w:pPr>
              <w:keepNext w:val="0"/>
              <w:keepLines w:val="0"/>
              <w:pageBreakBefore w:val="0"/>
              <w:widowControl w:val="0"/>
              <w:tabs>
                <w:tab w:val="left" w:pos="0"/>
              </w:tabs>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表3-</w:t>
            </w:r>
            <w:r>
              <w:rPr>
                <w:rFonts w:hint="eastAsia"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 xml:space="preserve"> 项目周边环境保护目标一览表</w:t>
            </w:r>
          </w:p>
          <w:tbl>
            <w:tblPr>
              <w:tblStyle w:val="2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0"/>
              <w:gridCol w:w="2122"/>
              <w:gridCol w:w="722"/>
              <w:gridCol w:w="1159"/>
              <w:gridCol w:w="1054"/>
              <w:gridCol w:w="2470"/>
            </w:tblGrid>
            <w:tr w14:paraId="35EDB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496" w:type="pct"/>
                  <w:vAlign w:val="center"/>
                </w:tcPr>
                <w:p w14:paraId="7FACCB33">
                  <w:pPr>
                    <w:autoSpaceDE w:val="0"/>
                    <w:autoSpaceDN w:val="0"/>
                    <w:adjustRightInd w:val="0"/>
                    <w:ind w:left="-105" w:leftChars="-50" w:right="-105" w:rightChars="-5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环境要素</w:t>
                  </w:r>
                </w:p>
              </w:tc>
              <w:tc>
                <w:tcPr>
                  <w:tcW w:w="1269" w:type="pct"/>
                  <w:vAlign w:val="center"/>
                </w:tcPr>
                <w:p w14:paraId="10C291DD">
                  <w:pPr>
                    <w:autoSpaceDE w:val="0"/>
                    <w:autoSpaceDN w:val="0"/>
                    <w:adjustRightInd w:val="0"/>
                    <w:ind w:left="-105" w:leftChars="-50" w:right="-105" w:rightChars="-5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环境保护对象名称</w:t>
                  </w:r>
                </w:p>
              </w:tc>
              <w:tc>
                <w:tcPr>
                  <w:tcW w:w="432" w:type="pct"/>
                  <w:vAlign w:val="center"/>
                </w:tcPr>
                <w:p w14:paraId="419959A5">
                  <w:pPr>
                    <w:autoSpaceDE w:val="0"/>
                    <w:autoSpaceDN w:val="0"/>
                    <w:adjustRightInd w:val="0"/>
                    <w:ind w:left="-105" w:leftChars="-50" w:right="-105" w:rightChars="-5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方位</w:t>
                  </w:r>
                </w:p>
              </w:tc>
              <w:tc>
                <w:tcPr>
                  <w:tcW w:w="693" w:type="pct"/>
                  <w:vAlign w:val="center"/>
                </w:tcPr>
                <w:p w14:paraId="11C2ADA5">
                  <w:pPr>
                    <w:autoSpaceDE w:val="0"/>
                    <w:autoSpaceDN w:val="0"/>
                    <w:adjustRightInd w:val="0"/>
                    <w:ind w:left="-105" w:leftChars="-50" w:right="-105" w:rightChars="-5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户数、人数</w:t>
                  </w:r>
                </w:p>
              </w:tc>
              <w:tc>
                <w:tcPr>
                  <w:tcW w:w="630" w:type="pct"/>
                  <w:vAlign w:val="center"/>
                </w:tcPr>
                <w:p w14:paraId="0D747EFE">
                  <w:pPr>
                    <w:autoSpaceDE w:val="0"/>
                    <w:autoSpaceDN w:val="0"/>
                    <w:adjustRightInd w:val="0"/>
                    <w:ind w:left="-105" w:leftChars="-50" w:right="-105" w:rightChars="-5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与项目距离（m）</w:t>
                  </w:r>
                </w:p>
              </w:tc>
              <w:tc>
                <w:tcPr>
                  <w:tcW w:w="1477" w:type="pct"/>
                  <w:vAlign w:val="center"/>
                </w:tcPr>
                <w:p w14:paraId="41615316">
                  <w:pPr>
                    <w:autoSpaceDE w:val="0"/>
                    <w:autoSpaceDN w:val="0"/>
                    <w:adjustRightInd w:val="0"/>
                    <w:ind w:left="-105" w:leftChars="-50" w:right="-105" w:rightChars="-5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环境功能目标</w:t>
                  </w:r>
                </w:p>
              </w:tc>
            </w:tr>
            <w:tr w14:paraId="13EE5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496" w:type="pct"/>
                  <w:vAlign w:val="center"/>
                </w:tcPr>
                <w:p w14:paraId="13073684">
                  <w:pPr>
                    <w:autoSpaceDE w:val="0"/>
                    <w:autoSpaceDN w:val="0"/>
                    <w:adjustRightInd w:val="0"/>
                    <w:ind w:left="-105" w:leftChars="-50"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大气环境</w:t>
                  </w:r>
                </w:p>
              </w:tc>
              <w:tc>
                <w:tcPr>
                  <w:tcW w:w="1269" w:type="pct"/>
                  <w:vAlign w:val="center"/>
                </w:tcPr>
                <w:p w14:paraId="3C3C9CED">
                  <w:pPr>
                    <w:ind w:left="-105" w:leftChars="-50" w:right="-105" w:rightChars="-5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北滩三社农户</w:t>
                  </w:r>
                </w:p>
              </w:tc>
              <w:tc>
                <w:tcPr>
                  <w:tcW w:w="432" w:type="pct"/>
                  <w:vAlign w:val="center"/>
                </w:tcPr>
                <w:p w14:paraId="2C3A8320">
                  <w:pPr>
                    <w:ind w:left="-105" w:leftChars="-50" w:right="-105" w:rightChars="-5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西</w:t>
                  </w:r>
                </w:p>
              </w:tc>
              <w:tc>
                <w:tcPr>
                  <w:tcW w:w="693" w:type="pct"/>
                  <w:vAlign w:val="center"/>
                </w:tcPr>
                <w:p w14:paraId="45A06DF7">
                  <w:pPr>
                    <w:ind w:left="-105" w:leftChars="-50" w:right="-105" w:rightChars="-5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20户</w:t>
                  </w:r>
                </w:p>
              </w:tc>
              <w:tc>
                <w:tcPr>
                  <w:tcW w:w="630" w:type="pct"/>
                  <w:vAlign w:val="center"/>
                </w:tcPr>
                <w:p w14:paraId="71D96505">
                  <w:pPr>
                    <w:ind w:left="-105" w:leftChars="-50" w:right="-105" w:rightChars="-5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400</w:t>
                  </w:r>
                </w:p>
              </w:tc>
              <w:tc>
                <w:tcPr>
                  <w:tcW w:w="1477" w:type="pct"/>
                  <w:vAlign w:val="center"/>
                </w:tcPr>
                <w:p w14:paraId="4C4DFCFC">
                  <w:pPr>
                    <w:autoSpaceDE w:val="0"/>
                    <w:autoSpaceDN w:val="0"/>
                    <w:adjustRightInd w:val="0"/>
                    <w:ind w:left="-105" w:leftChars="-50"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《环境空气质量标准》</w:t>
                  </w:r>
                </w:p>
                <w:p w14:paraId="02747C7F">
                  <w:pPr>
                    <w:autoSpaceDE w:val="0"/>
                    <w:autoSpaceDN w:val="0"/>
                    <w:adjustRightInd w:val="0"/>
                    <w:ind w:left="-105" w:leftChars="-50"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(GB3095-</w:t>
                  </w:r>
                  <w:r>
                    <w:rPr>
                      <w:rFonts w:hint="eastAsia" w:cs="Times New Roman"/>
                      <w:color w:val="auto"/>
                      <w:szCs w:val="21"/>
                      <w:highlight w:val="none"/>
                      <w:lang w:val="en-US" w:eastAsia="zh-CN"/>
                    </w:rPr>
                    <w:t>2026</w:t>
                  </w:r>
                  <w:r>
                    <w:rPr>
                      <w:rFonts w:hint="eastAsia" w:cs="Times New Roman"/>
                      <w:color w:val="auto"/>
                      <w:szCs w:val="21"/>
                      <w:highlight w:val="none"/>
                      <w:lang w:eastAsia="zh-CN"/>
                    </w:rPr>
                    <w:t>）</w:t>
                  </w:r>
                  <w:r>
                    <w:rPr>
                      <w:rFonts w:hint="default" w:ascii="Times New Roman" w:hAnsi="Times New Roman" w:eastAsia="宋体" w:cs="Times New Roman"/>
                      <w:color w:val="auto"/>
                      <w:szCs w:val="21"/>
                      <w:highlight w:val="none"/>
                    </w:rPr>
                    <w:t>二级标准</w:t>
                  </w:r>
                </w:p>
              </w:tc>
            </w:tr>
            <w:tr w14:paraId="4091C8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6" w:type="pct"/>
                  <w:vAlign w:val="center"/>
                </w:tcPr>
                <w:p w14:paraId="0D3F945F">
                  <w:pPr>
                    <w:autoSpaceDE w:val="0"/>
                    <w:autoSpaceDN w:val="0"/>
                    <w:adjustRightInd w:val="0"/>
                    <w:ind w:left="-105" w:leftChars="-50"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声环境</w:t>
                  </w:r>
                </w:p>
              </w:tc>
              <w:tc>
                <w:tcPr>
                  <w:tcW w:w="4503" w:type="pct"/>
                  <w:gridSpan w:val="5"/>
                  <w:vAlign w:val="center"/>
                </w:tcPr>
                <w:p w14:paraId="7D9D3521">
                  <w:pPr>
                    <w:autoSpaceDE w:val="0"/>
                    <w:autoSpaceDN w:val="0"/>
                    <w:adjustRightInd w:val="0"/>
                    <w:ind w:left="-105" w:leftChars="-50"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厂界外50m范围内无声环境保护目标</w:t>
                  </w:r>
                </w:p>
              </w:tc>
            </w:tr>
            <w:tr w14:paraId="6C1A27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6" w:type="pct"/>
                  <w:vAlign w:val="center"/>
                </w:tcPr>
                <w:p w14:paraId="63FABC45">
                  <w:pPr>
                    <w:autoSpaceDE w:val="0"/>
                    <w:autoSpaceDN w:val="0"/>
                    <w:adjustRightInd w:val="0"/>
                    <w:ind w:left="-105" w:leftChars="-50" w:right="-105" w:rightChars="-50"/>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地表水</w:t>
                  </w:r>
                </w:p>
              </w:tc>
              <w:tc>
                <w:tcPr>
                  <w:tcW w:w="4503" w:type="pct"/>
                  <w:gridSpan w:val="5"/>
                  <w:vAlign w:val="center"/>
                </w:tcPr>
                <w:p w14:paraId="6F2884EB">
                  <w:pPr>
                    <w:autoSpaceDE w:val="0"/>
                    <w:autoSpaceDN w:val="0"/>
                    <w:adjustRightInd w:val="0"/>
                    <w:ind w:left="-105" w:leftChars="-50" w:right="-105" w:rightChars="-50"/>
                    <w:jc w:val="center"/>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厂界外500m内无地表水环境保护目标</w:t>
                  </w:r>
                </w:p>
              </w:tc>
            </w:tr>
            <w:tr w14:paraId="7DC801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6" w:type="pct"/>
                  <w:vAlign w:val="center"/>
                </w:tcPr>
                <w:p w14:paraId="4B1B7B9E">
                  <w:pPr>
                    <w:autoSpaceDE w:val="0"/>
                    <w:autoSpaceDN w:val="0"/>
                    <w:adjustRightInd w:val="0"/>
                    <w:ind w:left="-105" w:leftChars="-50" w:right="-105" w:rightChars="-50"/>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地下水</w:t>
                  </w:r>
                </w:p>
              </w:tc>
              <w:tc>
                <w:tcPr>
                  <w:tcW w:w="4503" w:type="pct"/>
                  <w:gridSpan w:val="5"/>
                  <w:vAlign w:val="center"/>
                </w:tcPr>
                <w:p w14:paraId="304DA3BD">
                  <w:pPr>
                    <w:autoSpaceDE w:val="0"/>
                    <w:autoSpaceDN w:val="0"/>
                    <w:adjustRightInd w:val="0"/>
                    <w:ind w:left="-105" w:leftChars="-50" w:right="-105" w:rightChars="-50"/>
                    <w:jc w:val="center"/>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厂界外500m范围内无地下水集中式饮用水水源和热水、矿泉水、温泉水等特殊地下水源。无生态保护目标</w:t>
                  </w:r>
                </w:p>
              </w:tc>
            </w:tr>
          </w:tbl>
          <w:p w14:paraId="6588A11E">
            <w:pPr>
              <w:adjustRightInd w:val="0"/>
              <w:snapToGrid w:val="0"/>
              <w:jc w:val="center"/>
              <w:rPr>
                <w:rFonts w:hint="default" w:ascii="Times New Roman" w:hAnsi="Times New Roman" w:eastAsia="宋体" w:cs="Times New Roman"/>
                <w:color w:val="auto"/>
                <w:kern w:val="0"/>
                <w:szCs w:val="21"/>
                <w:highlight w:val="none"/>
              </w:rPr>
            </w:pPr>
          </w:p>
        </w:tc>
      </w:tr>
      <w:tr w14:paraId="2F069A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0" w:hRule="atLeast"/>
          <w:jc w:val="center"/>
        </w:trPr>
        <w:tc>
          <w:tcPr>
            <w:tcW w:w="453" w:type="dxa"/>
            <w:tcMar>
              <w:left w:w="28" w:type="dxa"/>
              <w:right w:w="28" w:type="dxa"/>
            </w:tcMar>
            <w:vAlign w:val="center"/>
          </w:tcPr>
          <w:p w14:paraId="13DF5575">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b/>
                <w:bCs/>
                <w:color w:val="auto"/>
                <w:kern w:val="0"/>
                <w:sz w:val="24"/>
                <w:highlight w:val="none"/>
              </w:rPr>
              <w:t>污染物排放控制标准</w:t>
            </w:r>
          </w:p>
        </w:tc>
        <w:tc>
          <w:tcPr>
            <w:tcW w:w="8572" w:type="dxa"/>
            <w:vAlign w:val="center"/>
          </w:tcPr>
          <w:p w14:paraId="79DE2E6F">
            <w:pPr>
              <w:tabs>
                <w:tab w:val="left" w:pos="0"/>
              </w:tabs>
              <w:adjustRightInd w:val="0"/>
              <w:spacing w:line="360" w:lineRule="auto"/>
              <w:rPr>
                <w:rFonts w:hint="default" w:ascii="Times New Roman" w:hAnsi="Times New Roman" w:eastAsia="宋体" w:cs="Times New Roman"/>
                <w:b/>
                <w:color w:val="auto"/>
                <w:sz w:val="24"/>
                <w:szCs w:val="21"/>
                <w:highlight w:val="none"/>
                <w:lang w:val="en-US" w:eastAsia="zh-CN"/>
              </w:rPr>
            </w:pPr>
            <w:r>
              <w:rPr>
                <w:rFonts w:hint="default" w:ascii="Times New Roman" w:hAnsi="Times New Roman" w:eastAsia="宋体" w:cs="Times New Roman"/>
                <w:b/>
                <w:color w:val="auto"/>
                <w:sz w:val="24"/>
                <w:szCs w:val="21"/>
                <w:highlight w:val="none"/>
              </w:rPr>
              <w:t>1、废气</w:t>
            </w:r>
          </w:p>
          <w:p w14:paraId="6BF20DCC">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 w:val="24"/>
                <w:szCs w:val="21"/>
                <w:highlight w:val="none"/>
                <w:lang w:val="en-US" w:eastAsia="zh-CN"/>
              </w:rPr>
              <w:t>（1）本项目施工期大气污染物排放的粉尘，</w:t>
            </w:r>
            <w:r>
              <w:rPr>
                <w:rFonts w:hint="default" w:ascii="Times New Roman" w:hAnsi="Times New Roman" w:eastAsia="宋体" w:cs="Times New Roman"/>
                <w:color w:val="auto"/>
                <w:sz w:val="24"/>
                <w:szCs w:val="24"/>
                <w:highlight w:val="none"/>
              </w:rPr>
              <w:t>执行《</w:t>
            </w:r>
            <w:r>
              <w:rPr>
                <w:rFonts w:hint="default" w:ascii="Times New Roman" w:hAnsi="Times New Roman" w:eastAsia="宋体" w:cs="Times New Roman"/>
                <w:color w:val="auto"/>
                <w:sz w:val="24"/>
                <w:szCs w:val="24"/>
                <w:highlight w:val="none"/>
                <w:lang w:val="en-US" w:eastAsia="zh-CN"/>
              </w:rPr>
              <w:t>大气污染物综合排放标准</w:t>
            </w:r>
            <w:r>
              <w:rPr>
                <w:rFonts w:hint="default" w:ascii="Times New Roman" w:hAnsi="Times New Roman" w:eastAsia="宋体" w:cs="Times New Roman"/>
                <w:color w:val="auto"/>
                <w:sz w:val="24"/>
                <w:szCs w:val="24"/>
                <w:highlight w:val="none"/>
              </w:rPr>
              <w:t>》（GB</w:t>
            </w:r>
            <w:r>
              <w:rPr>
                <w:rFonts w:hint="default" w:ascii="Times New Roman" w:hAnsi="Times New Roman" w:eastAsia="宋体" w:cs="Times New Roman"/>
                <w:color w:val="auto"/>
                <w:sz w:val="24"/>
                <w:szCs w:val="24"/>
                <w:highlight w:val="none"/>
                <w:lang w:val="en-US" w:eastAsia="zh-CN"/>
              </w:rPr>
              <w:t>16297-1996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中</w:t>
            </w:r>
            <w:r>
              <w:rPr>
                <w:rFonts w:hint="default" w:ascii="Times New Roman" w:hAnsi="Times New Roman" w:eastAsia="宋体" w:cs="Times New Roman"/>
                <w:bCs/>
                <w:color w:val="auto"/>
                <w:sz w:val="24"/>
                <w:highlight w:val="none"/>
                <w:lang w:val="en-US" w:eastAsia="zh-CN"/>
              </w:rPr>
              <w:t>相关浓度限值要求</w:t>
            </w:r>
            <w:r>
              <w:rPr>
                <w:rFonts w:hint="default" w:ascii="Times New Roman" w:hAnsi="Times New Roman" w:eastAsia="宋体" w:cs="Times New Roman"/>
                <w:bCs/>
                <w:color w:val="auto"/>
                <w:sz w:val="24"/>
                <w:highlight w:val="none"/>
              </w:rPr>
              <w:t>，具体标准值见下表。</w:t>
            </w:r>
          </w:p>
          <w:p w14:paraId="06BF0778">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color w:val="auto"/>
                <w:kern w:val="0"/>
                <w:sz w:val="24"/>
                <w:szCs w:val="24"/>
                <w:highlight w:val="none"/>
              </w:rPr>
            </w:pPr>
            <w:r>
              <w:rPr>
                <w:rFonts w:hint="default" w:ascii="Times New Roman" w:hAnsi="Times New Roman" w:eastAsia="宋体" w:cs="Times New Roman"/>
                <w:b/>
                <w:color w:val="auto"/>
                <w:kern w:val="0"/>
                <w:sz w:val="24"/>
                <w:szCs w:val="24"/>
                <w:highlight w:val="none"/>
              </w:rPr>
              <w:t>表3-</w:t>
            </w:r>
            <w:r>
              <w:rPr>
                <w:rFonts w:hint="eastAsia" w:cs="Times New Roman"/>
                <w:b/>
                <w:color w:val="auto"/>
                <w:kern w:val="0"/>
                <w:sz w:val="24"/>
                <w:szCs w:val="24"/>
                <w:highlight w:val="none"/>
                <w:lang w:val="en-US" w:eastAsia="zh-CN"/>
              </w:rPr>
              <w:t>4</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大气污染物综合排放标准</w:t>
            </w:r>
            <w:r>
              <w:rPr>
                <w:rFonts w:hint="default" w:ascii="Times New Roman" w:hAnsi="Times New Roman" w:eastAsia="宋体" w:cs="Times New Roman"/>
                <w:b/>
                <w:bCs/>
                <w:color w:val="auto"/>
                <w:sz w:val="24"/>
                <w:szCs w:val="24"/>
                <w:highlight w:val="none"/>
              </w:rPr>
              <w:t>》（GB</w:t>
            </w:r>
            <w:r>
              <w:rPr>
                <w:rFonts w:hint="default" w:ascii="Times New Roman" w:hAnsi="Times New Roman" w:eastAsia="宋体" w:cs="Times New Roman"/>
                <w:b/>
                <w:bCs/>
                <w:color w:val="auto"/>
                <w:sz w:val="24"/>
                <w:szCs w:val="24"/>
                <w:highlight w:val="none"/>
                <w:lang w:val="en-US" w:eastAsia="zh-CN"/>
              </w:rPr>
              <w:t>16297-1996</w:t>
            </w:r>
            <w:r>
              <w:rPr>
                <w:rFonts w:hint="default" w:ascii="Times New Roman" w:hAnsi="Times New Roman" w:eastAsia="宋体" w:cs="Times New Roman"/>
                <w:color w:val="auto"/>
                <w:sz w:val="24"/>
                <w:szCs w:val="24"/>
                <w:highlight w:val="none"/>
              </w:rPr>
              <w:t>）</w:t>
            </w:r>
          </w:p>
          <w:tbl>
            <w:tblPr>
              <w:tblStyle w:val="21"/>
              <w:tblW w:w="817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73"/>
              <w:gridCol w:w="3504"/>
              <w:gridCol w:w="3102"/>
            </w:tblGrid>
            <w:tr w14:paraId="383414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7" w:hRule="atLeast"/>
              </w:trPr>
              <w:tc>
                <w:tcPr>
                  <w:tcW w:w="961" w:type="pct"/>
                  <w:vMerge w:val="restart"/>
                  <w:vAlign w:val="center"/>
                </w:tcPr>
                <w:p w14:paraId="698E3592">
                  <w:pPr>
                    <w:ind w:right="113"/>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污染物</w:t>
                  </w:r>
                </w:p>
              </w:tc>
              <w:tc>
                <w:tcPr>
                  <w:tcW w:w="4038" w:type="pct"/>
                  <w:gridSpan w:val="2"/>
                  <w:vAlign w:val="center"/>
                </w:tcPr>
                <w:p w14:paraId="2357F2E9">
                  <w:pPr>
                    <w:ind w:right="113"/>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无组织排放监控浓度限值</w:t>
                  </w:r>
                </w:p>
              </w:tc>
            </w:tr>
            <w:tr w14:paraId="7411C1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6" w:hRule="atLeast"/>
              </w:trPr>
              <w:tc>
                <w:tcPr>
                  <w:tcW w:w="961" w:type="pct"/>
                  <w:vMerge w:val="continue"/>
                  <w:vAlign w:val="center"/>
                </w:tcPr>
                <w:p w14:paraId="7245A1C8">
                  <w:pPr>
                    <w:ind w:right="113"/>
                    <w:jc w:val="center"/>
                    <w:rPr>
                      <w:rFonts w:hint="default" w:ascii="Times New Roman" w:hAnsi="Times New Roman" w:eastAsia="宋体" w:cs="Times New Roman"/>
                      <w:b/>
                      <w:bCs/>
                      <w:color w:val="auto"/>
                      <w:szCs w:val="21"/>
                      <w:highlight w:val="none"/>
                    </w:rPr>
                  </w:pPr>
                </w:p>
              </w:tc>
              <w:tc>
                <w:tcPr>
                  <w:tcW w:w="2142" w:type="pct"/>
                  <w:vAlign w:val="center"/>
                </w:tcPr>
                <w:p w14:paraId="0D956FAC">
                  <w:pPr>
                    <w:ind w:right="113"/>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监控点</w:t>
                  </w:r>
                </w:p>
              </w:tc>
              <w:tc>
                <w:tcPr>
                  <w:tcW w:w="1896" w:type="pct"/>
                  <w:vAlign w:val="center"/>
                </w:tcPr>
                <w:p w14:paraId="558505A2">
                  <w:pPr>
                    <w:ind w:right="113"/>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浓度（mg/m</w:t>
                  </w:r>
                  <w:r>
                    <w:rPr>
                      <w:rFonts w:hint="default" w:ascii="Times New Roman" w:hAnsi="Times New Roman" w:eastAsia="宋体" w:cs="Times New Roman"/>
                      <w:b/>
                      <w:bCs/>
                      <w:color w:val="auto"/>
                      <w:szCs w:val="21"/>
                      <w:highlight w:val="none"/>
                      <w:vertAlign w:val="superscript"/>
                      <w:lang w:val="en-US" w:eastAsia="zh-CN"/>
                    </w:rPr>
                    <w:t>3</w:t>
                  </w:r>
                  <w:r>
                    <w:rPr>
                      <w:rFonts w:hint="default" w:ascii="Times New Roman" w:hAnsi="Times New Roman" w:eastAsia="宋体" w:cs="Times New Roman"/>
                      <w:b/>
                      <w:bCs/>
                      <w:color w:val="auto"/>
                      <w:szCs w:val="21"/>
                      <w:highlight w:val="none"/>
                      <w:lang w:val="en-US" w:eastAsia="zh-CN"/>
                    </w:rPr>
                    <w:t>）</w:t>
                  </w:r>
                </w:p>
              </w:tc>
            </w:tr>
            <w:tr w14:paraId="520B98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9" w:hRule="atLeast"/>
              </w:trPr>
              <w:tc>
                <w:tcPr>
                  <w:tcW w:w="961" w:type="pct"/>
                  <w:vAlign w:val="center"/>
                </w:tcPr>
                <w:p w14:paraId="1F896BD7">
                  <w:pPr>
                    <w:ind w:right="113"/>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颗粒物</w:t>
                  </w:r>
                </w:p>
              </w:tc>
              <w:tc>
                <w:tcPr>
                  <w:tcW w:w="2142" w:type="pct"/>
                  <w:vAlign w:val="center"/>
                </w:tcPr>
                <w:p w14:paraId="27F8C90E">
                  <w:pPr>
                    <w:ind w:right="113"/>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厂界浓度最高点</w:t>
                  </w:r>
                </w:p>
              </w:tc>
              <w:tc>
                <w:tcPr>
                  <w:tcW w:w="1896" w:type="pct"/>
                  <w:vAlign w:val="center"/>
                </w:tcPr>
                <w:p w14:paraId="466CC54F">
                  <w:pPr>
                    <w:ind w:right="113"/>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1.0</w:t>
                  </w:r>
                </w:p>
              </w:tc>
            </w:tr>
          </w:tbl>
          <w:p w14:paraId="389126E2">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720" w:firstLineChars="300"/>
              <w:textAlignment w:val="auto"/>
              <w:rPr>
                <w:rFonts w:hint="default" w:ascii="Times New Roman" w:hAnsi="Times New Roman" w:eastAsia="宋体" w:cs="Times New Roman"/>
                <w:b w:val="0"/>
                <w:bCs/>
                <w:color w:val="auto"/>
                <w:sz w:val="24"/>
                <w:szCs w:val="21"/>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（2）</w:t>
            </w:r>
            <w:r>
              <w:rPr>
                <w:rFonts w:hint="default" w:ascii="Times New Roman" w:hAnsi="Times New Roman" w:eastAsia="宋体" w:cs="Times New Roman"/>
                <w:b w:val="0"/>
                <w:bCs/>
                <w:color w:val="auto"/>
                <w:sz w:val="24"/>
                <w:szCs w:val="21"/>
                <w:highlight w:val="none"/>
                <w:lang w:val="en-US" w:eastAsia="zh-CN"/>
              </w:rPr>
              <w:t>运营期</w:t>
            </w:r>
            <w:r>
              <w:rPr>
                <w:rFonts w:hint="eastAsia" w:cs="Times New Roman"/>
                <w:b w:val="0"/>
                <w:bCs/>
                <w:color w:val="auto"/>
                <w:sz w:val="24"/>
                <w:szCs w:val="21"/>
                <w:highlight w:val="none"/>
                <w:lang w:val="en-US" w:eastAsia="zh-CN"/>
              </w:rPr>
              <w:t>料胚储存筒仓进料</w:t>
            </w:r>
            <w:r>
              <w:rPr>
                <w:rFonts w:hint="default" w:ascii="Times New Roman" w:hAnsi="Times New Roman" w:eastAsia="宋体" w:cs="Times New Roman"/>
                <w:b w:val="0"/>
                <w:bCs/>
                <w:color w:val="auto"/>
                <w:sz w:val="24"/>
                <w:szCs w:val="21"/>
                <w:highlight w:val="none"/>
                <w:lang w:val="en-US" w:eastAsia="zh-CN"/>
              </w:rPr>
              <w:t>过程中</w:t>
            </w:r>
            <w:r>
              <w:rPr>
                <w:rFonts w:hint="eastAsia" w:cs="Times New Roman"/>
                <w:b w:val="0"/>
                <w:bCs/>
                <w:color w:val="auto"/>
                <w:sz w:val="24"/>
                <w:szCs w:val="21"/>
                <w:highlight w:val="none"/>
                <w:lang w:val="en-US" w:eastAsia="zh-CN"/>
              </w:rPr>
              <w:t>产生的颗粒物，</w:t>
            </w:r>
            <w:r>
              <w:rPr>
                <w:rFonts w:hint="default" w:ascii="Times New Roman" w:hAnsi="Times New Roman" w:eastAsia="宋体" w:cs="Times New Roman"/>
                <w:b w:val="0"/>
                <w:bCs/>
                <w:color w:val="auto"/>
                <w:sz w:val="24"/>
                <w:szCs w:val="21"/>
                <w:highlight w:val="none"/>
                <w:lang w:val="en-US" w:eastAsia="zh-CN"/>
              </w:rPr>
              <w:t>有组织废气执行《大气污染物综合排放标准》</w:t>
            </w:r>
            <w:r>
              <w:rPr>
                <w:rFonts w:hint="eastAsia" w:cs="Times New Roman"/>
                <w:b w:val="0"/>
                <w:bCs/>
                <w:color w:val="auto"/>
                <w:sz w:val="24"/>
                <w:szCs w:val="21"/>
                <w:highlight w:val="none"/>
                <w:lang w:val="en-US" w:eastAsia="zh-CN"/>
              </w:rPr>
              <w:t>（</w:t>
            </w:r>
            <w:r>
              <w:rPr>
                <w:rFonts w:hint="default" w:ascii="Times New Roman" w:hAnsi="Times New Roman" w:eastAsia="宋体" w:cs="Times New Roman"/>
                <w:b w:val="0"/>
                <w:bCs/>
                <w:color w:val="auto"/>
                <w:sz w:val="24"/>
                <w:szCs w:val="21"/>
                <w:highlight w:val="none"/>
                <w:lang w:val="en-US" w:eastAsia="zh-CN"/>
              </w:rPr>
              <w:t>GB16297-1996</w:t>
            </w:r>
            <w:r>
              <w:rPr>
                <w:rFonts w:hint="eastAsia" w:cs="Times New Roman"/>
                <w:b w:val="0"/>
                <w:bCs/>
                <w:color w:val="auto"/>
                <w:sz w:val="24"/>
                <w:szCs w:val="21"/>
                <w:highlight w:val="none"/>
                <w:lang w:val="en-US" w:eastAsia="zh-CN"/>
              </w:rPr>
              <w:t>）</w:t>
            </w:r>
            <w:r>
              <w:rPr>
                <w:rFonts w:hint="default" w:ascii="Times New Roman" w:hAnsi="Times New Roman" w:eastAsia="宋体" w:cs="Times New Roman"/>
                <w:b w:val="0"/>
                <w:bCs/>
                <w:color w:val="auto"/>
                <w:sz w:val="24"/>
                <w:szCs w:val="21"/>
                <w:highlight w:val="none"/>
                <w:lang w:val="en-US" w:eastAsia="zh-CN"/>
              </w:rPr>
              <w:t>中二级排放标准。</w:t>
            </w:r>
          </w:p>
          <w:p w14:paraId="416D9320">
            <w:pPr>
              <w:keepNext w:val="0"/>
              <w:keepLines w:val="0"/>
              <w:pageBreakBefore w:val="0"/>
              <w:widowControl/>
              <w:kinsoku/>
              <w:wordWrap/>
              <w:overflowPunct/>
              <w:topLinePunct w:val="0"/>
              <w:autoSpaceDE/>
              <w:autoSpaceDN/>
              <w:bidi w:val="0"/>
              <w:adjustRightInd/>
              <w:snapToGrid/>
              <w:spacing w:line="400" w:lineRule="exact"/>
              <w:ind w:firstLine="480" w:firstLineChars="200"/>
              <w:jc w:val="both"/>
              <w:textAlignment w:val="auto"/>
              <w:rPr>
                <w:rFonts w:hint="default" w:ascii="Times New Roman" w:hAnsi="Times New Roman" w:eastAsia="宋体" w:cs="Times New Roman"/>
                <w:b w:val="0"/>
                <w:bCs/>
                <w:color w:val="auto"/>
                <w:sz w:val="24"/>
                <w:szCs w:val="21"/>
                <w:highlight w:val="none"/>
                <w:lang w:val="en-US" w:eastAsia="zh-CN"/>
              </w:rPr>
            </w:pPr>
            <w:r>
              <w:rPr>
                <w:rFonts w:hint="default" w:ascii="Times New Roman" w:hAnsi="Times New Roman" w:eastAsia="宋体" w:cs="Times New Roman"/>
                <w:b w:val="0"/>
                <w:bCs/>
                <w:color w:val="auto"/>
                <w:sz w:val="24"/>
                <w:szCs w:val="21"/>
                <w:highlight w:val="none"/>
                <w:lang w:val="en-US" w:eastAsia="zh-CN"/>
              </w:rPr>
              <w:t>无组织废气</w:t>
            </w:r>
            <w:r>
              <w:rPr>
                <w:rFonts w:hint="eastAsia" w:cs="Times New Roman"/>
                <w:b w:val="0"/>
                <w:bCs/>
                <w:color w:val="auto"/>
                <w:sz w:val="24"/>
                <w:szCs w:val="21"/>
                <w:highlight w:val="none"/>
                <w:lang w:val="en-US" w:eastAsia="zh-CN"/>
              </w:rPr>
              <w:t>：颗粒物</w:t>
            </w:r>
            <w:r>
              <w:rPr>
                <w:rFonts w:hint="default" w:ascii="Times New Roman" w:hAnsi="Times New Roman" w:eastAsia="宋体" w:cs="Times New Roman"/>
                <w:b w:val="0"/>
                <w:bCs/>
                <w:color w:val="auto"/>
                <w:sz w:val="24"/>
                <w:szCs w:val="21"/>
                <w:highlight w:val="none"/>
                <w:lang w:val="en-US" w:eastAsia="zh-CN"/>
              </w:rPr>
              <w:t>厂界执行《大气污染物综合排放标准》</w:t>
            </w:r>
            <w:r>
              <w:rPr>
                <w:rFonts w:hint="eastAsia" w:cs="Times New Roman"/>
                <w:b w:val="0"/>
                <w:bCs/>
                <w:color w:val="auto"/>
                <w:sz w:val="24"/>
                <w:szCs w:val="21"/>
                <w:highlight w:val="none"/>
                <w:lang w:val="en-US" w:eastAsia="zh-CN"/>
              </w:rPr>
              <w:t>（</w:t>
            </w:r>
            <w:r>
              <w:rPr>
                <w:rFonts w:hint="default" w:ascii="Times New Roman" w:hAnsi="Times New Roman" w:eastAsia="宋体" w:cs="Times New Roman"/>
                <w:b w:val="0"/>
                <w:bCs/>
                <w:color w:val="auto"/>
                <w:sz w:val="24"/>
                <w:szCs w:val="21"/>
                <w:highlight w:val="none"/>
                <w:lang w:val="en-US" w:eastAsia="zh-CN"/>
              </w:rPr>
              <w:t>GB16297-1996</w:t>
            </w:r>
            <w:r>
              <w:rPr>
                <w:rFonts w:hint="eastAsia" w:cs="Times New Roman"/>
                <w:b w:val="0"/>
                <w:bCs/>
                <w:color w:val="auto"/>
                <w:sz w:val="24"/>
                <w:szCs w:val="21"/>
                <w:highlight w:val="none"/>
                <w:lang w:val="en-US" w:eastAsia="zh-CN"/>
              </w:rPr>
              <w:t>）</w:t>
            </w:r>
            <w:r>
              <w:rPr>
                <w:rFonts w:hint="default" w:ascii="Times New Roman" w:hAnsi="Times New Roman" w:eastAsia="宋体" w:cs="Times New Roman"/>
                <w:b w:val="0"/>
                <w:bCs/>
                <w:color w:val="auto"/>
                <w:sz w:val="24"/>
                <w:szCs w:val="21"/>
                <w:highlight w:val="none"/>
                <w:lang w:val="en-US" w:eastAsia="zh-CN"/>
              </w:rPr>
              <w:t>表2中无组织排放监控浓度限值</w:t>
            </w:r>
            <w:r>
              <w:rPr>
                <w:rFonts w:hint="eastAsia" w:cs="Times New Roman"/>
                <w:b w:val="0"/>
                <w:bCs/>
                <w:color w:val="auto"/>
                <w:sz w:val="24"/>
                <w:szCs w:val="21"/>
                <w:highlight w:val="none"/>
                <w:lang w:val="en-US" w:eastAsia="zh-CN"/>
              </w:rPr>
              <w:t>；</w:t>
            </w:r>
            <w:r>
              <w:rPr>
                <w:rFonts w:hint="default" w:ascii="Times New Roman" w:hAnsi="Times New Roman" w:eastAsia="宋体" w:cs="Times New Roman"/>
                <w:b w:val="0"/>
                <w:bCs/>
                <w:color w:val="auto"/>
                <w:kern w:val="0"/>
                <w:sz w:val="24"/>
                <w:szCs w:val="24"/>
                <w:highlight w:val="none"/>
                <w:lang w:val="en-US" w:eastAsia="zh-CN"/>
              </w:rPr>
              <w:t>挥发性有机物（以非甲烷总烃计），厂界执行《大气污染物综合排放标准》（GB16297-1996）表2中无组织排放监控浓度限值；厂界内、生产车间外</w:t>
            </w:r>
            <w:r>
              <w:rPr>
                <w:rFonts w:hint="eastAsia" w:cs="Times New Roman"/>
                <w:b w:val="0"/>
                <w:bCs/>
                <w:color w:val="auto"/>
                <w:kern w:val="0"/>
                <w:sz w:val="24"/>
                <w:szCs w:val="24"/>
                <w:highlight w:val="none"/>
                <w:lang w:val="en-US" w:eastAsia="zh-CN"/>
              </w:rPr>
              <w:t>挥发性有机物无组织排放</w:t>
            </w:r>
            <w:r>
              <w:rPr>
                <w:rFonts w:hint="default" w:ascii="Times New Roman" w:hAnsi="Times New Roman" w:eastAsia="宋体" w:cs="Times New Roman"/>
                <w:b w:val="0"/>
                <w:bCs/>
                <w:color w:val="auto"/>
                <w:kern w:val="0"/>
                <w:sz w:val="24"/>
                <w:szCs w:val="24"/>
                <w:highlight w:val="none"/>
                <w:lang w:val="en-US" w:eastAsia="zh-CN"/>
              </w:rPr>
              <w:t>执行《挥发性有机物无组织排放控制标准》（GB37822-2019）中限值要求</w:t>
            </w:r>
            <w:r>
              <w:rPr>
                <w:rFonts w:hint="eastAsia" w:cs="Times New Roman"/>
                <w:b w:val="0"/>
                <w:bCs/>
                <w:color w:val="auto"/>
                <w:kern w:val="0"/>
                <w:sz w:val="24"/>
                <w:szCs w:val="24"/>
                <w:highlight w:val="none"/>
                <w:lang w:val="en-US" w:eastAsia="zh-CN"/>
              </w:rPr>
              <w:t>。</w:t>
            </w:r>
          </w:p>
          <w:p w14:paraId="4919C47C">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eastAsia"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color w:val="auto"/>
                <w:kern w:val="0"/>
                <w:sz w:val="24"/>
                <w:szCs w:val="24"/>
                <w:highlight w:val="none"/>
              </w:rPr>
              <w:t>表3-</w:t>
            </w:r>
            <w:r>
              <w:rPr>
                <w:rFonts w:hint="eastAsia" w:cs="Times New Roman"/>
                <w:b/>
                <w:color w:val="auto"/>
                <w:kern w:val="0"/>
                <w:sz w:val="24"/>
                <w:szCs w:val="24"/>
                <w:highlight w:val="none"/>
                <w:lang w:val="en-US" w:eastAsia="zh-CN"/>
              </w:rPr>
              <w:t>5</w:t>
            </w:r>
            <w:r>
              <w:rPr>
                <w:rFonts w:hint="default" w:ascii="Times New Roman" w:hAnsi="Times New Roman" w:eastAsia="宋体" w:cs="Times New Roman"/>
                <w:b/>
                <w:bCs/>
                <w:color w:val="auto"/>
                <w:sz w:val="24"/>
                <w:szCs w:val="24"/>
                <w:highlight w:val="none"/>
              </w:rPr>
              <w:t>《</w:t>
            </w:r>
            <w:r>
              <w:rPr>
                <w:rFonts w:hint="eastAsia" w:cs="Times New Roman"/>
                <w:b/>
                <w:bCs/>
                <w:color w:val="auto"/>
                <w:sz w:val="24"/>
                <w:szCs w:val="24"/>
                <w:highlight w:val="none"/>
                <w:lang w:val="en-US" w:eastAsia="zh-CN"/>
              </w:rPr>
              <w:t>大气</w:t>
            </w:r>
            <w:r>
              <w:rPr>
                <w:rFonts w:hint="default" w:ascii="Times New Roman" w:hAnsi="Times New Roman" w:eastAsia="宋体" w:cs="Times New Roman"/>
                <w:b/>
                <w:bCs/>
                <w:color w:val="auto"/>
                <w:sz w:val="24"/>
                <w:szCs w:val="24"/>
                <w:highlight w:val="none"/>
              </w:rPr>
              <w:t>污染物</w:t>
            </w:r>
            <w:r>
              <w:rPr>
                <w:rFonts w:hint="eastAsia" w:cs="Times New Roman"/>
                <w:b/>
                <w:bCs/>
                <w:color w:val="auto"/>
                <w:sz w:val="24"/>
                <w:szCs w:val="24"/>
                <w:highlight w:val="none"/>
                <w:lang w:val="en-US" w:eastAsia="zh-CN"/>
              </w:rPr>
              <w:t>综合</w:t>
            </w:r>
            <w:r>
              <w:rPr>
                <w:rFonts w:hint="default" w:ascii="Times New Roman" w:hAnsi="Times New Roman" w:eastAsia="宋体" w:cs="Times New Roman"/>
                <w:b/>
                <w:bCs/>
                <w:color w:val="auto"/>
                <w:sz w:val="24"/>
                <w:szCs w:val="24"/>
                <w:highlight w:val="none"/>
              </w:rPr>
              <w:t>排放标准》（GB1</w:t>
            </w:r>
            <w:r>
              <w:rPr>
                <w:rFonts w:hint="eastAsia" w:cs="Times New Roman"/>
                <w:b/>
                <w:bCs/>
                <w:color w:val="auto"/>
                <w:sz w:val="24"/>
                <w:szCs w:val="24"/>
                <w:highlight w:val="none"/>
                <w:lang w:val="en-US" w:eastAsia="zh-CN"/>
              </w:rPr>
              <w:t>6297-1996</w:t>
            </w:r>
            <w:r>
              <w:rPr>
                <w:rFonts w:hint="default" w:ascii="Times New Roman" w:hAnsi="Times New Roman" w:eastAsia="宋体" w:cs="Times New Roman"/>
                <w:b/>
                <w:bCs/>
                <w:color w:val="auto"/>
                <w:sz w:val="24"/>
                <w:szCs w:val="24"/>
                <w:highlight w:val="none"/>
              </w:rPr>
              <w:t>）</w:t>
            </w:r>
            <w:r>
              <w:rPr>
                <w:rFonts w:hint="eastAsia" w:ascii="Times New Roman" w:hAnsi="Times New Roman" w:eastAsia="宋体" w:cs="Times New Roman"/>
                <w:b/>
                <w:bCs/>
                <w:color w:val="auto"/>
                <w:sz w:val="24"/>
                <w:szCs w:val="24"/>
                <w:highlight w:val="none"/>
                <w:lang w:val="en-US" w:eastAsia="zh-CN"/>
              </w:rPr>
              <w:t>摘录</w:t>
            </w:r>
          </w:p>
          <w:tbl>
            <w:tblPr>
              <w:tblStyle w:val="21"/>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67"/>
              <w:gridCol w:w="978"/>
              <w:gridCol w:w="1625"/>
              <w:gridCol w:w="1353"/>
              <w:gridCol w:w="1340"/>
              <w:gridCol w:w="1493"/>
            </w:tblGrid>
            <w:tr w14:paraId="0BC70C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9" w:hRule="atLeast"/>
              </w:trPr>
              <w:tc>
                <w:tcPr>
                  <w:tcW w:w="937" w:type="pct"/>
                  <w:vMerge w:val="restart"/>
                  <w:vAlign w:val="center"/>
                </w:tcPr>
                <w:p w14:paraId="573C4712">
                  <w:pPr>
                    <w:ind w:right="113"/>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污染物</w:t>
                  </w:r>
                </w:p>
              </w:tc>
              <w:tc>
                <w:tcPr>
                  <w:tcW w:w="2367" w:type="pct"/>
                  <w:gridSpan w:val="3"/>
                  <w:vAlign w:val="center"/>
                </w:tcPr>
                <w:p w14:paraId="6D91A00F">
                  <w:pPr>
                    <w:ind w:right="113"/>
                    <w:jc w:val="center"/>
                    <w:rPr>
                      <w:rFonts w:hint="default"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val="en-US" w:eastAsia="zh-CN"/>
                    </w:rPr>
                    <w:t>有组织排放口</w:t>
                  </w:r>
                </w:p>
              </w:tc>
              <w:tc>
                <w:tcPr>
                  <w:tcW w:w="1695" w:type="pct"/>
                  <w:gridSpan w:val="2"/>
                  <w:vAlign w:val="center"/>
                </w:tcPr>
                <w:p w14:paraId="09389D48">
                  <w:pPr>
                    <w:ind w:right="113"/>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无组织排放监控浓度限值</w:t>
                  </w:r>
                </w:p>
              </w:tc>
            </w:tr>
            <w:tr w14:paraId="1866F5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57" w:hRule="atLeast"/>
              </w:trPr>
              <w:tc>
                <w:tcPr>
                  <w:tcW w:w="937" w:type="pct"/>
                  <w:vMerge w:val="continue"/>
                  <w:vAlign w:val="center"/>
                </w:tcPr>
                <w:p w14:paraId="5DBFBC92">
                  <w:pPr>
                    <w:ind w:right="113"/>
                    <w:jc w:val="center"/>
                    <w:rPr>
                      <w:rFonts w:hint="default" w:ascii="Times New Roman" w:hAnsi="Times New Roman" w:eastAsia="宋体" w:cs="Times New Roman"/>
                      <w:b/>
                      <w:bCs/>
                      <w:color w:val="auto"/>
                      <w:szCs w:val="21"/>
                      <w:highlight w:val="none"/>
                    </w:rPr>
                  </w:pPr>
                </w:p>
              </w:tc>
              <w:tc>
                <w:tcPr>
                  <w:tcW w:w="585" w:type="pct"/>
                  <w:vAlign w:val="center"/>
                </w:tcPr>
                <w:p w14:paraId="2E28FC24">
                  <w:pPr>
                    <w:ind w:right="113"/>
                    <w:jc w:val="center"/>
                    <w:rPr>
                      <w:rFonts w:hint="default" w:cs="Times New Roman"/>
                      <w:b/>
                      <w:bCs/>
                      <w:color w:val="auto"/>
                      <w:szCs w:val="21"/>
                      <w:highlight w:val="none"/>
                      <w:lang w:val="en-US" w:eastAsia="zh-CN"/>
                    </w:rPr>
                  </w:pPr>
                  <w:r>
                    <w:rPr>
                      <w:rFonts w:hint="eastAsia" w:cs="Times New Roman"/>
                      <w:b/>
                      <w:bCs/>
                      <w:color w:val="auto"/>
                      <w:szCs w:val="21"/>
                      <w:highlight w:val="none"/>
                      <w:lang w:val="en-US" w:eastAsia="zh-CN"/>
                    </w:rPr>
                    <w:t>排气筒高度（m）</w:t>
                  </w:r>
                </w:p>
              </w:tc>
              <w:tc>
                <w:tcPr>
                  <w:tcW w:w="972" w:type="pct"/>
                  <w:vAlign w:val="center"/>
                </w:tcPr>
                <w:p w14:paraId="20837A8F">
                  <w:pPr>
                    <w:ind w:right="113"/>
                    <w:jc w:val="center"/>
                    <w:rPr>
                      <w:rFonts w:hint="default"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val="en-US" w:eastAsia="zh-CN"/>
                    </w:rPr>
                    <w:t>最高允许排放浓度</w:t>
                  </w:r>
                  <w:r>
                    <w:rPr>
                      <w:rFonts w:hint="default" w:ascii="Times New Roman" w:hAnsi="Times New Roman" w:eastAsia="宋体" w:cs="Times New Roman"/>
                      <w:b/>
                      <w:bCs/>
                      <w:color w:val="auto"/>
                      <w:szCs w:val="21"/>
                      <w:highlight w:val="none"/>
                      <w:lang w:val="en-US" w:eastAsia="zh-CN"/>
                    </w:rPr>
                    <w:t>（mg/m</w:t>
                  </w:r>
                  <w:r>
                    <w:rPr>
                      <w:rFonts w:hint="default" w:ascii="Times New Roman" w:hAnsi="Times New Roman" w:eastAsia="宋体" w:cs="Times New Roman"/>
                      <w:b/>
                      <w:bCs/>
                      <w:color w:val="auto"/>
                      <w:szCs w:val="21"/>
                      <w:highlight w:val="none"/>
                      <w:vertAlign w:val="superscript"/>
                      <w:lang w:val="en-US" w:eastAsia="zh-CN"/>
                    </w:rPr>
                    <w:t>3</w:t>
                  </w:r>
                  <w:r>
                    <w:rPr>
                      <w:rFonts w:hint="default" w:ascii="Times New Roman" w:hAnsi="Times New Roman" w:eastAsia="宋体" w:cs="Times New Roman"/>
                      <w:b/>
                      <w:bCs/>
                      <w:color w:val="auto"/>
                      <w:szCs w:val="21"/>
                      <w:highlight w:val="none"/>
                      <w:lang w:val="en-US" w:eastAsia="zh-CN"/>
                    </w:rPr>
                    <w:t>）</w:t>
                  </w:r>
                </w:p>
              </w:tc>
              <w:tc>
                <w:tcPr>
                  <w:tcW w:w="809" w:type="pct"/>
                  <w:vAlign w:val="center"/>
                </w:tcPr>
                <w:p w14:paraId="6DBA8F48">
                  <w:pPr>
                    <w:ind w:right="113"/>
                    <w:jc w:val="center"/>
                    <w:rPr>
                      <w:rFonts w:hint="default"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val="en-US" w:eastAsia="zh-CN"/>
                    </w:rPr>
                    <w:t>最高允许排放速率（kg/h）</w:t>
                  </w:r>
                </w:p>
              </w:tc>
              <w:tc>
                <w:tcPr>
                  <w:tcW w:w="801" w:type="pct"/>
                  <w:vAlign w:val="center"/>
                </w:tcPr>
                <w:p w14:paraId="16D7658C">
                  <w:pPr>
                    <w:ind w:right="113"/>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监控点</w:t>
                  </w:r>
                </w:p>
              </w:tc>
              <w:tc>
                <w:tcPr>
                  <w:tcW w:w="893" w:type="pct"/>
                  <w:vAlign w:val="center"/>
                </w:tcPr>
                <w:p w14:paraId="23AA1DE3">
                  <w:pPr>
                    <w:ind w:right="113"/>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浓度（mg/m</w:t>
                  </w:r>
                  <w:r>
                    <w:rPr>
                      <w:rFonts w:hint="default" w:ascii="Times New Roman" w:hAnsi="Times New Roman" w:eastAsia="宋体" w:cs="Times New Roman"/>
                      <w:b/>
                      <w:bCs/>
                      <w:color w:val="auto"/>
                      <w:szCs w:val="21"/>
                      <w:highlight w:val="none"/>
                      <w:vertAlign w:val="superscript"/>
                      <w:lang w:val="en-US" w:eastAsia="zh-CN"/>
                    </w:rPr>
                    <w:t>3</w:t>
                  </w:r>
                  <w:r>
                    <w:rPr>
                      <w:rFonts w:hint="default" w:ascii="Times New Roman" w:hAnsi="Times New Roman" w:eastAsia="宋体" w:cs="Times New Roman"/>
                      <w:b/>
                      <w:bCs/>
                      <w:color w:val="auto"/>
                      <w:szCs w:val="21"/>
                      <w:highlight w:val="none"/>
                      <w:lang w:val="en-US" w:eastAsia="zh-CN"/>
                    </w:rPr>
                    <w:t>）</w:t>
                  </w:r>
                </w:p>
              </w:tc>
            </w:tr>
            <w:tr w14:paraId="0F8A64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6" w:hRule="atLeast"/>
              </w:trPr>
              <w:tc>
                <w:tcPr>
                  <w:tcW w:w="937" w:type="pct"/>
                  <w:vAlign w:val="center"/>
                </w:tcPr>
                <w:p w14:paraId="213B5BAE">
                  <w:pPr>
                    <w:ind w:right="113"/>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颗粒物</w:t>
                  </w:r>
                </w:p>
              </w:tc>
              <w:tc>
                <w:tcPr>
                  <w:tcW w:w="585" w:type="pct"/>
                  <w:vAlign w:val="center"/>
                </w:tcPr>
                <w:p w14:paraId="361C2083">
                  <w:pPr>
                    <w:ind w:right="113"/>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15</w:t>
                  </w:r>
                </w:p>
              </w:tc>
              <w:tc>
                <w:tcPr>
                  <w:tcW w:w="972" w:type="pct"/>
                  <w:vAlign w:val="center"/>
                </w:tcPr>
                <w:p w14:paraId="4A9CA4C9">
                  <w:pPr>
                    <w:ind w:right="113"/>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120</w:t>
                  </w:r>
                </w:p>
              </w:tc>
              <w:tc>
                <w:tcPr>
                  <w:tcW w:w="809" w:type="pct"/>
                  <w:vAlign w:val="center"/>
                </w:tcPr>
                <w:p w14:paraId="29944172">
                  <w:pPr>
                    <w:ind w:right="113"/>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3.5</w:t>
                  </w:r>
                </w:p>
              </w:tc>
              <w:tc>
                <w:tcPr>
                  <w:tcW w:w="801" w:type="pct"/>
                  <w:vAlign w:val="center"/>
                </w:tcPr>
                <w:p w14:paraId="1E608752">
                  <w:pPr>
                    <w:ind w:right="113"/>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厂界浓度最高点</w:t>
                  </w:r>
                </w:p>
              </w:tc>
              <w:tc>
                <w:tcPr>
                  <w:tcW w:w="893" w:type="pct"/>
                  <w:vAlign w:val="center"/>
                </w:tcPr>
                <w:p w14:paraId="2FD2310F">
                  <w:pPr>
                    <w:ind w:right="113"/>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w:t>
                  </w:r>
                </w:p>
              </w:tc>
            </w:tr>
            <w:tr w14:paraId="439208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2" w:hRule="atLeast"/>
              </w:trPr>
              <w:tc>
                <w:tcPr>
                  <w:tcW w:w="937" w:type="pct"/>
                  <w:vAlign w:val="center"/>
                </w:tcPr>
                <w:p w14:paraId="01551224">
                  <w:pPr>
                    <w:ind w:right="113"/>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挥发性有机物（以非甲烷总烃计）</w:t>
                  </w:r>
                </w:p>
              </w:tc>
              <w:tc>
                <w:tcPr>
                  <w:tcW w:w="585" w:type="pct"/>
                  <w:vAlign w:val="center"/>
                </w:tcPr>
                <w:p w14:paraId="61439062">
                  <w:pPr>
                    <w:ind w:right="113"/>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972" w:type="pct"/>
                  <w:vAlign w:val="center"/>
                </w:tcPr>
                <w:p w14:paraId="7D93F023">
                  <w:pPr>
                    <w:ind w:right="113"/>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809" w:type="pct"/>
                  <w:vAlign w:val="center"/>
                </w:tcPr>
                <w:p w14:paraId="64D0C423">
                  <w:pPr>
                    <w:ind w:right="113"/>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801" w:type="pct"/>
                  <w:vAlign w:val="center"/>
                </w:tcPr>
                <w:p w14:paraId="4E0F22FB">
                  <w:pPr>
                    <w:ind w:right="113"/>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厂界浓度最高点</w:t>
                  </w:r>
                </w:p>
              </w:tc>
              <w:tc>
                <w:tcPr>
                  <w:tcW w:w="893" w:type="pct"/>
                  <w:vAlign w:val="center"/>
                </w:tcPr>
                <w:p w14:paraId="6DDFE752">
                  <w:pPr>
                    <w:ind w:right="113"/>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4.0</w:t>
                  </w:r>
                </w:p>
              </w:tc>
            </w:tr>
          </w:tbl>
          <w:p w14:paraId="0789D09A">
            <w:pPr>
              <w:widowControl/>
              <w:jc w:val="center"/>
              <w:rPr>
                <w:rFonts w:hint="eastAsia"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color w:val="auto"/>
                <w:kern w:val="0"/>
                <w:sz w:val="24"/>
                <w:szCs w:val="24"/>
                <w:highlight w:val="none"/>
              </w:rPr>
              <w:t>表3-</w:t>
            </w:r>
            <w:r>
              <w:rPr>
                <w:rFonts w:hint="eastAsia" w:cs="Times New Roman"/>
                <w:b/>
                <w:color w:val="auto"/>
                <w:kern w:val="0"/>
                <w:sz w:val="24"/>
                <w:szCs w:val="24"/>
                <w:highlight w:val="none"/>
                <w:lang w:val="en-US" w:eastAsia="zh-CN"/>
              </w:rPr>
              <w:t>6</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1"/>
                <w:highlight w:val="none"/>
                <w:lang w:val="en-US" w:eastAsia="zh-CN"/>
              </w:rPr>
              <w:t>挥发性有机物无组织排放控制标准》</w:t>
            </w:r>
            <w:r>
              <w:rPr>
                <w:rFonts w:hint="eastAsia" w:cs="Times New Roman"/>
                <w:b/>
                <w:bCs/>
                <w:color w:val="auto"/>
                <w:sz w:val="24"/>
                <w:szCs w:val="21"/>
                <w:highlight w:val="none"/>
                <w:lang w:val="en-US" w:eastAsia="zh-CN"/>
              </w:rPr>
              <w:t>（</w:t>
            </w:r>
            <w:r>
              <w:rPr>
                <w:rFonts w:hint="default" w:ascii="Times New Roman" w:hAnsi="Times New Roman" w:eastAsia="宋体" w:cs="Times New Roman"/>
                <w:b/>
                <w:bCs/>
                <w:color w:val="auto"/>
                <w:sz w:val="24"/>
                <w:szCs w:val="21"/>
                <w:highlight w:val="none"/>
                <w:lang w:val="en-US" w:eastAsia="zh-CN"/>
              </w:rPr>
              <w:t>GB37822-2019</w:t>
            </w:r>
            <w:r>
              <w:rPr>
                <w:rFonts w:hint="eastAsia" w:cs="Times New Roman"/>
                <w:b/>
                <w:bCs/>
                <w:color w:val="auto"/>
                <w:sz w:val="24"/>
                <w:szCs w:val="21"/>
                <w:highlight w:val="none"/>
                <w:lang w:val="en-US" w:eastAsia="zh-CN"/>
              </w:rPr>
              <w:t>）</w:t>
            </w:r>
            <w:r>
              <w:rPr>
                <w:rFonts w:hint="eastAsia" w:ascii="Times New Roman" w:hAnsi="Times New Roman" w:eastAsia="宋体" w:cs="Times New Roman"/>
                <w:b/>
                <w:bCs/>
                <w:color w:val="auto"/>
                <w:sz w:val="24"/>
                <w:szCs w:val="24"/>
                <w:highlight w:val="none"/>
                <w:lang w:val="en-US" w:eastAsia="zh-CN"/>
              </w:rPr>
              <w:t>摘录</w:t>
            </w:r>
          </w:p>
          <w:tbl>
            <w:tblPr>
              <w:tblStyle w:val="22"/>
              <w:tblW w:w="838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97"/>
              <w:gridCol w:w="1516"/>
              <w:gridCol w:w="2490"/>
              <w:gridCol w:w="2285"/>
            </w:tblGrid>
            <w:tr w14:paraId="11B4D7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97" w:type="dxa"/>
                  <w:tcBorders>
                    <w:tl2br w:val="nil"/>
                    <w:tr2bl w:val="nil"/>
                  </w:tcBorders>
                  <w:vAlign w:val="center"/>
                </w:tcPr>
                <w:p w14:paraId="433717CB">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污染物</w:t>
                  </w:r>
                </w:p>
              </w:tc>
              <w:tc>
                <w:tcPr>
                  <w:tcW w:w="1516" w:type="dxa"/>
                  <w:tcBorders>
                    <w:tl2br w:val="nil"/>
                    <w:tr2bl w:val="nil"/>
                  </w:tcBorders>
                  <w:vAlign w:val="center"/>
                </w:tcPr>
                <w:p w14:paraId="16032A64">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eastAsia"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排放限值</w:t>
                  </w:r>
                </w:p>
                <w:p w14:paraId="17BE549F">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lang w:val="en-US" w:eastAsia="zh-CN"/>
                    </w:rPr>
                    <w:t>(</w:t>
                  </w:r>
                  <w:r>
                    <w:rPr>
                      <w:rFonts w:hint="default" w:ascii="Times New Roman" w:hAnsi="Times New Roman" w:eastAsia="宋体" w:cs="Times New Roman"/>
                      <w:b/>
                      <w:bCs w:val="0"/>
                      <w:color w:val="auto"/>
                      <w:sz w:val="21"/>
                      <w:szCs w:val="21"/>
                      <w:highlight w:val="none"/>
                      <w:lang w:val="en-US" w:eastAsia="zh-CN"/>
                    </w:rPr>
                    <w:t>mg/m</w:t>
                  </w:r>
                  <w:r>
                    <w:rPr>
                      <w:rFonts w:hint="default" w:ascii="Times New Roman" w:hAnsi="Times New Roman" w:eastAsia="宋体" w:cs="Times New Roman"/>
                      <w:b/>
                      <w:bCs w:val="0"/>
                      <w:color w:val="auto"/>
                      <w:sz w:val="21"/>
                      <w:szCs w:val="21"/>
                      <w:highlight w:val="none"/>
                      <w:vertAlign w:val="superscript"/>
                      <w:lang w:val="en-US" w:eastAsia="zh-CN"/>
                    </w:rPr>
                    <w:t>3</w:t>
                  </w:r>
                  <w:r>
                    <w:rPr>
                      <w:rFonts w:hint="eastAsia" w:cs="Times New Roman"/>
                      <w:b/>
                      <w:bCs w:val="0"/>
                      <w:color w:val="auto"/>
                      <w:sz w:val="21"/>
                      <w:szCs w:val="21"/>
                      <w:highlight w:val="none"/>
                      <w:vertAlign w:val="superscript"/>
                      <w:lang w:val="en-US" w:eastAsia="zh-CN"/>
                    </w:rPr>
                    <w:t>)</w:t>
                  </w:r>
                </w:p>
              </w:tc>
              <w:tc>
                <w:tcPr>
                  <w:tcW w:w="2490" w:type="dxa"/>
                  <w:tcBorders>
                    <w:tl2br w:val="nil"/>
                    <w:tr2bl w:val="nil"/>
                  </w:tcBorders>
                  <w:vAlign w:val="center"/>
                </w:tcPr>
                <w:p w14:paraId="7EB0C4EC">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限值含义</w:t>
                  </w:r>
                </w:p>
              </w:tc>
              <w:tc>
                <w:tcPr>
                  <w:tcW w:w="2285" w:type="dxa"/>
                  <w:tcBorders>
                    <w:tl2br w:val="nil"/>
                    <w:tr2bl w:val="nil"/>
                  </w:tcBorders>
                  <w:vAlign w:val="center"/>
                </w:tcPr>
                <w:p w14:paraId="17314182">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无组织排放监控位置</w:t>
                  </w:r>
                </w:p>
              </w:tc>
            </w:tr>
            <w:tr w14:paraId="31CBD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97" w:type="dxa"/>
                  <w:vMerge w:val="restart"/>
                  <w:tcBorders>
                    <w:tl2br w:val="nil"/>
                    <w:tr2bl w:val="nil"/>
                  </w:tcBorders>
                  <w:vAlign w:val="center"/>
                </w:tcPr>
                <w:p w14:paraId="5047A6F8">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非甲烷总烃</w:t>
                  </w:r>
                </w:p>
                <w:p w14:paraId="532387A0">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(NMHC)</w:t>
                  </w:r>
                </w:p>
              </w:tc>
              <w:tc>
                <w:tcPr>
                  <w:tcW w:w="1516" w:type="dxa"/>
                  <w:tcBorders>
                    <w:tl2br w:val="nil"/>
                    <w:tr2bl w:val="nil"/>
                  </w:tcBorders>
                  <w:vAlign w:val="center"/>
                </w:tcPr>
                <w:p w14:paraId="331D68D2">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10</w:t>
                  </w:r>
                </w:p>
              </w:tc>
              <w:tc>
                <w:tcPr>
                  <w:tcW w:w="2490" w:type="dxa"/>
                  <w:tcBorders>
                    <w:tl2br w:val="nil"/>
                    <w:tr2bl w:val="nil"/>
                  </w:tcBorders>
                  <w:vAlign w:val="center"/>
                </w:tcPr>
                <w:p w14:paraId="44D2AF87">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监控点出1h平均浓度值</w:t>
                  </w:r>
                </w:p>
              </w:tc>
              <w:tc>
                <w:tcPr>
                  <w:tcW w:w="2285" w:type="dxa"/>
                  <w:vMerge w:val="restart"/>
                  <w:tcBorders>
                    <w:tl2br w:val="nil"/>
                    <w:tr2bl w:val="nil"/>
                  </w:tcBorders>
                  <w:vAlign w:val="center"/>
                </w:tcPr>
                <w:p w14:paraId="7E363A60">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在厂房外设置监控点</w:t>
                  </w:r>
                </w:p>
              </w:tc>
            </w:tr>
            <w:tr w14:paraId="643DAD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97" w:type="dxa"/>
                  <w:vMerge w:val="continue"/>
                  <w:tcBorders>
                    <w:tl2br w:val="nil"/>
                    <w:tr2bl w:val="nil"/>
                  </w:tcBorders>
                  <w:vAlign w:val="center"/>
                </w:tcPr>
                <w:p w14:paraId="3129A8DF">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516" w:type="dxa"/>
                  <w:tcBorders>
                    <w:tl2br w:val="nil"/>
                    <w:tr2bl w:val="nil"/>
                  </w:tcBorders>
                  <w:vAlign w:val="center"/>
                </w:tcPr>
                <w:p w14:paraId="0E5B07E6">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30</w:t>
                  </w:r>
                </w:p>
              </w:tc>
              <w:tc>
                <w:tcPr>
                  <w:tcW w:w="2490" w:type="dxa"/>
                  <w:tcBorders>
                    <w:tl2br w:val="nil"/>
                    <w:tr2bl w:val="nil"/>
                  </w:tcBorders>
                  <w:vAlign w:val="center"/>
                </w:tcPr>
                <w:p w14:paraId="0358200D">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监控点任意一浓度值</w:t>
                  </w:r>
                </w:p>
              </w:tc>
              <w:tc>
                <w:tcPr>
                  <w:tcW w:w="2285" w:type="dxa"/>
                  <w:vMerge w:val="continue"/>
                  <w:tcBorders>
                    <w:tl2br w:val="nil"/>
                    <w:tr2bl w:val="nil"/>
                  </w:tcBorders>
                  <w:vAlign w:val="center"/>
                </w:tcPr>
                <w:p w14:paraId="0C1DDE29">
                  <w:pPr>
                    <w:keepNext w:val="0"/>
                    <w:keepLines w:val="0"/>
                    <w:pageBreakBefore w:val="0"/>
                    <w:widowControl w:val="0"/>
                    <w:tabs>
                      <w:tab w:val="left" w:pos="0"/>
                    </w:tabs>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r>
          </w:tbl>
          <w:p w14:paraId="66D676DA">
            <w:pPr>
              <w:pStyle w:val="12"/>
              <w:keepNext w:val="0"/>
              <w:keepLines w:val="0"/>
              <w:pageBreakBefore w:val="0"/>
              <w:numPr>
                <w:ilvl w:val="0"/>
                <w:numId w:val="0"/>
              </w:numPr>
              <w:kinsoku/>
              <w:wordWrap/>
              <w:overflowPunct/>
              <w:topLinePunct w:val="0"/>
              <w:autoSpaceDE/>
              <w:autoSpaceDN/>
              <w:bidi w:val="0"/>
              <w:snapToGrid/>
              <w:spacing w:line="440" w:lineRule="exact"/>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color w:val="auto"/>
                <w:sz w:val="24"/>
                <w:szCs w:val="21"/>
                <w:highlight w:val="none"/>
                <w:lang w:val="en-US" w:eastAsia="zh-CN"/>
              </w:rPr>
              <w:t>2</w:t>
            </w:r>
            <w:r>
              <w:rPr>
                <w:rFonts w:hint="default" w:ascii="Times New Roman" w:hAnsi="Times New Roman" w:eastAsia="宋体" w:cs="Times New Roman"/>
                <w:b/>
                <w:color w:val="auto"/>
                <w:sz w:val="24"/>
                <w:szCs w:val="21"/>
                <w:highlight w:val="none"/>
              </w:rPr>
              <w:t>、</w:t>
            </w:r>
            <w:r>
              <w:rPr>
                <w:rFonts w:hint="default" w:ascii="Times New Roman" w:hAnsi="Times New Roman" w:eastAsia="宋体" w:cs="Times New Roman"/>
                <w:b/>
                <w:bCs/>
                <w:color w:val="auto"/>
                <w:sz w:val="24"/>
                <w:szCs w:val="24"/>
                <w:highlight w:val="none"/>
                <w:lang w:val="en-US" w:eastAsia="zh-CN"/>
              </w:rPr>
              <w:t>废水</w:t>
            </w:r>
          </w:p>
          <w:p w14:paraId="1498192F">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新宋体" w:cs="Times New Roman"/>
                <w:color w:val="auto"/>
                <w:kern w:val="0"/>
                <w:sz w:val="24"/>
                <w:szCs w:val="24"/>
                <w:highlight w:val="none"/>
                <w:lang w:val="en-US" w:eastAsia="zh-CN"/>
              </w:rPr>
              <w:t>项目</w:t>
            </w:r>
            <w:r>
              <w:rPr>
                <w:rFonts w:hint="eastAsia" w:eastAsia="新宋体" w:cs="Times New Roman"/>
                <w:color w:val="auto"/>
                <w:kern w:val="0"/>
                <w:sz w:val="24"/>
                <w:szCs w:val="24"/>
                <w:highlight w:val="none"/>
                <w:lang w:val="en-US" w:eastAsia="zh-CN"/>
              </w:rPr>
              <w:t>生产</w:t>
            </w:r>
            <w:r>
              <w:rPr>
                <w:rFonts w:hint="eastAsia" w:ascii="Times New Roman" w:hAnsi="Times New Roman" w:eastAsia="宋体" w:cs="Times New Roman"/>
                <w:b w:val="0"/>
                <w:bCs w:val="0"/>
                <w:color w:val="auto"/>
                <w:sz w:val="24"/>
                <w:szCs w:val="24"/>
                <w:highlight w:val="none"/>
                <w:vertAlign w:val="baseline"/>
                <w:lang w:val="en-US" w:eastAsia="zh-CN"/>
              </w:rPr>
              <w:t>废水经处理能力为</w:t>
            </w:r>
            <w:r>
              <w:rPr>
                <w:rFonts w:hint="eastAsia" w:cs="Times New Roman"/>
                <w:b w:val="0"/>
                <w:bCs w:val="0"/>
                <w:color w:val="auto"/>
                <w:sz w:val="24"/>
                <w:szCs w:val="24"/>
                <w:highlight w:val="none"/>
                <w:vertAlign w:val="baseline"/>
                <w:lang w:val="en-US" w:eastAsia="zh-CN"/>
              </w:rPr>
              <w:t>120</w:t>
            </w:r>
            <w:r>
              <w:rPr>
                <w:rFonts w:hint="eastAsia" w:ascii="Times New Roman" w:hAnsi="Times New Roman" w:eastAsia="宋体" w:cs="Times New Roman"/>
                <w:b w:val="0"/>
                <w:bCs w:val="0"/>
                <w:color w:val="auto"/>
                <w:sz w:val="24"/>
                <w:szCs w:val="24"/>
                <w:highlight w:val="none"/>
                <w:vertAlign w:val="baseline"/>
                <w:lang w:val="en-US" w:eastAsia="zh-CN"/>
              </w:rPr>
              <w:t>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w:t>
            </w:r>
            <w:r>
              <w:rPr>
                <w:rFonts w:hint="eastAsia" w:cs="Times New Roman"/>
                <w:b w:val="0"/>
                <w:bCs w:val="0"/>
                <w:color w:val="auto"/>
                <w:sz w:val="24"/>
                <w:szCs w:val="24"/>
                <w:highlight w:val="none"/>
                <w:vertAlign w:val="baseline"/>
                <w:lang w:val="en-US" w:eastAsia="zh-CN"/>
              </w:rPr>
              <w:t>d</w:t>
            </w:r>
            <w:r>
              <w:rPr>
                <w:rFonts w:hint="eastAsia" w:ascii="Times New Roman" w:hAnsi="Times New Roman" w:eastAsia="宋体" w:cs="Times New Roman"/>
                <w:b w:val="0"/>
                <w:bCs w:val="0"/>
                <w:color w:val="auto"/>
                <w:sz w:val="24"/>
                <w:szCs w:val="24"/>
                <w:highlight w:val="none"/>
                <w:vertAlign w:val="baseline"/>
                <w:lang w:val="en-US" w:eastAsia="zh-CN"/>
              </w:rPr>
              <w:t>的</w:t>
            </w:r>
            <w:r>
              <w:rPr>
                <w:rFonts w:hint="eastAsia" w:cs="Times New Roman"/>
                <w:b w:val="0"/>
                <w:bCs w:val="0"/>
                <w:color w:val="auto"/>
                <w:sz w:val="24"/>
                <w:szCs w:val="24"/>
                <w:highlight w:val="none"/>
                <w:vertAlign w:val="baseline"/>
                <w:lang w:val="en-US" w:eastAsia="zh-CN"/>
              </w:rPr>
              <w:t>厂区现有的污水处理站处理后排入市政污水管网后最终由磴口县中涵水务有限公司处理</w:t>
            </w:r>
            <w:r>
              <w:rPr>
                <w:rFonts w:hint="eastAsia" w:ascii="Times New Roman" w:hAnsi="Times New Roman" w:eastAsia="宋体" w:cs="Times New Roman"/>
                <w:b w:val="0"/>
                <w:bCs w:val="0"/>
                <w:color w:val="auto"/>
                <w:sz w:val="24"/>
                <w:szCs w:val="24"/>
                <w:highlight w:val="none"/>
                <w:vertAlign w:val="baseline"/>
                <w:lang w:val="en-US" w:eastAsia="zh-CN"/>
              </w:rPr>
              <w:t>。</w:t>
            </w:r>
          </w:p>
          <w:p w14:paraId="04864153">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spacing w:line="440" w:lineRule="exact"/>
              <w:textAlignment w:val="auto"/>
              <w:rPr>
                <w:rFonts w:hint="default" w:ascii="Times New Roman" w:hAnsi="Times New Roman" w:eastAsia="宋体" w:cs="Times New Roman"/>
                <w:b/>
                <w:color w:val="auto"/>
                <w:sz w:val="24"/>
                <w:szCs w:val="21"/>
                <w:highlight w:val="none"/>
              </w:rPr>
            </w:pPr>
            <w:r>
              <w:rPr>
                <w:rFonts w:hint="eastAsia" w:cs="Times New Roman"/>
                <w:b/>
                <w:color w:val="auto"/>
                <w:sz w:val="24"/>
                <w:szCs w:val="21"/>
                <w:highlight w:val="none"/>
                <w:lang w:val="en-US" w:eastAsia="zh-CN"/>
              </w:rPr>
              <w:t>3、</w:t>
            </w:r>
            <w:r>
              <w:rPr>
                <w:rFonts w:hint="default" w:ascii="Times New Roman" w:hAnsi="Times New Roman" w:eastAsia="宋体" w:cs="Times New Roman"/>
                <w:b/>
                <w:color w:val="auto"/>
                <w:sz w:val="24"/>
                <w:szCs w:val="21"/>
                <w:highlight w:val="none"/>
              </w:rPr>
              <w:t>噪声</w:t>
            </w:r>
          </w:p>
          <w:p w14:paraId="619DAD92">
            <w:pPr>
              <w:pStyle w:val="38"/>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b w:val="0"/>
                <w:bCs/>
                <w:color w:val="auto"/>
                <w:sz w:val="24"/>
                <w:szCs w:val="21"/>
                <w:highlight w:val="none"/>
              </w:rPr>
            </w:pPr>
            <w:r>
              <w:rPr>
                <w:rFonts w:hint="default" w:ascii="Times New Roman" w:hAnsi="Times New Roman" w:eastAsia="宋体" w:cs="Times New Roman"/>
                <w:b w:val="0"/>
                <w:bCs/>
                <w:color w:val="auto"/>
                <w:sz w:val="24"/>
                <w:szCs w:val="21"/>
                <w:highlight w:val="none"/>
              </w:rPr>
              <w:t>施工期噪声执行《建筑施工噪声排放标准》（GB12523-2025）中的相应标准限值；</w:t>
            </w:r>
          </w:p>
          <w:p w14:paraId="2E44B7BE">
            <w:pPr>
              <w:pStyle w:val="38"/>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b w:val="0"/>
                <w:bCs/>
                <w:color w:val="auto"/>
                <w:sz w:val="24"/>
                <w:szCs w:val="21"/>
                <w:highlight w:val="none"/>
                <w:lang w:eastAsia="zh-CN"/>
              </w:rPr>
            </w:pPr>
            <w:r>
              <w:rPr>
                <w:rFonts w:hint="default" w:ascii="Times New Roman" w:hAnsi="Times New Roman" w:eastAsia="宋体" w:cs="Times New Roman"/>
                <w:b w:val="0"/>
                <w:bCs/>
                <w:color w:val="auto"/>
                <w:sz w:val="24"/>
                <w:szCs w:val="21"/>
                <w:highlight w:val="none"/>
              </w:rPr>
              <w:t>运营期噪声执行《</w:t>
            </w:r>
            <w:bookmarkStart w:id="9" w:name="_Hlk521774251"/>
            <w:r>
              <w:rPr>
                <w:rFonts w:hint="default" w:ascii="Times New Roman" w:hAnsi="Times New Roman" w:eastAsia="宋体" w:cs="Times New Roman"/>
                <w:b w:val="0"/>
                <w:bCs/>
                <w:color w:val="auto"/>
                <w:sz w:val="24"/>
                <w:szCs w:val="21"/>
                <w:highlight w:val="none"/>
              </w:rPr>
              <w:t>工业企业厂界环境噪声排放标准</w:t>
            </w:r>
            <w:bookmarkEnd w:id="9"/>
            <w:r>
              <w:rPr>
                <w:rFonts w:hint="default" w:ascii="Times New Roman" w:hAnsi="Times New Roman" w:eastAsia="宋体" w:cs="Times New Roman"/>
                <w:b w:val="0"/>
                <w:bCs/>
                <w:color w:val="auto"/>
                <w:sz w:val="24"/>
                <w:szCs w:val="21"/>
                <w:highlight w:val="none"/>
              </w:rPr>
              <w:t>》（GB12348-2008）</w:t>
            </w:r>
            <w:r>
              <w:rPr>
                <w:rFonts w:hint="eastAsia" w:cs="Times New Roman"/>
                <w:b w:val="0"/>
                <w:bCs/>
                <w:color w:val="auto"/>
                <w:sz w:val="24"/>
                <w:szCs w:val="21"/>
                <w:highlight w:val="none"/>
                <w:lang w:val="en-US" w:eastAsia="zh-CN"/>
              </w:rPr>
              <w:t>2</w:t>
            </w:r>
            <w:r>
              <w:rPr>
                <w:rFonts w:hint="default" w:ascii="Times New Roman" w:hAnsi="Times New Roman" w:eastAsia="宋体" w:cs="Times New Roman"/>
                <w:b w:val="0"/>
                <w:bCs/>
                <w:color w:val="auto"/>
                <w:sz w:val="24"/>
                <w:szCs w:val="21"/>
                <w:highlight w:val="none"/>
              </w:rPr>
              <w:t>类标准限值要求</w:t>
            </w:r>
            <w:r>
              <w:rPr>
                <w:rFonts w:hint="default" w:ascii="Times New Roman" w:hAnsi="Times New Roman" w:eastAsia="宋体" w:cs="Times New Roman"/>
                <w:b w:val="0"/>
                <w:bCs/>
                <w:color w:val="auto"/>
                <w:sz w:val="24"/>
                <w:szCs w:val="21"/>
                <w:highlight w:val="none"/>
                <w:lang w:eastAsia="zh-CN"/>
              </w:rPr>
              <w:t>。</w:t>
            </w:r>
          </w:p>
          <w:p w14:paraId="58185B15">
            <w:pPr>
              <w:pStyle w:val="38"/>
              <w:keepNext w:val="0"/>
              <w:keepLines w:val="0"/>
              <w:pageBreakBefore w:val="0"/>
              <w:widowControl w:val="0"/>
              <w:kinsoku/>
              <w:wordWrap/>
              <w:overflowPunct/>
              <w:topLinePunct w:val="0"/>
              <w:autoSpaceDE/>
              <w:autoSpaceDN/>
              <w:bidi w:val="0"/>
              <w:snapToGrid/>
              <w:spacing w:line="440" w:lineRule="exact"/>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w:t>
            </w:r>
            <w:r>
              <w:rPr>
                <w:rFonts w:hint="eastAsia" w:cs="Times New Roman"/>
                <w:color w:val="auto"/>
                <w:highlight w:val="none"/>
                <w:lang w:val="en-US" w:eastAsia="zh-CN"/>
              </w:rPr>
              <w:t>7</w:t>
            </w:r>
            <w:r>
              <w:rPr>
                <w:rFonts w:hint="default" w:ascii="Times New Roman" w:hAnsi="Times New Roman" w:eastAsia="宋体" w:cs="Times New Roman"/>
                <w:color w:val="auto"/>
                <w:highlight w:val="none"/>
              </w:rPr>
              <w:t xml:space="preserve"> 厂界环境噪声排放标准</w:t>
            </w:r>
          </w:p>
          <w:tbl>
            <w:tblPr>
              <w:tblStyle w:val="2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06"/>
              <w:gridCol w:w="2188"/>
              <w:gridCol w:w="2146"/>
              <w:gridCol w:w="1716"/>
            </w:tblGrid>
            <w:tr w14:paraId="2D59DD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6" w:hRule="atLeast"/>
                <w:jc w:val="center"/>
              </w:trPr>
              <w:tc>
                <w:tcPr>
                  <w:tcW w:w="1380" w:type="pct"/>
                  <w:vAlign w:val="center"/>
                </w:tcPr>
                <w:p w14:paraId="396B1DD4">
                  <w:pPr>
                    <w:adjustRightInd w:val="0"/>
                    <w:snapToGrid w:val="0"/>
                    <w:jc w:val="center"/>
                    <w:rPr>
                      <w:rFonts w:hint="default" w:ascii="Times New Roman" w:hAnsi="Times New Roman" w:eastAsia="宋体" w:cs="Times New Roman"/>
                      <w:b/>
                      <w:bCs w:val="0"/>
                      <w:color w:val="auto"/>
                      <w:kern w:val="0"/>
                      <w:szCs w:val="21"/>
                      <w:highlight w:val="none"/>
                    </w:rPr>
                  </w:pPr>
                  <w:r>
                    <w:rPr>
                      <w:rFonts w:hint="default" w:ascii="Times New Roman" w:hAnsi="Times New Roman" w:eastAsia="宋体" w:cs="Times New Roman"/>
                      <w:b/>
                      <w:bCs w:val="0"/>
                      <w:color w:val="auto"/>
                      <w:kern w:val="0"/>
                      <w:szCs w:val="21"/>
                      <w:highlight w:val="none"/>
                    </w:rPr>
                    <w:t>项目类别</w:t>
                  </w:r>
                </w:p>
              </w:tc>
              <w:tc>
                <w:tcPr>
                  <w:tcW w:w="1309" w:type="pct"/>
                  <w:vAlign w:val="center"/>
                </w:tcPr>
                <w:p w14:paraId="5D6428C1">
                  <w:pPr>
                    <w:adjustRightInd w:val="0"/>
                    <w:snapToGrid w:val="0"/>
                    <w:jc w:val="center"/>
                    <w:rPr>
                      <w:rFonts w:hint="default" w:ascii="Times New Roman" w:hAnsi="Times New Roman" w:eastAsia="宋体" w:cs="Times New Roman"/>
                      <w:b/>
                      <w:bCs w:val="0"/>
                      <w:color w:val="auto"/>
                      <w:kern w:val="0"/>
                      <w:szCs w:val="21"/>
                      <w:highlight w:val="none"/>
                    </w:rPr>
                  </w:pPr>
                  <w:r>
                    <w:rPr>
                      <w:rFonts w:hint="default" w:ascii="Times New Roman" w:hAnsi="Times New Roman" w:eastAsia="宋体" w:cs="Times New Roman"/>
                      <w:b/>
                      <w:bCs w:val="0"/>
                      <w:color w:val="auto"/>
                      <w:kern w:val="0"/>
                      <w:szCs w:val="21"/>
                      <w:highlight w:val="none"/>
                    </w:rPr>
                    <w:t>时段</w:t>
                  </w:r>
                </w:p>
              </w:tc>
              <w:tc>
                <w:tcPr>
                  <w:tcW w:w="1284" w:type="pct"/>
                  <w:vAlign w:val="center"/>
                </w:tcPr>
                <w:p w14:paraId="667C4CAD">
                  <w:pPr>
                    <w:adjustRightInd w:val="0"/>
                    <w:snapToGrid w:val="0"/>
                    <w:jc w:val="center"/>
                    <w:rPr>
                      <w:rFonts w:hint="default" w:ascii="Times New Roman" w:hAnsi="Times New Roman" w:eastAsia="宋体" w:cs="Times New Roman"/>
                      <w:b/>
                      <w:bCs w:val="0"/>
                      <w:color w:val="auto"/>
                      <w:kern w:val="0"/>
                      <w:szCs w:val="21"/>
                      <w:highlight w:val="none"/>
                    </w:rPr>
                  </w:pPr>
                  <w:r>
                    <w:rPr>
                      <w:rFonts w:hint="default" w:ascii="Times New Roman" w:hAnsi="Times New Roman" w:eastAsia="宋体" w:cs="Times New Roman"/>
                      <w:b/>
                      <w:bCs w:val="0"/>
                      <w:color w:val="auto"/>
                      <w:kern w:val="0"/>
                      <w:szCs w:val="21"/>
                      <w:highlight w:val="none"/>
                    </w:rPr>
                    <w:t>标准值</w:t>
                  </w:r>
                </w:p>
              </w:tc>
              <w:tc>
                <w:tcPr>
                  <w:tcW w:w="1027" w:type="pct"/>
                  <w:vAlign w:val="center"/>
                </w:tcPr>
                <w:p w14:paraId="49967D83">
                  <w:pPr>
                    <w:adjustRightInd w:val="0"/>
                    <w:snapToGrid w:val="0"/>
                    <w:jc w:val="center"/>
                    <w:rPr>
                      <w:rFonts w:hint="default" w:ascii="Times New Roman" w:hAnsi="Times New Roman" w:eastAsia="宋体" w:cs="Times New Roman"/>
                      <w:b/>
                      <w:bCs w:val="0"/>
                      <w:color w:val="auto"/>
                      <w:kern w:val="0"/>
                      <w:szCs w:val="21"/>
                      <w:highlight w:val="none"/>
                    </w:rPr>
                  </w:pPr>
                  <w:r>
                    <w:rPr>
                      <w:rFonts w:hint="default" w:ascii="Times New Roman" w:hAnsi="Times New Roman" w:eastAsia="宋体" w:cs="Times New Roman"/>
                      <w:b/>
                      <w:bCs w:val="0"/>
                      <w:color w:val="auto"/>
                      <w:kern w:val="0"/>
                      <w:szCs w:val="21"/>
                      <w:highlight w:val="none"/>
                    </w:rPr>
                    <w:t>单位</w:t>
                  </w:r>
                </w:p>
              </w:tc>
            </w:tr>
            <w:tr w14:paraId="0CB616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380" w:type="pct"/>
                  <w:vMerge w:val="restart"/>
                  <w:vAlign w:val="center"/>
                </w:tcPr>
                <w:p w14:paraId="6B8C0DEB">
                  <w:pPr>
                    <w:adjustRightInd w:val="0"/>
                    <w:snapToGri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施工期</w:t>
                  </w:r>
                </w:p>
              </w:tc>
              <w:tc>
                <w:tcPr>
                  <w:tcW w:w="1309" w:type="pct"/>
                  <w:vAlign w:val="center"/>
                </w:tcPr>
                <w:p w14:paraId="76FED1A0">
                  <w:pPr>
                    <w:adjustRightInd w:val="0"/>
                    <w:snapToGri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color w:val="auto"/>
                      <w:kern w:val="0"/>
                      <w:szCs w:val="21"/>
                      <w:highlight w:val="none"/>
                    </w:rPr>
                    <w:t>昼间</w:t>
                  </w:r>
                </w:p>
              </w:tc>
              <w:tc>
                <w:tcPr>
                  <w:tcW w:w="1284" w:type="pct"/>
                  <w:vAlign w:val="center"/>
                </w:tcPr>
                <w:p w14:paraId="28BCDEA3">
                  <w:pPr>
                    <w:adjustRightInd w:val="0"/>
                    <w:snapToGri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70</w:t>
                  </w:r>
                </w:p>
              </w:tc>
              <w:tc>
                <w:tcPr>
                  <w:tcW w:w="1027" w:type="pct"/>
                  <w:vMerge w:val="restart"/>
                  <w:vAlign w:val="center"/>
                </w:tcPr>
                <w:p w14:paraId="70B5E24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dB(A)</w:t>
                  </w:r>
                </w:p>
              </w:tc>
            </w:tr>
            <w:tr w14:paraId="200E27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6" w:hRule="atLeast"/>
                <w:jc w:val="center"/>
              </w:trPr>
              <w:tc>
                <w:tcPr>
                  <w:tcW w:w="1380" w:type="pct"/>
                  <w:vMerge w:val="continue"/>
                  <w:vAlign w:val="center"/>
                </w:tcPr>
                <w:p w14:paraId="408572C3">
                  <w:pPr>
                    <w:adjustRightInd w:val="0"/>
                    <w:snapToGrid w:val="0"/>
                    <w:jc w:val="center"/>
                    <w:rPr>
                      <w:rFonts w:hint="default" w:ascii="Times New Roman" w:hAnsi="Times New Roman" w:eastAsia="宋体" w:cs="Times New Roman"/>
                      <w:bCs/>
                      <w:color w:val="auto"/>
                      <w:kern w:val="0"/>
                      <w:szCs w:val="21"/>
                      <w:highlight w:val="none"/>
                    </w:rPr>
                  </w:pPr>
                </w:p>
              </w:tc>
              <w:tc>
                <w:tcPr>
                  <w:tcW w:w="1309" w:type="pct"/>
                  <w:vAlign w:val="center"/>
                </w:tcPr>
                <w:p w14:paraId="5A906F6A">
                  <w:pPr>
                    <w:adjustRightInd w:val="0"/>
                    <w:snapToGri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color w:val="auto"/>
                      <w:kern w:val="0"/>
                      <w:szCs w:val="21"/>
                      <w:highlight w:val="none"/>
                    </w:rPr>
                    <w:t>夜间</w:t>
                  </w:r>
                </w:p>
              </w:tc>
              <w:tc>
                <w:tcPr>
                  <w:tcW w:w="1284" w:type="pct"/>
                  <w:vAlign w:val="center"/>
                </w:tcPr>
                <w:p w14:paraId="720F27C5">
                  <w:pPr>
                    <w:adjustRightInd w:val="0"/>
                    <w:snapToGrid w:val="0"/>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55</w:t>
                  </w:r>
                </w:p>
              </w:tc>
              <w:tc>
                <w:tcPr>
                  <w:tcW w:w="1027" w:type="pct"/>
                  <w:vMerge w:val="continue"/>
                  <w:vAlign w:val="center"/>
                </w:tcPr>
                <w:p w14:paraId="4A75B0D8">
                  <w:pPr>
                    <w:adjustRightInd w:val="0"/>
                    <w:snapToGrid w:val="0"/>
                    <w:jc w:val="center"/>
                    <w:rPr>
                      <w:rFonts w:hint="default" w:ascii="Times New Roman" w:hAnsi="Times New Roman" w:eastAsia="宋体" w:cs="Times New Roman"/>
                      <w:bCs/>
                      <w:color w:val="auto"/>
                      <w:kern w:val="0"/>
                      <w:szCs w:val="21"/>
                      <w:highlight w:val="none"/>
                    </w:rPr>
                  </w:pPr>
                </w:p>
              </w:tc>
            </w:tr>
            <w:tr w14:paraId="5E5F1B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9" w:hRule="atLeast"/>
                <w:jc w:val="center"/>
              </w:trPr>
              <w:tc>
                <w:tcPr>
                  <w:tcW w:w="1380" w:type="pct"/>
                  <w:vMerge w:val="restart"/>
                  <w:vAlign w:val="center"/>
                </w:tcPr>
                <w:p w14:paraId="59FF327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运营期</w:t>
                  </w:r>
                </w:p>
              </w:tc>
              <w:tc>
                <w:tcPr>
                  <w:tcW w:w="1309" w:type="pct"/>
                  <w:vAlign w:val="center"/>
                </w:tcPr>
                <w:p w14:paraId="2E3EE7A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昼间</w:t>
                  </w:r>
                </w:p>
              </w:tc>
              <w:tc>
                <w:tcPr>
                  <w:tcW w:w="1284" w:type="pct"/>
                  <w:vAlign w:val="center"/>
                </w:tcPr>
                <w:p w14:paraId="3E49B9E6">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60</w:t>
                  </w:r>
                </w:p>
              </w:tc>
              <w:tc>
                <w:tcPr>
                  <w:tcW w:w="1027" w:type="pct"/>
                  <w:vMerge w:val="continue"/>
                  <w:vAlign w:val="center"/>
                </w:tcPr>
                <w:p w14:paraId="2D6D8A4B">
                  <w:pPr>
                    <w:adjustRightInd w:val="0"/>
                    <w:snapToGrid w:val="0"/>
                    <w:jc w:val="center"/>
                    <w:rPr>
                      <w:rFonts w:hint="default" w:ascii="Times New Roman" w:hAnsi="Times New Roman" w:eastAsia="宋体" w:cs="Times New Roman"/>
                      <w:color w:val="auto"/>
                      <w:kern w:val="0"/>
                      <w:szCs w:val="21"/>
                      <w:highlight w:val="none"/>
                    </w:rPr>
                  </w:pPr>
                </w:p>
              </w:tc>
            </w:tr>
            <w:tr w14:paraId="6AD9B8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0" w:hRule="atLeast"/>
                <w:jc w:val="center"/>
              </w:trPr>
              <w:tc>
                <w:tcPr>
                  <w:tcW w:w="1380" w:type="pct"/>
                  <w:vMerge w:val="continue"/>
                  <w:vAlign w:val="center"/>
                </w:tcPr>
                <w:p w14:paraId="01B4257E">
                  <w:pPr>
                    <w:adjustRightInd w:val="0"/>
                    <w:snapToGrid w:val="0"/>
                    <w:jc w:val="center"/>
                    <w:rPr>
                      <w:rFonts w:hint="default" w:ascii="Times New Roman" w:hAnsi="Times New Roman" w:eastAsia="宋体" w:cs="Times New Roman"/>
                      <w:color w:val="auto"/>
                      <w:kern w:val="0"/>
                      <w:szCs w:val="21"/>
                      <w:highlight w:val="none"/>
                    </w:rPr>
                  </w:pPr>
                </w:p>
              </w:tc>
              <w:tc>
                <w:tcPr>
                  <w:tcW w:w="1309" w:type="pct"/>
                  <w:vAlign w:val="center"/>
                </w:tcPr>
                <w:p w14:paraId="770F0E1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夜间</w:t>
                  </w:r>
                </w:p>
              </w:tc>
              <w:tc>
                <w:tcPr>
                  <w:tcW w:w="1284" w:type="pct"/>
                  <w:vAlign w:val="center"/>
                </w:tcPr>
                <w:p w14:paraId="179D695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50</w:t>
                  </w:r>
                </w:p>
              </w:tc>
              <w:tc>
                <w:tcPr>
                  <w:tcW w:w="1027" w:type="pct"/>
                  <w:vMerge w:val="continue"/>
                  <w:vAlign w:val="center"/>
                </w:tcPr>
                <w:p w14:paraId="0CDF3AA6">
                  <w:pPr>
                    <w:adjustRightInd w:val="0"/>
                    <w:snapToGrid w:val="0"/>
                    <w:jc w:val="center"/>
                    <w:rPr>
                      <w:rFonts w:hint="default" w:ascii="Times New Roman" w:hAnsi="Times New Roman" w:eastAsia="宋体" w:cs="Times New Roman"/>
                      <w:color w:val="auto"/>
                      <w:kern w:val="0"/>
                      <w:szCs w:val="21"/>
                      <w:highlight w:val="none"/>
                    </w:rPr>
                  </w:pPr>
                </w:p>
              </w:tc>
            </w:tr>
          </w:tbl>
          <w:p w14:paraId="3D857B20">
            <w:pPr>
              <w:keepNext w:val="0"/>
              <w:keepLines w:val="0"/>
              <w:pageBreakBefore w:val="0"/>
              <w:widowControl w:val="0"/>
              <w:tabs>
                <w:tab w:val="left" w:pos="0"/>
              </w:tabs>
              <w:kinsoku/>
              <w:wordWrap/>
              <w:overflowPunct/>
              <w:topLinePunct w:val="0"/>
              <w:autoSpaceDE/>
              <w:autoSpaceDN/>
              <w:bidi w:val="0"/>
              <w:adjustRightInd w:val="0"/>
              <w:snapToGrid/>
              <w:spacing w:line="440" w:lineRule="exact"/>
              <w:textAlignment w:val="auto"/>
              <w:rPr>
                <w:rFonts w:hint="default" w:ascii="Times New Roman" w:hAnsi="Times New Roman" w:eastAsia="宋体" w:cs="Times New Roman"/>
                <w:b/>
                <w:color w:val="auto"/>
                <w:sz w:val="24"/>
                <w:szCs w:val="21"/>
                <w:highlight w:val="none"/>
              </w:rPr>
            </w:pPr>
            <w:r>
              <w:rPr>
                <w:rFonts w:hint="eastAsia" w:cs="Times New Roman"/>
                <w:b/>
                <w:color w:val="auto"/>
                <w:sz w:val="24"/>
                <w:szCs w:val="21"/>
                <w:highlight w:val="none"/>
                <w:lang w:val="en-US" w:eastAsia="zh-CN"/>
              </w:rPr>
              <w:t>4</w:t>
            </w:r>
            <w:r>
              <w:rPr>
                <w:rFonts w:hint="default" w:ascii="Times New Roman" w:hAnsi="Times New Roman" w:eastAsia="宋体" w:cs="Times New Roman"/>
                <w:b/>
                <w:color w:val="auto"/>
                <w:sz w:val="24"/>
                <w:szCs w:val="21"/>
                <w:highlight w:val="none"/>
              </w:rPr>
              <w:t>、固体废物</w:t>
            </w:r>
          </w:p>
          <w:p w14:paraId="44D15DC1">
            <w:pPr>
              <w:keepNext w:val="0"/>
              <w:keepLines w:val="0"/>
              <w:pageBreakBefore w:val="0"/>
              <w:widowControl w:val="0"/>
              <w:tabs>
                <w:tab w:val="left" w:pos="0"/>
              </w:tabs>
              <w:kinsoku/>
              <w:wordWrap/>
              <w:overflowPunct/>
              <w:topLinePunct w:val="0"/>
              <w:autoSpaceDE/>
              <w:autoSpaceDN/>
              <w:bidi w:val="0"/>
              <w:snapToGrid/>
              <w:spacing w:line="440" w:lineRule="exact"/>
              <w:ind w:firstLine="480" w:firstLineChars="200"/>
              <w:textAlignment w:val="auto"/>
              <w:rPr>
                <w:rFonts w:hint="default" w:ascii="Times New Roman" w:hAnsi="Times New Roman" w:eastAsia="宋体" w:cs="Times New Roman"/>
                <w:color w:val="auto"/>
                <w:sz w:val="24"/>
                <w:szCs w:val="21"/>
                <w:highlight w:val="none"/>
                <w:lang w:eastAsia="zh-CN"/>
              </w:rPr>
            </w:pPr>
            <w:r>
              <w:rPr>
                <w:rFonts w:hint="default" w:ascii="Times New Roman" w:hAnsi="Times New Roman" w:eastAsia="宋体" w:cs="Times New Roman"/>
                <w:color w:val="auto"/>
                <w:sz w:val="24"/>
                <w:szCs w:val="21"/>
                <w:highlight w:val="none"/>
              </w:rPr>
              <w:t>一般固废执行《一般工业固体废物贮存和填埋污染控制标准》（GB18599-2020）中的有关规定</w:t>
            </w:r>
            <w:r>
              <w:rPr>
                <w:rFonts w:hint="eastAsia" w:cs="Times New Roman"/>
                <w:color w:val="auto"/>
                <w:sz w:val="24"/>
                <w:szCs w:val="21"/>
                <w:highlight w:val="none"/>
                <w:lang w:val="en-US" w:eastAsia="zh-CN"/>
              </w:rPr>
              <w:t>；</w:t>
            </w:r>
          </w:p>
          <w:p w14:paraId="50533C6E">
            <w:pPr>
              <w:keepNext w:val="0"/>
              <w:keepLines w:val="0"/>
              <w:pageBreakBefore w:val="0"/>
              <w:widowControl w:val="0"/>
              <w:tabs>
                <w:tab w:val="left" w:pos="0"/>
              </w:tabs>
              <w:kinsoku/>
              <w:wordWrap/>
              <w:overflowPunct/>
              <w:topLinePunct w:val="0"/>
              <w:autoSpaceDE/>
              <w:autoSpaceDN/>
              <w:bidi w:val="0"/>
              <w:snapToGrid/>
              <w:spacing w:line="440" w:lineRule="exact"/>
              <w:ind w:firstLine="480" w:firstLineChars="200"/>
              <w:textAlignment w:val="auto"/>
              <w:rPr>
                <w:rFonts w:hint="default" w:cs="Times New Roman"/>
                <w:b/>
                <w:bCs/>
                <w:color w:val="auto"/>
                <w:sz w:val="24"/>
                <w:szCs w:val="24"/>
                <w:highlight w:val="none"/>
                <w:vertAlign w:val="baseline"/>
                <w:lang w:val="en-US" w:eastAsia="zh-CN"/>
              </w:rPr>
            </w:pPr>
            <w:r>
              <w:rPr>
                <w:rFonts w:hint="default" w:ascii="Times New Roman" w:hAnsi="Times New Roman" w:eastAsia="宋体" w:cs="Times New Roman"/>
                <w:color w:val="auto"/>
                <w:sz w:val="24"/>
                <w:szCs w:val="21"/>
                <w:highlight w:val="none"/>
                <w:lang w:val="en-US" w:eastAsia="zh-CN"/>
              </w:rPr>
              <w:t>危险固体废物执行《危险废物贮存污染控制标准》（GB18597-2023）的有关规定。</w:t>
            </w:r>
          </w:p>
        </w:tc>
      </w:tr>
      <w:tr w14:paraId="7E98F3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3" w:type="dxa"/>
            <w:vAlign w:val="center"/>
          </w:tcPr>
          <w:p w14:paraId="2B7003C0">
            <w:pPr>
              <w:keepNext w:val="0"/>
              <w:keepLines w:val="0"/>
              <w:pageBreakBefore w:val="0"/>
              <w:widowControl w:val="0"/>
              <w:kinsoku/>
              <w:wordWrap/>
              <w:overflowPunct/>
              <w:topLinePunct w:val="0"/>
              <w:autoSpaceDE/>
              <w:autoSpaceDN/>
              <w:bidi w:val="0"/>
              <w:adjustRightInd w:val="0"/>
              <w:snapToGrid w:val="0"/>
              <w:spacing w:line="200" w:lineRule="atLeast"/>
              <w:jc w:val="center"/>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b/>
                <w:bCs/>
                <w:color w:val="auto"/>
                <w:kern w:val="0"/>
                <w:sz w:val="24"/>
                <w:highlight w:val="none"/>
              </w:rPr>
              <w:t>总量控制指标</w:t>
            </w:r>
          </w:p>
        </w:tc>
        <w:tc>
          <w:tcPr>
            <w:tcW w:w="8572" w:type="dxa"/>
            <w:vAlign w:val="center"/>
          </w:tcPr>
          <w:p w14:paraId="59500153">
            <w:pPr>
              <w:pStyle w:val="12"/>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480" w:firstLineChars="200"/>
              <w:jc w:val="both"/>
              <w:textAlignment w:val="auto"/>
              <w:rPr>
                <w:rFonts w:hint="default" w:cs="Times New Roman"/>
                <w:b w:val="0"/>
                <w:bCs w:val="0"/>
                <w:color w:val="auto"/>
                <w:sz w:val="24"/>
                <w:szCs w:val="24"/>
                <w:highlight w:val="none"/>
                <w:vertAlign w:val="baseline"/>
                <w:lang w:val="en-US" w:eastAsia="zh-CN"/>
              </w:rPr>
            </w:pPr>
            <w:r>
              <w:rPr>
                <w:rFonts w:hint="eastAsia" w:cs="Times New Roman"/>
                <w:b w:val="0"/>
                <w:bCs w:val="0"/>
                <w:color w:val="auto"/>
                <w:sz w:val="24"/>
                <w:szCs w:val="24"/>
                <w:highlight w:val="none"/>
                <w:vertAlign w:val="baseline"/>
                <w:lang w:val="en-US" w:eastAsia="zh-CN"/>
              </w:rPr>
              <w:t>本项目申请总量：颗粒物为0.02t/a。</w:t>
            </w:r>
          </w:p>
        </w:tc>
      </w:tr>
    </w:tbl>
    <w:p w14:paraId="4CC52206">
      <w:pPr>
        <w:pStyle w:val="20"/>
        <w:jc w:val="center"/>
        <w:outlineLvl w:val="0"/>
        <w:rPr>
          <w:rFonts w:hint="eastAsia" w:ascii="宋体" w:hAnsi="宋体" w:eastAsia="宋体" w:cs="宋体"/>
          <w:snapToGrid w:val="0"/>
          <w:color w:val="auto"/>
          <w:sz w:val="30"/>
          <w:szCs w:val="30"/>
          <w:highlight w:val="none"/>
        </w:rPr>
      </w:pPr>
      <w:r>
        <w:rPr>
          <w:rFonts w:hint="eastAsia" w:ascii="宋体" w:hAnsi="宋体" w:eastAsia="宋体" w:cs="宋体"/>
          <w:snapToGrid w:val="0"/>
          <w:color w:val="auto"/>
          <w:sz w:val="36"/>
          <w:szCs w:val="36"/>
          <w:highlight w:val="none"/>
        </w:rPr>
        <w:br w:type="page"/>
      </w:r>
      <w:r>
        <w:rPr>
          <w:rFonts w:hint="eastAsia" w:ascii="宋体" w:hAnsi="宋体" w:eastAsia="宋体" w:cs="宋体"/>
          <w:b/>
          <w:bCs/>
          <w:snapToGrid w:val="0"/>
          <w:color w:val="auto"/>
          <w:sz w:val="30"/>
          <w:szCs w:val="30"/>
          <w:highlight w:val="none"/>
        </w:rPr>
        <w:t>四、主要环境影响和保护措施</w:t>
      </w:r>
    </w:p>
    <w:tbl>
      <w:tblPr>
        <w:tblStyle w:val="21"/>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2"/>
        <w:gridCol w:w="8529"/>
      </w:tblGrid>
      <w:tr w14:paraId="5ED373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52" w:type="dxa"/>
            <w:tcMar>
              <w:left w:w="28" w:type="dxa"/>
              <w:right w:w="28" w:type="dxa"/>
            </w:tcMar>
            <w:vAlign w:val="center"/>
          </w:tcPr>
          <w:p w14:paraId="41B70EEE">
            <w:pPr>
              <w:pStyle w:val="20"/>
              <w:adjustRightInd w:val="0"/>
              <w:snapToGrid w:val="0"/>
              <w:spacing w:before="0" w:beforeAutospacing="0" w:after="0" w:afterAutospacing="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
                <w:bCs/>
                <w:color w:val="auto"/>
                <w:kern w:val="2"/>
                <w:szCs w:val="24"/>
                <w:highlight w:val="none"/>
              </w:rPr>
              <w:t>施工期环境保护措施</w:t>
            </w:r>
          </w:p>
        </w:tc>
        <w:tc>
          <w:tcPr>
            <w:tcW w:w="8529" w:type="dxa"/>
            <w:vAlign w:val="center"/>
          </w:tcPr>
          <w:p w14:paraId="51523C1C">
            <w:pPr>
              <w:pStyle w:val="5"/>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本项目</w:t>
            </w:r>
            <w:r>
              <w:rPr>
                <w:rFonts w:hint="default" w:ascii="Times New Roman" w:hAnsi="Times New Roman" w:eastAsia="宋体" w:cs="Times New Roman"/>
                <w:b w:val="0"/>
                <w:bCs w:val="0"/>
                <w:color w:val="auto"/>
                <w:sz w:val="24"/>
                <w:szCs w:val="24"/>
                <w:highlight w:val="none"/>
                <w:lang w:val="en-US" w:eastAsia="zh-CN"/>
              </w:rPr>
              <w:t>利用现有厂房建设，施工期主要内容为设备安装</w:t>
            </w:r>
            <w:r>
              <w:rPr>
                <w:rFonts w:hint="eastAsia" w:cs="Times New Roman"/>
                <w:b w:val="0"/>
                <w:bCs w:val="0"/>
                <w:color w:val="auto"/>
                <w:sz w:val="24"/>
                <w:szCs w:val="24"/>
                <w:highlight w:val="none"/>
                <w:lang w:val="en-US" w:eastAsia="zh-CN"/>
              </w:rPr>
              <w:t>、装修</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主要污染物为噪声</w:t>
            </w:r>
            <w:r>
              <w:rPr>
                <w:rFonts w:hint="eastAsia" w:cs="Times New Roman"/>
                <w:b w:val="0"/>
                <w:bCs w:val="0"/>
                <w:color w:val="auto"/>
                <w:sz w:val="24"/>
                <w:szCs w:val="24"/>
                <w:highlight w:val="none"/>
                <w:lang w:val="en-US" w:eastAsia="zh-CN"/>
              </w:rPr>
              <w:t>、装修废气等</w:t>
            </w:r>
            <w:r>
              <w:rPr>
                <w:rFonts w:hint="eastAsia" w:ascii="Times New Roman" w:hAnsi="Times New Roman" w:eastAsia="宋体" w:cs="Times New Roman"/>
                <w:b w:val="0"/>
                <w:bCs w:val="0"/>
                <w:color w:val="auto"/>
                <w:sz w:val="24"/>
                <w:szCs w:val="24"/>
                <w:highlight w:val="none"/>
                <w:lang w:val="en-US" w:eastAsia="zh-CN"/>
              </w:rPr>
              <w:t>。</w:t>
            </w:r>
            <w:r>
              <w:rPr>
                <w:rFonts w:hint="eastAsia" w:cs="Times New Roman"/>
                <w:b w:val="0"/>
                <w:bCs w:val="0"/>
                <w:color w:val="auto"/>
                <w:sz w:val="24"/>
                <w:szCs w:val="24"/>
                <w:highlight w:val="none"/>
                <w:lang w:val="en-US" w:eastAsia="zh-CN"/>
              </w:rPr>
              <w:t>本项目的设备安装与装修等工作总体工程量相对较少，其影响具有持续时间短的特征，且工程结束后，对环境的影响亦随之消除。鉴于其</w:t>
            </w:r>
            <w:r>
              <w:rPr>
                <w:rFonts w:hint="eastAsia" w:ascii="Times New Roman" w:hAnsi="Times New Roman" w:eastAsia="宋体" w:cs="Times New Roman"/>
                <w:b w:val="0"/>
                <w:bCs w:val="0"/>
                <w:color w:val="auto"/>
                <w:sz w:val="24"/>
                <w:szCs w:val="24"/>
                <w:highlight w:val="none"/>
                <w:lang w:val="en-US" w:eastAsia="zh-CN"/>
              </w:rPr>
              <w:t>对环境的影响程度</w:t>
            </w:r>
            <w:r>
              <w:rPr>
                <w:rFonts w:hint="eastAsia" w:cs="Times New Roman"/>
                <w:b w:val="0"/>
                <w:bCs w:val="0"/>
                <w:color w:val="auto"/>
                <w:sz w:val="24"/>
                <w:szCs w:val="24"/>
                <w:highlight w:val="none"/>
                <w:lang w:val="en-US" w:eastAsia="zh-CN"/>
              </w:rPr>
              <w:t>轻微</w:t>
            </w:r>
            <w:r>
              <w:rPr>
                <w:rFonts w:hint="eastAsia" w:ascii="Times New Roman" w:hAnsi="Times New Roman" w:eastAsia="宋体" w:cs="Times New Roman"/>
                <w:b w:val="0"/>
                <w:bCs w:val="0"/>
                <w:color w:val="auto"/>
                <w:sz w:val="24"/>
                <w:szCs w:val="24"/>
                <w:highlight w:val="none"/>
                <w:lang w:val="en-US" w:eastAsia="zh-CN"/>
              </w:rPr>
              <w:t>，</w:t>
            </w:r>
            <w:r>
              <w:rPr>
                <w:rFonts w:hint="eastAsia" w:cs="Times New Roman"/>
                <w:b w:val="0"/>
                <w:bCs w:val="0"/>
                <w:color w:val="auto"/>
                <w:sz w:val="24"/>
                <w:szCs w:val="24"/>
                <w:highlight w:val="none"/>
                <w:lang w:val="en-US" w:eastAsia="zh-CN"/>
              </w:rPr>
              <w:t>故不</w:t>
            </w:r>
            <w:r>
              <w:rPr>
                <w:rFonts w:hint="eastAsia" w:ascii="Times New Roman" w:hAnsi="Times New Roman" w:eastAsia="宋体" w:cs="Times New Roman"/>
                <w:b w:val="0"/>
                <w:bCs w:val="0"/>
                <w:color w:val="auto"/>
                <w:sz w:val="24"/>
                <w:szCs w:val="24"/>
                <w:highlight w:val="none"/>
                <w:lang w:val="en-US" w:eastAsia="zh-CN"/>
              </w:rPr>
              <w:t>进行</w:t>
            </w:r>
            <w:r>
              <w:rPr>
                <w:rFonts w:hint="eastAsia" w:cs="Times New Roman"/>
                <w:b w:val="0"/>
                <w:bCs w:val="0"/>
                <w:color w:val="auto"/>
                <w:sz w:val="24"/>
                <w:szCs w:val="24"/>
                <w:highlight w:val="none"/>
                <w:lang w:val="en-US" w:eastAsia="zh-CN"/>
              </w:rPr>
              <w:t>定量</w:t>
            </w:r>
            <w:r>
              <w:rPr>
                <w:rFonts w:hint="eastAsia" w:ascii="Times New Roman" w:hAnsi="Times New Roman" w:eastAsia="宋体" w:cs="Times New Roman"/>
                <w:b w:val="0"/>
                <w:bCs w:val="0"/>
                <w:color w:val="auto"/>
                <w:sz w:val="24"/>
                <w:szCs w:val="24"/>
                <w:highlight w:val="none"/>
                <w:lang w:val="en-US" w:eastAsia="zh-CN"/>
              </w:rPr>
              <w:t xml:space="preserve">分析。 </w:t>
            </w:r>
          </w:p>
        </w:tc>
      </w:tr>
      <w:tr w14:paraId="43536D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dxa"/>
            <w:tcMar>
              <w:left w:w="28" w:type="dxa"/>
              <w:right w:w="28" w:type="dxa"/>
            </w:tcMar>
            <w:vAlign w:val="center"/>
          </w:tcPr>
          <w:p w14:paraId="711547B0">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
                <w:bCs w:val="0"/>
                <w:color w:val="auto"/>
                <w:sz w:val="24"/>
                <w:highlight w:val="none"/>
              </w:rPr>
              <w:t>运营期环境影响和保护措施</w:t>
            </w:r>
          </w:p>
        </w:tc>
        <w:tc>
          <w:tcPr>
            <w:tcW w:w="8529" w:type="dxa"/>
            <w:vAlign w:val="center"/>
          </w:tcPr>
          <w:p w14:paraId="586C0D2B">
            <w:pPr>
              <w:keepNext w:val="0"/>
              <w:keepLines w:val="0"/>
              <w:pageBreakBefore w:val="0"/>
              <w:widowControl w:val="0"/>
              <w:numPr>
                <w:ilvl w:val="0"/>
                <w:numId w:val="0"/>
              </w:numPr>
              <w:kinsoku/>
              <w:wordWrap/>
              <w:overflowPunct/>
              <w:topLinePunct w:val="0"/>
              <w:autoSpaceDE/>
              <w:autoSpaceDN/>
              <w:bidi w:val="0"/>
              <w:spacing w:line="440" w:lineRule="exact"/>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sz w:val="24"/>
                <w:highlight w:val="none"/>
                <w:lang w:val="en-US" w:eastAsia="zh-CN"/>
              </w:rPr>
              <w:t>废气</w:t>
            </w:r>
          </w:p>
          <w:p w14:paraId="5A99182C">
            <w:pPr>
              <w:keepNext w:val="0"/>
              <w:keepLines w:val="0"/>
              <w:pageBreakBefore w:val="0"/>
              <w:widowControl w:val="0"/>
              <w:kinsoku/>
              <w:wordWrap/>
              <w:overflowPunct/>
              <w:topLinePunct w:val="0"/>
              <w:autoSpaceDE/>
              <w:autoSpaceDN/>
              <w:bidi w:val="0"/>
              <w:adjustRightInd w:val="0"/>
              <w:snapToGrid w:val="0"/>
              <w:spacing w:line="440" w:lineRule="exact"/>
              <w:ind w:firstLine="442" w:firstLineChars="200"/>
              <w:textAlignment w:val="auto"/>
              <w:rPr>
                <w:rFonts w:hint="default" w:ascii="Times New Roman" w:hAnsi="Times New Roman" w:eastAsia="宋体" w:cs="Times New Roman"/>
                <w:b/>
                <w:color w:val="auto"/>
                <w:spacing w:val="-10"/>
                <w:sz w:val="24"/>
                <w:highlight w:val="none"/>
                <w:lang w:val="en-US" w:eastAsia="zh-CN"/>
              </w:rPr>
            </w:pPr>
            <w:r>
              <w:rPr>
                <w:rFonts w:hint="default" w:ascii="Times New Roman" w:hAnsi="Times New Roman" w:eastAsia="宋体" w:cs="Times New Roman"/>
                <w:b/>
                <w:color w:val="auto"/>
                <w:spacing w:val="-10"/>
                <w:sz w:val="24"/>
                <w:highlight w:val="none"/>
                <w:lang w:val="en-US" w:eastAsia="zh-CN"/>
              </w:rPr>
              <w:t>1.1源强核算</w:t>
            </w:r>
          </w:p>
          <w:p w14:paraId="61F6DB5D">
            <w:pPr>
              <w:keepNext w:val="0"/>
              <w:keepLines w:val="0"/>
              <w:pageBreakBefore w:val="0"/>
              <w:widowControl w:val="0"/>
              <w:kinsoku/>
              <w:wordWrap/>
              <w:overflowPunct/>
              <w:topLinePunct w:val="0"/>
              <w:autoSpaceDE/>
              <w:autoSpaceDN/>
              <w:bidi w:val="0"/>
              <w:adjustRightInd w:val="0"/>
              <w:snapToGrid w:val="0"/>
              <w:spacing w:line="440" w:lineRule="exact"/>
              <w:ind w:firstLine="440" w:firstLineChars="200"/>
              <w:textAlignment w:val="auto"/>
              <w:rPr>
                <w:rFonts w:hint="default" w:ascii="Times New Roman" w:hAnsi="Times New Roman" w:eastAsia="宋体" w:cs="Times New Roman"/>
                <w:b w:val="0"/>
                <w:bCs/>
                <w:color w:val="auto"/>
                <w:spacing w:val="-10"/>
                <w:sz w:val="24"/>
                <w:highlight w:val="none"/>
                <w:lang w:val="en-US" w:eastAsia="zh-CN"/>
              </w:rPr>
            </w:pPr>
            <w:r>
              <w:rPr>
                <w:rFonts w:hint="default" w:ascii="Times New Roman" w:hAnsi="Times New Roman" w:eastAsia="宋体" w:cs="Times New Roman"/>
                <w:b w:val="0"/>
                <w:bCs/>
                <w:color w:val="auto"/>
                <w:spacing w:val="-10"/>
                <w:sz w:val="24"/>
                <w:highlight w:val="none"/>
                <w:lang w:val="en-US" w:eastAsia="zh-CN"/>
              </w:rPr>
              <w:t>本项目运营期废气主要来源为</w:t>
            </w:r>
            <w:r>
              <w:rPr>
                <w:rFonts w:hint="eastAsia" w:cs="Times New Roman"/>
                <w:b w:val="0"/>
                <w:bCs/>
                <w:color w:val="auto"/>
                <w:spacing w:val="-10"/>
                <w:sz w:val="24"/>
                <w:highlight w:val="none"/>
                <w:lang w:val="en-US" w:eastAsia="zh-CN"/>
              </w:rPr>
              <w:t>上料、料胚储存筒仓进料过程产生的有组织颗粒物，</w:t>
            </w:r>
            <w:r>
              <w:rPr>
                <w:rFonts w:hint="eastAsia" w:cs="Times New Roman"/>
                <w:color w:val="auto"/>
                <w:kern w:val="0"/>
                <w:sz w:val="24"/>
                <w:szCs w:val="24"/>
                <w:highlight w:val="none"/>
                <w:lang w:val="en-US" w:eastAsia="zh-CN" w:bidi="ar"/>
              </w:rPr>
              <w:t>清理、粉碎、在线筒仓运输过程中产生的无组织颗粒物，压滤过程中产生的无组织挥发性有机物（以非甲烷总烃计）</w:t>
            </w:r>
            <w:r>
              <w:rPr>
                <w:rFonts w:hint="default" w:ascii="Times New Roman" w:hAnsi="Times New Roman" w:eastAsia="宋体" w:cs="Times New Roman"/>
                <w:b w:val="0"/>
                <w:bCs/>
                <w:color w:val="auto"/>
                <w:spacing w:val="-10"/>
                <w:sz w:val="24"/>
                <w:highlight w:val="none"/>
                <w:lang w:val="en-US" w:eastAsia="zh-CN"/>
              </w:rPr>
              <w:t>。</w:t>
            </w:r>
          </w:p>
          <w:p w14:paraId="0EB377C9">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b w:val="0"/>
                <w:bCs/>
                <w:color w:val="auto"/>
                <w:spacing w:val="-10"/>
                <w:sz w:val="24"/>
                <w:highlight w:val="none"/>
                <w:lang w:val="en-US" w:eastAsia="zh-CN"/>
              </w:rPr>
            </w:pPr>
            <w:r>
              <w:rPr>
                <w:rFonts w:hint="eastAsia" w:cs="Times New Roman"/>
                <w:b w:val="0"/>
                <w:bCs/>
                <w:color w:val="auto"/>
                <w:sz w:val="24"/>
                <w:highlight w:val="none"/>
                <w:lang w:val="en-US" w:eastAsia="zh-CN"/>
              </w:rPr>
              <w:t>（1）</w:t>
            </w:r>
            <w:r>
              <w:rPr>
                <w:rFonts w:hint="eastAsia" w:cs="Times New Roman"/>
                <w:b w:val="0"/>
                <w:bCs/>
                <w:color w:val="auto"/>
                <w:spacing w:val="-10"/>
                <w:sz w:val="24"/>
                <w:highlight w:val="none"/>
                <w:lang w:val="en-US" w:eastAsia="zh-CN"/>
              </w:rPr>
              <w:t>有组织颗粒物</w:t>
            </w:r>
          </w:p>
          <w:p w14:paraId="5189C379">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cs="Times New Roman"/>
                <w:b w:val="0"/>
                <w:bCs w:val="0"/>
                <w:color w:val="auto"/>
                <w:sz w:val="24"/>
                <w:szCs w:val="24"/>
                <w:highlight w:val="none"/>
                <w:vertAlign w:val="baseline"/>
                <w:lang w:val="en-US" w:eastAsia="zh-CN"/>
              </w:rPr>
            </w:pPr>
            <w:r>
              <w:rPr>
                <w:rFonts w:hint="eastAsia" w:cs="Times New Roman"/>
                <w:b w:val="0"/>
                <w:bCs w:val="0"/>
                <w:color w:val="auto"/>
                <w:sz w:val="24"/>
                <w:szCs w:val="24"/>
                <w:highlight w:val="none"/>
                <w:vertAlign w:val="baseline"/>
                <w:lang w:val="en-US" w:eastAsia="zh-CN"/>
              </w:rPr>
              <w:t>上料、进料过程中葵花籽、玉米胚芽原料需要先进行清理筛选去除里面的杂质，清理筛选过程产生的粉尘，其源强参照《逸散性工业粉尘控制技术》中谷物过筛和清理工序相关规定，粉尘产生系数按 1.5kg/t・原料计算，本项目原料葵花籽、玉米胚芽用量为1485t/a，则项目颗粒物总产生量为 2.23t/a（0.31kg/h）。料胚储存筒仓进料、清理工序年工作7200h。</w:t>
            </w:r>
          </w:p>
          <w:p w14:paraId="2F09642E">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cs="Times New Roman"/>
                <w:b w:val="0"/>
                <w:bCs w:val="0"/>
                <w:color w:val="auto"/>
                <w:sz w:val="24"/>
                <w:szCs w:val="24"/>
                <w:highlight w:val="none"/>
                <w:vertAlign w:val="baseline"/>
                <w:lang w:val="en-US" w:eastAsia="zh-CN"/>
              </w:rPr>
            </w:pPr>
            <w:r>
              <w:rPr>
                <w:rFonts w:hint="eastAsia" w:cs="Times New Roman"/>
                <w:b w:val="0"/>
                <w:bCs w:val="0"/>
                <w:color w:val="auto"/>
                <w:sz w:val="24"/>
                <w:szCs w:val="24"/>
                <w:highlight w:val="none"/>
                <w:vertAlign w:val="baseline"/>
                <w:lang w:val="en-US" w:eastAsia="zh-CN"/>
              </w:rPr>
              <w:t>评价要求，进料口上方设置集气罩（收集效率为90%）、料胚筒仓上方设置1台旋风除尘器+1台布袋除尘器，除尘器风机风量为1600m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vertAlign w:val="baseline"/>
                <w:lang w:val="en-US" w:eastAsia="zh-CN"/>
              </w:rPr>
              <w:t>/h。组合除尘效率为99%，颗粒物经除尘设备处理后经1根15米高的排气筒排放。项目颗粒物总产生量为2.23t/a，被收集的颗粒物量为2.007t/a，产生速率为0.28kg/h，产生浓度为175mg/m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vertAlign w:val="baseline"/>
                <w:lang w:val="en-US" w:eastAsia="zh-CN"/>
              </w:rPr>
              <w:t>；经处理后，颗粒物排放量为0.02t/a，排放浓度1.88mg/m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vertAlign w:val="baseline"/>
                <w:lang w:val="en-US" w:eastAsia="zh-CN"/>
              </w:rPr>
              <w:t>，排放速率0.003kg/h。</w:t>
            </w:r>
          </w:p>
          <w:p w14:paraId="08ED109A">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default" w:cs="Times New Roman"/>
                <w:b w:val="0"/>
                <w:bCs w:val="0"/>
                <w:color w:val="auto"/>
                <w:sz w:val="24"/>
                <w:szCs w:val="24"/>
                <w:highlight w:val="none"/>
                <w:vertAlign w:val="baseline"/>
                <w:lang w:val="en-US" w:eastAsia="zh-CN"/>
              </w:rPr>
            </w:pPr>
            <w:r>
              <w:rPr>
                <w:rFonts w:hint="eastAsia" w:ascii="Times New Roman" w:hAnsi="Times New Roman" w:eastAsia="宋体" w:cs="Times New Roman"/>
                <w:color w:val="auto"/>
                <w:kern w:val="0"/>
                <w:sz w:val="24"/>
                <w:szCs w:val="24"/>
                <w:highlight w:val="none"/>
                <w:vertAlign w:val="baseline"/>
                <w:lang w:val="en-US" w:eastAsia="zh-CN" w:bidi="ar-SA"/>
              </w:rPr>
              <w:t>未收集到的颗粒物量为</w:t>
            </w:r>
            <w:r>
              <w:rPr>
                <w:rFonts w:hint="eastAsia" w:ascii="Times New Roman" w:hAnsi="Times New Roman" w:cs="Times New Roman"/>
                <w:color w:val="auto"/>
                <w:kern w:val="0"/>
                <w:sz w:val="24"/>
                <w:szCs w:val="24"/>
                <w:highlight w:val="none"/>
                <w:vertAlign w:val="baseline"/>
                <w:lang w:val="en-US" w:eastAsia="zh-CN" w:bidi="ar-SA"/>
              </w:rPr>
              <w:t>0.223</w:t>
            </w:r>
            <w:r>
              <w:rPr>
                <w:rFonts w:hint="eastAsia" w:ascii="Times New Roman" w:hAnsi="Times New Roman" w:eastAsia="宋体" w:cs="Times New Roman"/>
                <w:color w:val="auto"/>
                <w:kern w:val="0"/>
                <w:sz w:val="24"/>
                <w:szCs w:val="24"/>
                <w:highlight w:val="none"/>
                <w:vertAlign w:val="baseline"/>
                <w:lang w:val="en-US" w:eastAsia="zh-CN" w:bidi="ar-SA"/>
              </w:rPr>
              <w:t>t/a，无组织排放。</w:t>
            </w:r>
            <w:r>
              <w:rPr>
                <w:rFonts w:hint="eastAsia" w:cs="Times New Roman"/>
                <w:b w:val="0"/>
                <w:bCs w:val="0"/>
                <w:color w:val="auto"/>
                <w:sz w:val="24"/>
                <w:szCs w:val="24"/>
                <w:highlight w:val="none"/>
                <w:vertAlign w:val="baseline"/>
                <w:lang w:val="en-US" w:eastAsia="zh-CN"/>
              </w:rPr>
              <w:t>项目运营期产排情况见下表。</w:t>
            </w:r>
          </w:p>
          <w:p w14:paraId="1B16E770">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Fonts w:hint="default" w:cs="Times New Roman"/>
                <w:b/>
                <w:bCs/>
                <w:color w:val="auto"/>
                <w:sz w:val="24"/>
                <w:szCs w:val="24"/>
                <w:highlight w:val="none"/>
                <w:vertAlign w:val="baseline"/>
                <w:lang w:val="en-US" w:eastAsia="zh-CN"/>
              </w:rPr>
            </w:pPr>
            <w:r>
              <w:rPr>
                <w:rFonts w:hint="eastAsia" w:cs="Times New Roman"/>
                <w:b/>
                <w:bCs/>
                <w:color w:val="auto"/>
                <w:sz w:val="24"/>
                <w:szCs w:val="24"/>
                <w:highlight w:val="none"/>
                <w:vertAlign w:val="baseline"/>
                <w:lang w:val="en-US" w:eastAsia="zh-CN"/>
              </w:rPr>
              <w:t>表4-1本项目有组织废气产生及排放情况</w:t>
            </w:r>
          </w:p>
          <w:tbl>
            <w:tblPr>
              <w:tblStyle w:val="22"/>
              <w:tblW w:w="83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1"/>
              <w:gridCol w:w="927"/>
              <w:gridCol w:w="1120"/>
              <w:gridCol w:w="960"/>
              <w:gridCol w:w="1040"/>
              <w:gridCol w:w="1040"/>
              <w:gridCol w:w="2081"/>
            </w:tblGrid>
            <w:tr w14:paraId="198BB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1151" w:type="dxa"/>
                  <w:tcBorders>
                    <w:tl2br w:val="nil"/>
                    <w:tr2bl w:val="nil"/>
                  </w:tcBorders>
                  <w:vAlign w:val="center"/>
                </w:tcPr>
                <w:p w14:paraId="2F279C5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污染源</w:t>
                  </w:r>
                </w:p>
              </w:tc>
              <w:tc>
                <w:tcPr>
                  <w:tcW w:w="927" w:type="dxa"/>
                  <w:tcBorders>
                    <w:tl2br w:val="nil"/>
                    <w:tr2bl w:val="nil"/>
                  </w:tcBorders>
                  <w:vAlign w:val="center"/>
                </w:tcPr>
                <w:p w14:paraId="6BCB510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污染物</w:t>
                  </w:r>
                </w:p>
              </w:tc>
              <w:tc>
                <w:tcPr>
                  <w:tcW w:w="1120" w:type="dxa"/>
                  <w:tcBorders>
                    <w:tl2br w:val="nil"/>
                    <w:tr2bl w:val="nil"/>
                  </w:tcBorders>
                  <w:vAlign w:val="center"/>
                </w:tcPr>
                <w:p w14:paraId="18184EF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产生浓度mg/m</w:t>
                  </w:r>
                  <w:r>
                    <w:rPr>
                      <w:rFonts w:hint="eastAsia" w:cs="Times New Roman"/>
                      <w:b/>
                      <w:bCs/>
                      <w:color w:val="auto"/>
                      <w:sz w:val="21"/>
                      <w:szCs w:val="21"/>
                      <w:highlight w:val="none"/>
                      <w:vertAlign w:val="superscript"/>
                      <w:lang w:val="en-US" w:eastAsia="zh-CN"/>
                    </w:rPr>
                    <w:t>3</w:t>
                  </w:r>
                </w:p>
              </w:tc>
              <w:tc>
                <w:tcPr>
                  <w:tcW w:w="960" w:type="dxa"/>
                  <w:tcBorders>
                    <w:tl2br w:val="nil"/>
                    <w:tr2bl w:val="nil"/>
                  </w:tcBorders>
                  <w:vAlign w:val="center"/>
                </w:tcPr>
                <w:p w14:paraId="2B8BBFA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产生量</w:t>
                  </w:r>
                </w:p>
                <w:p w14:paraId="68EE474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t/a</w:t>
                  </w:r>
                </w:p>
              </w:tc>
              <w:tc>
                <w:tcPr>
                  <w:tcW w:w="1040" w:type="dxa"/>
                  <w:tcBorders>
                    <w:tl2br w:val="nil"/>
                    <w:tr2bl w:val="nil"/>
                  </w:tcBorders>
                  <w:vAlign w:val="center"/>
                </w:tcPr>
                <w:p w14:paraId="65CAC90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排放浓度mg/m</w:t>
                  </w:r>
                  <w:r>
                    <w:rPr>
                      <w:rFonts w:hint="eastAsia" w:cs="Times New Roman"/>
                      <w:b/>
                      <w:bCs/>
                      <w:color w:val="auto"/>
                      <w:sz w:val="21"/>
                      <w:szCs w:val="21"/>
                      <w:highlight w:val="none"/>
                      <w:vertAlign w:val="superscript"/>
                      <w:lang w:val="en-US" w:eastAsia="zh-CN"/>
                    </w:rPr>
                    <w:t>3</w:t>
                  </w:r>
                </w:p>
              </w:tc>
              <w:tc>
                <w:tcPr>
                  <w:tcW w:w="1040" w:type="dxa"/>
                  <w:tcBorders>
                    <w:tl2br w:val="nil"/>
                    <w:tr2bl w:val="nil"/>
                  </w:tcBorders>
                  <w:vAlign w:val="center"/>
                </w:tcPr>
                <w:p w14:paraId="338CB4B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排放量</w:t>
                  </w:r>
                </w:p>
                <w:p w14:paraId="5AF93BB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t/a</w:t>
                  </w:r>
                </w:p>
              </w:tc>
              <w:tc>
                <w:tcPr>
                  <w:tcW w:w="2081" w:type="dxa"/>
                  <w:tcBorders>
                    <w:tl2br w:val="nil"/>
                    <w:tr2bl w:val="nil"/>
                  </w:tcBorders>
                  <w:vAlign w:val="center"/>
                </w:tcPr>
                <w:p w14:paraId="09EAF81D">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《大气污染物综合排放标准》（GB16297-1996）</w:t>
                  </w:r>
                </w:p>
              </w:tc>
            </w:tr>
            <w:tr w14:paraId="35E425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2" w:hRule="atLeast"/>
              </w:trPr>
              <w:tc>
                <w:tcPr>
                  <w:tcW w:w="1151" w:type="dxa"/>
                  <w:tcBorders>
                    <w:tl2br w:val="nil"/>
                    <w:tr2bl w:val="nil"/>
                  </w:tcBorders>
                  <w:vAlign w:val="center"/>
                </w:tcPr>
                <w:p w14:paraId="009284F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default" w:cs="Times New Roman"/>
                      <w:b w:val="0"/>
                      <w:bCs w:val="0"/>
                      <w:color w:val="auto"/>
                      <w:sz w:val="21"/>
                      <w:szCs w:val="21"/>
                      <w:highlight w:val="none"/>
                      <w:vertAlign w:val="baseline"/>
                      <w:lang w:val="en-US" w:eastAsia="zh-CN"/>
                    </w:rPr>
                    <w:t>料胚储存筒仓进料</w:t>
                  </w:r>
                  <w:r>
                    <w:rPr>
                      <w:rFonts w:hint="eastAsia" w:cs="Times New Roman"/>
                      <w:b w:val="0"/>
                      <w:bCs w:val="0"/>
                      <w:color w:val="auto"/>
                      <w:sz w:val="21"/>
                      <w:szCs w:val="21"/>
                      <w:highlight w:val="none"/>
                      <w:vertAlign w:val="baseline"/>
                      <w:lang w:val="en-US" w:eastAsia="zh-CN"/>
                    </w:rPr>
                    <w:t>、清理</w:t>
                  </w:r>
                </w:p>
              </w:tc>
              <w:tc>
                <w:tcPr>
                  <w:tcW w:w="927" w:type="dxa"/>
                  <w:tcBorders>
                    <w:tl2br w:val="nil"/>
                    <w:tr2bl w:val="nil"/>
                  </w:tcBorders>
                  <w:vAlign w:val="center"/>
                </w:tcPr>
                <w:p w14:paraId="3A345F6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颗粒物</w:t>
                  </w:r>
                </w:p>
              </w:tc>
              <w:tc>
                <w:tcPr>
                  <w:tcW w:w="1120" w:type="dxa"/>
                  <w:tcBorders>
                    <w:tl2br w:val="nil"/>
                    <w:tr2bl w:val="nil"/>
                  </w:tcBorders>
                  <w:vAlign w:val="center"/>
                </w:tcPr>
                <w:p w14:paraId="291B91E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175</w:t>
                  </w:r>
                </w:p>
              </w:tc>
              <w:tc>
                <w:tcPr>
                  <w:tcW w:w="960" w:type="dxa"/>
                  <w:tcBorders>
                    <w:tl2br w:val="nil"/>
                    <w:tr2bl w:val="nil"/>
                  </w:tcBorders>
                  <w:vAlign w:val="center"/>
                </w:tcPr>
                <w:p w14:paraId="178C048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2.007</w:t>
                  </w:r>
                </w:p>
              </w:tc>
              <w:tc>
                <w:tcPr>
                  <w:tcW w:w="1040" w:type="dxa"/>
                  <w:tcBorders>
                    <w:tl2br w:val="nil"/>
                    <w:tr2bl w:val="nil"/>
                  </w:tcBorders>
                  <w:vAlign w:val="center"/>
                </w:tcPr>
                <w:p w14:paraId="39ABF87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1.88</w:t>
                  </w:r>
                </w:p>
              </w:tc>
              <w:tc>
                <w:tcPr>
                  <w:tcW w:w="1040" w:type="dxa"/>
                  <w:tcBorders>
                    <w:tl2br w:val="nil"/>
                    <w:tr2bl w:val="nil"/>
                  </w:tcBorders>
                  <w:vAlign w:val="center"/>
                </w:tcPr>
                <w:p w14:paraId="64C6424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0.02</w:t>
                  </w:r>
                </w:p>
              </w:tc>
              <w:tc>
                <w:tcPr>
                  <w:tcW w:w="2081" w:type="dxa"/>
                  <w:tcBorders>
                    <w:tl2br w:val="nil"/>
                    <w:tr2bl w:val="nil"/>
                  </w:tcBorders>
                  <w:vAlign w:val="center"/>
                </w:tcPr>
                <w:p w14:paraId="23AC89ED">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120mg/m</w:t>
                  </w:r>
                  <w:r>
                    <w:rPr>
                      <w:rFonts w:hint="eastAsia" w:cs="Times New Roman"/>
                      <w:b w:val="0"/>
                      <w:bCs w:val="0"/>
                      <w:color w:val="auto"/>
                      <w:sz w:val="21"/>
                      <w:szCs w:val="21"/>
                      <w:highlight w:val="none"/>
                      <w:vertAlign w:val="superscript"/>
                      <w:lang w:val="en-US" w:eastAsia="zh-CN"/>
                    </w:rPr>
                    <w:t>3</w:t>
                  </w:r>
                </w:p>
              </w:tc>
            </w:tr>
          </w:tbl>
          <w:p w14:paraId="66146A9F">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color w:val="auto"/>
                <w:kern w:val="0"/>
                <w:sz w:val="24"/>
                <w:szCs w:val="24"/>
                <w:highlight w:val="none"/>
                <w:lang w:val="en-US" w:eastAsia="zh-CN" w:bidi="ar"/>
              </w:rPr>
            </w:pPr>
            <w:r>
              <w:rPr>
                <w:rFonts w:hint="eastAsia" w:cs="Times New Roman"/>
                <w:b w:val="0"/>
                <w:bCs/>
                <w:color w:val="auto"/>
                <w:sz w:val="24"/>
                <w:highlight w:val="none"/>
                <w:lang w:val="en-US" w:eastAsia="zh-CN"/>
              </w:rPr>
              <w:t>（2）</w:t>
            </w:r>
            <w:r>
              <w:rPr>
                <w:rFonts w:hint="eastAsia" w:cs="Times New Roman"/>
                <w:color w:val="auto"/>
                <w:kern w:val="0"/>
                <w:sz w:val="24"/>
                <w:szCs w:val="24"/>
                <w:highlight w:val="none"/>
                <w:lang w:val="en-US" w:eastAsia="zh-CN" w:bidi="ar"/>
              </w:rPr>
              <w:t>无组织颗粒物</w:t>
            </w:r>
          </w:p>
          <w:p w14:paraId="34F1F59F">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本项目</w:t>
            </w:r>
            <w:r>
              <w:rPr>
                <w:rFonts w:hint="eastAsia" w:cs="Times New Roman"/>
                <w:color w:val="auto"/>
                <w:kern w:val="0"/>
                <w:sz w:val="24"/>
                <w:szCs w:val="24"/>
                <w:highlight w:val="none"/>
                <w:lang w:val="en-US" w:eastAsia="zh-CN" w:bidi="ar"/>
              </w:rPr>
              <w:t>清理、粉碎、在线筒仓运输</w:t>
            </w:r>
            <w:r>
              <w:rPr>
                <w:rFonts w:hint="eastAsia" w:cs="Times New Roman"/>
                <w:b w:val="0"/>
                <w:bCs w:val="0"/>
                <w:color w:val="auto"/>
                <w:sz w:val="24"/>
                <w:highlight w:val="none"/>
                <w:lang w:val="en-US" w:eastAsia="zh-CN"/>
              </w:rPr>
              <w:t>原料</w:t>
            </w:r>
            <w:r>
              <w:rPr>
                <w:rFonts w:hint="default" w:ascii="Times New Roman" w:hAnsi="Times New Roman" w:eastAsia="宋体" w:cs="Times New Roman"/>
                <w:b w:val="0"/>
                <w:bCs w:val="0"/>
                <w:color w:val="auto"/>
                <w:sz w:val="24"/>
                <w:highlight w:val="none"/>
                <w:lang w:val="en-US" w:eastAsia="zh-CN"/>
              </w:rPr>
              <w:t>采用全封闭</w:t>
            </w:r>
            <w:r>
              <w:rPr>
                <w:rFonts w:hint="eastAsia" w:cs="Times New Roman"/>
                <w:b w:val="0"/>
                <w:bCs w:val="0"/>
                <w:color w:val="auto"/>
                <w:sz w:val="24"/>
                <w:highlight w:val="none"/>
                <w:lang w:val="en-US" w:eastAsia="zh-CN"/>
              </w:rPr>
              <w:t>管道</w:t>
            </w:r>
            <w:r>
              <w:rPr>
                <w:rFonts w:hint="default" w:ascii="Times New Roman" w:hAnsi="Times New Roman" w:eastAsia="宋体" w:cs="Times New Roman"/>
                <w:b w:val="0"/>
                <w:bCs w:val="0"/>
                <w:color w:val="auto"/>
                <w:sz w:val="24"/>
                <w:highlight w:val="none"/>
                <w:lang w:val="en-US" w:eastAsia="zh-CN"/>
              </w:rPr>
              <w:t>卸入</w:t>
            </w:r>
            <w:r>
              <w:rPr>
                <w:rFonts w:hint="eastAsia" w:cs="Times New Roman"/>
                <w:b w:val="0"/>
                <w:bCs w:val="0"/>
                <w:color w:val="auto"/>
                <w:sz w:val="24"/>
                <w:highlight w:val="none"/>
                <w:lang w:val="en-US" w:eastAsia="zh-CN"/>
              </w:rPr>
              <w:t>容器</w:t>
            </w:r>
            <w:r>
              <w:rPr>
                <w:rFonts w:hint="default" w:ascii="Times New Roman" w:hAnsi="Times New Roman" w:eastAsia="宋体" w:cs="Times New Roman"/>
                <w:b w:val="0"/>
                <w:bCs w:val="0"/>
                <w:color w:val="auto"/>
                <w:sz w:val="24"/>
                <w:highlight w:val="none"/>
                <w:lang w:val="en-US" w:eastAsia="zh-CN"/>
              </w:rPr>
              <w:t>，且</w:t>
            </w:r>
            <w:r>
              <w:rPr>
                <w:rFonts w:hint="eastAsia" w:cs="Times New Roman"/>
                <w:b w:val="0"/>
                <w:bCs w:val="0"/>
                <w:color w:val="auto"/>
                <w:sz w:val="24"/>
                <w:highlight w:val="none"/>
                <w:lang w:val="en-US" w:eastAsia="zh-CN"/>
              </w:rPr>
              <w:t>原料</w:t>
            </w:r>
            <w:r>
              <w:rPr>
                <w:rFonts w:hint="default" w:ascii="Times New Roman" w:hAnsi="Times New Roman" w:eastAsia="宋体" w:cs="Times New Roman"/>
                <w:b w:val="0"/>
                <w:bCs w:val="0"/>
                <w:color w:val="auto"/>
                <w:sz w:val="24"/>
                <w:highlight w:val="none"/>
                <w:lang w:val="en-US" w:eastAsia="zh-CN"/>
              </w:rPr>
              <w:t>经</w:t>
            </w:r>
            <w:r>
              <w:rPr>
                <w:rFonts w:hint="eastAsia" w:cs="Times New Roman"/>
                <w:b w:val="0"/>
                <w:bCs w:val="0"/>
                <w:color w:val="auto"/>
                <w:sz w:val="24"/>
                <w:highlight w:val="none"/>
                <w:lang w:val="en-US" w:eastAsia="zh-CN"/>
              </w:rPr>
              <w:t>清理筛分</w:t>
            </w:r>
            <w:r>
              <w:rPr>
                <w:rFonts w:hint="default" w:ascii="Times New Roman" w:hAnsi="Times New Roman" w:eastAsia="宋体" w:cs="Times New Roman"/>
                <w:b w:val="0"/>
                <w:bCs w:val="0"/>
                <w:color w:val="auto"/>
                <w:sz w:val="24"/>
                <w:highlight w:val="none"/>
                <w:lang w:val="en-US" w:eastAsia="zh-CN"/>
              </w:rPr>
              <w:t>后基本不含尘，该工序产生的粉尘极少可忽略不计</w:t>
            </w:r>
            <w:r>
              <w:rPr>
                <w:rFonts w:hint="eastAsia" w:cs="Times New Roman"/>
                <w:b w:val="0"/>
                <w:bCs w:val="0"/>
                <w:color w:val="auto"/>
                <w:sz w:val="24"/>
                <w:highlight w:val="none"/>
                <w:lang w:val="en-US" w:eastAsia="zh-CN"/>
              </w:rPr>
              <w:t>，通过无组织排放</w:t>
            </w:r>
            <w:r>
              <w:rPr>
                <w:rFonts w:hint="default" w:ascii="Times New Roman" w:hAnsi="Times New Roman" w:eastAsia="宋体" w:cs="Times New Roman"/>
                <w:b w:val="0"/>
                <w:bCs w:val="0"/>
                <w:color w:val="auto"/>
                <w:sz w:val="24"/>
                <w:highlight w:val="none"/>
                <w:lang w:val="en-US" w:eastAsia="zh-CN"/>
              </w:rPr>
              <w:t>。</w:t>
            </w:r>
          </w:p>
          <w:p w14:paraId="5AB5862F">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color w:val="auto"/>
                <w:sz w:val="24"/>
                <w:highlight w:val="none"/>
                <w:lang w:val="en-US" w:eastAsia="zh-CN"/>
              </w:rPr>
              <w:t>（</w:t>
            </w:r>
            <w:r>
              <w:rPr>
                <w:rFonts w:hint="eastAsia" w:cs="Times New Roman"/>
                <w:b w:val="0"/>
                <w:bCs/>
                <w:color w:val="auto"/>
                <w:sz w:val="24"/>
                <w:highlight w:val="none"/>
                <w:lang w:val="en-US" w:eastAsia="zh-CN"/>
              </w:rPr>
              <w:t>3</w:t>
            </w:r>
            <w:r>
              <w:rPr>
                <w:rFonts w:hint="default" w:ascii="Times New Roman" w:hAnsi="Times New Roman" w:eastAsia="宋体" w:cs="Times New Roman"/>
                <w:b w:val="0"/>
                <w:bCs/>
                <w:color w:val="auto"/>
                <w:sz w:val="24"/>
                <w:highlight w:val="none"/>
                <w:lang w:val="en-US" w:eastAsia="zh-CN"/>
              </w:rPr>
              <w:t>）</w:t>
            </w:r>
            <w:r>
              <w:rPr>
                <w:rFonts w:hint="eastAsia" w:cs="Times New Roman"/>
                <w:color w:val="auto"/>
                <w:sz w:val="24"/>
                <w:szCs w:val="24"/>
                <w:highlight w:val="none"/>
                <w:lang w:val="en-US" w:eastAsia="zh-CN"/>
              </w:rPr>
              <w:t>压滤过程中产生的挥发性有机物</w:t>
            </w:r>
          </w:p>
          <w:p w14:paraId="12DF17F4">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both"/>
              <w:textAlignment w:val="auto"/>
              <w:rPr>
                <w:rFonts w:hint="default" w:cs="Times New Roman"/>
                <w:b w:val="0"/>
                <w:bCs w:val="0"/>
                <w:color w:val="auto"/>
                <w:kern w:val="0"/>
                <w:sz w:val="24"/>
                <w:szCs w:val="24"/>
                <w:highlight w:val="none"/>
                <w:lang w:val="en-US" w:eastAsia="zh-CN" w:bidi="ar"/>
              </w:rPr>
            </w:pPr>
            <w:r>
              <w:rPr>
                <w:rFonts w:hint="eastAsia" w:cs="Times New Roman"/>
                <w:color w:val="auto"/>
                <w:sz w:val="24"/>
                <w:szCs w:val="24"/>
                <w:highlight w:val="none"/>
                <w:lang w:val="en-US" w:eastAsia="zh-CN"/>
              </w:rPr>
              <w:t>由于</w:t>
            </w:r>
            <w:r>
              <w:rPr>
                <w:rFonts w:hint="default" w:ascii="Times New Roman" w:hAnsi="Times New Roman" w:eastAsia="宋体" w:cs="Times New Roman"/>
                <w:color w:val="auto"/>
                <w:sz w:val="24"/>
                <w:szCs w:val="24"/>
                <w:highlight w:val="none"/>
                <w:lang w:val="en-US" w:eastAsia="zh-CN"/>
              </w:rPr>
              <w:t>本项目</w:t>
            </w:r>
            <w:r>
              <w:rPr>
                <w:rFonts w:hint="eastAsia" w:cs="Times New Roman"/>
                <w:color w:val="auto"/>
                <w:kern w:val="0"/>
                <w:sz w:val="24"/>
                <w:szCs w:val="24"/>
                <w:highlight w:val="none"/>
                <w:lang w:val="en-US" w:eastAsia="zh-CN" w:bidi="ar"/>
              </w:rPr>
              <w:t>压滤过程中所有原料于密闭设备管道中运输、加热、浸泡、压滤</w:t>
            </w:r>
            <w:r>
              <w:rPr>
                <w:rFonts w:hint="eastAsia" w:cs="Times New Roman"/>
                <w:b w:val="0"/>
                <w:bCs w:val="0"/>
                <w:color w:val="auto"/>
                <w:kern w:val="0"/>
                <w:sz w:val="24"/>
                <w:szCs w:val="24"/>
                <w:highlight w:val="none"/>
                <w:lang w:val="en-US" w:eastAsia="zh-CN" w:bidi="ar"/>
              </w:rPr>
              <w:t>，运营期挥发性有机物产生量较少，无组织排放。</w:t>
            </w:r>
          </w:p>
          <w:p w14:paraId="07227223">
            <w:pPr>
              <w:keepNext w:val="0"/>
              <w:keepLines w:val="0"/>
              <w:pageBreakBefore w:val="0"/>
              <w:widowControl w:val="0"/>
              <w:kinsoku/>
              <w:wordWrap/>
              <w:overflowPunct/>
              <w:topLinePunct w:val="0"/>
              <w:autoSpaceDE/>
              <w:autoSpaceDN/>
              <w:bidi w:val="0"/>
              <w:adjustRightInd w:val="0"/>
              <w:snapToGrid w:val="0"/>
              <w:spacing w:line="440" w:lineRule="exact"/>
              <w:ind w:firstLine="482" w:firstLineChars="200"/>
              <w:textAlignment w:val="auto"/>
              <w:rPr>
                <w:rFonts w:hint="default" w:ascii="Times New Roman" w:hAnsi="Times New Roman" w:eastAsia="宋体" w:cs="Times New Roman"/>
                <w:b/>
                <w:bCs/>
                <w:i w:val="0"/>
                <w:iCs w:val="0"/>
                <w:color w:val="auto"/>
                <w:sz w:val="24"/>
                <w:highlight w:val="none"/>
                <w:lang w:val="en-US" w:eastAsia="zh-CN"/>
              </w:rPr>
            </w:pPr>
            <w:r>
              <w:rPr>
                <w:rFonts w:hint="eastAsia" w:ascii="Times New Roman" w:hAnsi="Times New Roman" w:eastAsia="宋体" w:cs="Times New Roman"/>
                <w:b/>
                <w:bCs/>
                <w:i w:val="0"/>
                <w:iCs w:val="0"/>
                <w:color w:val="auto"/>
                <w:sz w:val="24"/>
                <w:highlight w:val="none"/>
                <w:lang w:val="en-US" w:eastAsia="zh-CN"/>
              </w:rPr>
              <w:t>1</w:t>
            </w:r>
            <w:r>
              <w:rPr>
                <w:rFonts w:hint="default" w:ascii="Times New Roman" w:hAnsi="Times New Roman" w:eastAsia="宋体" w:cs="Times New Roman"/>
                <w:b/>
                <w:bCs/>
                <w:i w:val="0"/>
                <w:iCs w:val="0"/>
                <w:color w:val="auto"/>
                <w:sz w:val="24"/>
                <w:highlight w:val="none"/>
                <w:lang w:val="en-US" w:eastAsia="zh-CN"/>
              </w:rPr>
              <w:t>.2污染处</w:t>
            </w:r>
            <w:r>
              <w:rPr>
                <w:rFonts w:hint="eastAsia" w:cs="Times New Roman"/>
                <w:b/>
                <w:bCs/>
                <w:i w:val="0"/>
                <w:iCs w:val="0"/>
                <w:color w:val="auto"/>
                <w:sz w:val="24"/>
                <w:highlight w:val="none"/>
                <w:lang w:val="en-US" w:eastAsia="zh-CN"/>
              </w:rPr>
              <w:t>理措</w:t>
            </w:r>
            <w:r>
              <w:rPr>
                <w:rFonts w:hint="default" w:ascii="Times New Roman" w:hAnsi="Times New Roman" w:eastAsia="宋体" w:cs="Times New Roman"/>
                <w:b/>
                <w:bCs/>
                <w:i w:val="0"/>
                <w:iCs w:val="0"/>
                <w:color w:val="auto"/>
                <w:sz w:val="24"/>
                <w:highlight w:val="none"/>
                <w:lang w:val="en-US" w:eastAsia="zh-CN"/>
              </w:rPr>
              <w:t>施可行性分析</w:t>
            </w:r>
          </w:p>
          <w:p w14:paraId="540A195C">
            <w:pPr>
              <w:spacing w:line="440" w:lineRule="exact"/>
              <w:ind w:firstLine="480" w:firstLineChars="200"/>
              <w:rPr>
                <w:rFonts w:hint="eastAsia" w:ascii="Times New Roman" w:hAnsi="Times New Roman" w:eastAsia="宋体" w:cs="Times New Roman"/>
                <w:i w:val="0"/>
                <w:iCs w:val="0"/>
                <w:color w:val="auto"/>
                <w:sz w:val="24"/>
                <w:szCs w:val="24"/>
                <w:highlight w:val="none"/>
                <w:lang w:val="en-US" w:eastAsia="zh-CN"/>
              </w:rPr>
            </w:pPr>
            <w:r>
              <w:rPr>
                <w:rFonts w:hint="eastAsia" w:cs="Times New Roman"/>
                <w:i w:val="0"/>
                <w:iCs w:val="0"/>
                <w:color w:val="auto"/>
                <w:sz w:val="24"/>
                <w:szCs w:val="24"/>
                <w:highlight w:val="none"/>
                <w:lang w:val="en-US" w:eastAsia="zh-CN"/>
              </w:rPr>
              <w:t>有组织颗粒物</w:t>
            </w:r>
            <w:r>
              <w:rPr>
                <w:rFonts w:hint="eastAsia" w:ascii="Times New Roman" w:hAnsi="Times New Roman" w:eastAsia="宋体" w:cs="Times New Roman"/>
                <w:i w:val="0"/>
                <w:iCs w:val="0"/>
                <w:color w:val="auto"/>
                <w:sz w:val="24"/>
                <w:szCs w:val="24"/>
                <w:highlight w:val="none"/>
                <w:lang w:val="en-US" w:eastAsia="zh-CN"/>
              </w:rPr>
              <w:t>：</w:t>
            </w:r>
            <w:r>
              <w:rPr>
                <w:rFonts w:hint="eastAsia" w:ascii="Times New Roman" w:hAnsi="Times New Roman" w:eastAsia="宋体" w:cs="Times New Roman"/>
                <w:i w:val="0"/>
                <w:iCs w:val="0"/>
                <w:color w:val="auto"/>
                <w:sz w:val="24"/>
                <w:szCs w:val="24"/>
                <w:highlight w:val="none"/>
              </w:rPr>
              <w:t>根据《排污许可证申请与核发技术规范农副食品加工业</w:t>
            </w:r>
            <w:r>
              <w:rPr>
                <w:rFonts w:hint="eastAsia" w:ascii="Times New Roman" w:hAnsi="Times New Roman" w:eastAsia="宋体" w:cs="Times New Roman"/>
                <w:i w:val="0"/>
                <w:iCs w:val="0"/>
                <w:color w:val="auto"/>
                <w:sz w:val="24"/>
                <w:szCs w:val="24"/>
                <w:highlight w:val="none"/>
                <w:lang w:eastAsia="zh-CN"/>
              </w:rPr>
              <w:t>－</w:t>
            </w:r>
            <w:r>
              <w:rPr>
                <w:rFonts w:hint="eastAsia" w:ascii="Times New Roman" w:hAnsi="Times New Roman" w:eastAsia="宋体" w:cs="Times New Roman"/>
                <w:i w:val="0"/>
                <w:iCs w:val="0"/>
                <w:color w:val="auto"/>
                <w:sz w:val="24"/>
                <w:szCs w:val="24"/>
                <w:highlight w:val="none"/>
              </w:rPr>
              <w:t>饲料加工、植物油加工工业》（HJ1110-2020），</w:t>
            </w:r>
            <w:r>
              <w:rPr>
                <w:rFonts w:hint="eastAsia" w:cs="Times New Roman"/>
                <w:i w:val="0"/>
                <w:iCs w:val="0"/>
                <w:color w:val="auto"/>
                <w:sz w:val="24"/>
                <w:szCs w:val="24"/>
                <w:highlight w:val="none"/>
                <w:lang w:val="en-US" w:eastAsia="zh-CN"/>
              </w:rPr>
              <w:t>原料进料、处理</w:t>
            </w:r>
            <w:r>
              <w:rPr>
                <w:rFonts w:hint="eastAsia" w:ascii="Times New Roman" w:hAnsi="Times New Roman" w:eastAsia="宋体" w:cs="Times New Roman"/>
                <w:i w:val="0"/>
                <w:iCs w:val="0"/>
                <w:color w:val="auto"/>
                <w:sz w:val="24"/>
                <w:szCs w:val="24"/>
                <w:highlight w:val="none"/>
              </w:rPr>
              <w:t>产生的颗粒物的可行技术为</w:t>
            </w:r>
            <w:r>
              <w:rPr>
                <w:rFonts w:hint="eastAsia" w:ascii="Times New Roman" w:hAnsi="Times New Roman" w:eastAsia="宋体" w:cs="Times New Roman"/>
                <w:i w:val="0"/>
                <w:iCs w:val="0"/>
                <w:color w:val="auto"/>
                <w:sz w:val="24"/>
                <w:szCs w:val="24"/>
                <w:highlight w:val="none"/>
                <w:lang w:eastAsia="zh-CN"/>
              </w:rPr>
              <w:t>“</w:t>
            </w:r>
            <w:r>
              <w:rPr>
                <w:rFonts w:hint="eastAsia" w:ascii="Times New Roman" w:hAnsi="Times New Roman" w:eastAsia="宋体" w:cs="Times New Roman"/>
                <w:i w:val="0"/>
                <w:iCs w:val="0"/>
                <w:color w:val="auto"/>
                <w:sz w:val="24"/>
                <w:szCs w:val="24"/>
                <w:highlight w:val="none"/>
              </w:rPr>
              <w:t>旋风除尘；电除尘；袋式除尘；除尘组合工艺</w:t>
            </w:r>
            <w:r>
              <w:rPr>
                <w:rFonts w:hint="eastAsia" w:ascii="Times New Roman" w:hAnsi="Times New Roman" w:eastAsia="宋体" w:cs="Times New Roman"/>
                <w:i w:val="0"/>
                <w:iCs w:val="0"/>
                <w:color w:val="auto"/>
                <w:sz w:val="24"/>
                <w:szCs w:val="24"/>
                <w:highlight w:val="none"/>
                <w:lang w:eastAsia="zh-CN"/>
              </w:rPr>
              <w:t>”</w:t>
            </w:r>
            <w:r>
              <w:rPr>
                <w:rFonts w:hint="eastAsia" w:ascii="Times New Roman" w:hAnsi="Times New Roman" w:eastAsia="宋体" w:cs="Times New Roman"/>
                <w:i w:val="0"/>
                <w:iCs w:val="0"/>
                <w:color w:val="auto"/>
                <w:sz w:val="24"/>
                <w:szCs w:val="24"/>
                <w:highlight w:val="none"/>
              </w:rPr>
              <w:t>，本项目采用</w:t>
            </w:r>
            <w:r>
              <w:rPr>
                <w:rFonts w:hint="eastAsia" w:ascii="Times New Roman" w:hAnsi="Times New Roman" w:eastAsia="宋体" w:cs="Times New Roman"/>
                <w:i w:val="0"/>
                <w:iCs w:val="0"/>
                <w:color w:val="auto"/>
                <w:sz w:val="24"/>
                <w:szCs w:val="24"/>
                <w:highlight w:val="none"/>
                <w:lang w:eastAsia="zh-CN"/>
              </w:rPr>
              <w:t>“</w:t>
            </w:r>
            <w:r>
              <w:rPr>
                <w:rFonts w:hint="eastAsia" w:ascii="Times New Roman" w:hAnsi="Times New Roman" w:eastAsia="宋体" w:cs="Times New Roman"/>
                <w:i w:val="0"/>
                <w:iCs w:val="0"/>
                <w:color w:val="auto"/>
                <w:sz w:val="24"/>
                <w:szCs w:val="24"/>
                <w:highlight w:val="none"/>
                <w:lang w:val="en-US" w:eastAsia="zh-CN"/>
              </w:rPr>
              <w:t>旋风除尘+布袋除尘</w:t>
            </w:r>
            <w:r>
              <w:rPr>
                <w:rFonts w:hint="eastAsia" w:ascii="Times New Roman" w:hAnsi="Times New Roman" w:eastAsia="宋体" w:cs="Times New Roman"/>
                <w:i w:val="0"/>
                <w:iCs w:val="0"/>
                <w:color w:val="auto"/>
                <w:sz w:val="24"/>
                <w:szCs w:val="24"/>
                <w:highlight w:val="none"/>
                <w:lang w:eastAsia="zh-CN"/>
              </w:rPr>
              <w:t>”</w:t>
            </w:r>
            <w:r>
              <w:rPr>
                <w:rFonts w:hint="eastAsia" w:ascii="Times New Roman" w:hAnsi="Times New Roman" w:eastAsia="宋体" w:cs="Times New Roman"/>
                <w:i w:val="0"/>
                <w:iCs w:val="0"/>
                <w:color w:val="auto"/>
                <w:sz w:val="24"/>
                <w:szCs w:val="24"/>
                <w:highlight w:val="none"/>
              </w:rPr>
              <w:t>，属于废气治理可行技术。</w:t>
            </w:r>
          </w:p>
          <w:p w14:paraId="7D8654F5">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宋体" w:hAnsi="宋体" w:cs="宋体"/>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 xml:space="preserve"> </w:t>
            </w:r>
            <w:r>
              <w:rPr>
                <w:rFonts w:hint="eastAsia" w:cs="Times New Roman"/>
                <w:b/>
                <w:bCs/>
                <w:color w:val="auto"/>
                <w:sz w:val="24"/>
                <w:szCs w:val="24"/>
                <w:highlight w:val="none"/>
                <w:lang w:val="en-US" w:eastAsia="zh-CN"/>
              </w:rPr>
              <w:t>表4-2 有组织废气污染物达标分析一览表</w:t>
            </w:r>
          </w:p>
          <w:tbl>
            <w:tblPr>
              <w:tblStyle w:val="22"/>
              <w:tblW w:w="827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9"/>
              <w:gridCol w:w="884"/>
              <w:gridCol w:w="1020"/>
              <w:gridCol w:w="1010"/>
              <w:gridCol w:w="1750"/>
              <w:gridCol w:w="844"/>
              <w:gridCol w:w="849"/>
              <w:gridCol w:w="849"/>
            </w:tblGrid>
            <w:tr w14:paraId="39D25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9" w:hRule="atLeast"/>
              </w:trPr>
              <w:tc>
                <w:tcPr>
                  <w:tcW w:w="1069" w:type="dxa"/>
                  <w:tcBorders>
                    <w:tl2br w:val="nil"/>
                    <w:tr2bl w:val="nil"/>
                  </w:tcBorders>
                  <w:vAlign w:val="center"/>
                </w:tcPr>
                <w:p w14:paraId="4260C597">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kern w:val="0"/>
                      <w:sz w:val="21"/>
                      <w:szCs w:val="21"/>
                      <w:highlight w:val="none"/>
                      <w:vertAlign w:val="baseline"/>
                      <w:lang w:val="en-US" w:eastAsia="zh-CN"/>
                    </w:rPr>
                  </w:pPr>
                  <w:r>
                    <w:rPr>
                      <w:rFonts w:hint="eastAsia"/>
                      <w:b/>
                      <w:bCs/>
                      <w:color w:val="auto"/>
                      <w:kern w:val="0"/>
                      <w:sz w:val="21"/>
                      <w:szCs w:val="21"/>
                      <w:highlight w:val="none"/>
                      <w:vertAlign w:val="baseline"/>
                      <w:lang w:val="en-US" w:eastAsia="zh-CN"/>
                    </w:rPr>
                    <w:t>污染源</w:t>
                  </w:r>
                </w:p>
              </w:tc>
              <w:tc>
                <w:tcPr>
                  <w:tcW w:w="884" w:type="dxa"/>
                  <w:tcBorders>
                    <w:tl2br w:val="nil"/>
                    <w:tr2bl w:val="nil"/>
                  </w:tcBorders>
                  <w:vAlign w:val="center"/>
                </w:tcPr>
                <w:p w14:paraId="465BB6B6">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kern w:val="0"/>
                      <w:sz w:val="21"/>
                      <w:szCs w:val="21"/>
                      <w:highlight w:val="none"/>
                      <w:vertAlign w:val="baseline"/>
                      <w:lang w:val="en-US" w:eastAsia="zh-CN"/>
                    </w:rPr>
                  </w:pPr>
                  <w:r>
                    <w:rPr>
                      <w:rFonts w:hint="eastAsia"/>
                      <w:b/>
                      <w:bCs/>
                      <w:color w:val="auto"/>
                      <w:kern w:val="0"/>
                      <w:sz w:val="21"/>
                      <w:szCs w:val="21"/>
                      <w:highlight w:val="none"/>
                      <w:vertAlign w:val="baseline"/>
                      <w:lang w:val="en-US" w:eastAsia="zh-CN"/>
                    </w:rPr>
                    <w:t>污染因子</w:t>
                  </w:r>
                </w:p>
              </w:tc>
              <w:tc>
                <w:tcPr>
                  <w:tcW w:w="1020" w:type="dxa"/>
                  <w:tcBorders>
                    <w:tl2br w:val="nil"/>
                    <w:tr2bl w:val="nil"/>
                  </w:tcBorders>
                  <w:vAlign w:val="center"/>
                </w:tcPr>
                <w:p w14:paraId="11039CCC">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kern w:val="0"/>
                      <w:sz w:val="21"/>
                      <w:szCs w:val="21"/>
                      <w:highlight w:val="none"/>
                      <w:vertAlign w:val="baseline"/>
                      <w:lang w:val="en-US" w:eastAsia="zh-CN"/>
                    </w:rPr>
                  </w:pPr>
                  <w:r>
                    <w:rPr>
                      <w:rFonts w:hint="eastAsia"/>
                      <w:b/>
                      <w:bCs/>
                      <w:color w:val="auto"/>
                      <w:kern w:val="0"/>
                      <w:sz w:val="21"/>
                      <w:szCs w:val="21"/>
                      <w:highlight w:val="none"/>
                      <w:vertAlign w:val="baseline"/>
                      <w:lang w:val="en-US" w:eastAsia="zh-CN"/>
                    </w:rPr>
                    <w:t>排放速率</w:t>
                  </w:r>
                </w:p>
                <w:p w14:paraId="58EB0645">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kern w:val="0"/>
                      <w:sz w:val="21"/>
                      <w:szCs w:val="21"/>
                      <w:highlight w:val="none"/>
                      <w:vertAlign w:val="baseline"/>
                      <w:lang w:val="en-US" w:eastAsia="zh-CN"/>
                    </w:rPr>
                  </w:pPr>
                  <w:r>
                    <w:rPr>
                      <w:rFonts w:hint="eastAsia"/>
                      <w:b/>
                      <w:bCs/>
                      <w:color w:val="auto"/>
                      <w:kern w:val="0"/>
                      <w:sz w:val="21"/>
                      <w:szCs w:val="21"/>
                      <w:highlight w:val="none"/>
                      <w:vertAlign w:val="baseline"/>
                      <w:lang w:val="en-US" w:eastAsia="zh-CN"/>
                    </w:rPr>
                    <w:t>kg/h</w:t>
                  </w:r>
                </w:p>
              </w:tc>
              <w:tc>
                <w:tcPr>
                  <w:tcW w:w="1010" w:type="dxa"/>
                  <w:tcBorders>
                    <w:tl2br w:val="nil"/>
                    <w:tr2bl w:val="nil"/>
                  </w:tcBorders>
                  <w:vAlign w:val="center"/>
                </w:tcPr>
                <w:p w14:paraId="7E4CDF5B">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kern w:val="0"/>
                      <w:sz w:val="21"/>
                      <w:szCs w:val="21"/>
                      <w:highlight w:val="none"/>
                      <w:vertAlign w:val="baseline"/>
                      <w:lang w:val="en-US" w:eastAsia="zh-CN"/>
                    </w:rPr>
                  </w:pPr>
                  <w:r>
                    <w:rPr>
                      <w:rFonts w:hint="eastAsia"/>
                      <w:b/>
                      <w:bCs/>
                      <w:color w:val="auto"/>
                      <w:kern w:val="0"/>
                      <w:sz w:val="21"/>
                      <w:szCs w:val="21"/>
                      <w:highlight w:val="none"/>
                      <w:vertAlign w:val="baseline"/>
                      <w:lang w:val="en-US" w:eastAsia="zh-CN"/>
                    </w:rPr>
                    <w:t>排放浓度mg/m</w:t>
                  </w:r>
                  <w:r>
                    <w:rPr>
                      <w:rFonts w:hint="eastAsia"/>
                      <w:b/>
                      <w:bCs/>
                      <w:color w:val="auto"/>
                      <w:kern w:val="0"/>
                      <w:sz w:val="21"/>
                      <w:szCs w:val="21"/>
                      <w:highlight w:val="none"/>
                      <w:vertAlign w:val="superscript"/>
                      <w:lang w:val="en-US" w:eastAsia="zh-CN"/>
                    </w:rPr>
                    <w:t>3</w:t>
                  </w:r>
                </w:p>
              </w:tc>
              <w:tc>
                <w:tcPr>
                  <w:tcW w:w="1750" w:type="dxa"/>
                  <w:tcBorders>
                    <w:tl2br w:val="nil"/>
                    <w:tr2bl w:val="nil"/>
                  </w:tcBorders>
                  <w:vAlign w:val="center"/>
                </w:tcPr>
                <w:p w14:paraId="45E95F10">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kern w:val="0"/>
                      <w:sz w:val="21"/>
                      <w:szCs w:val="21"/>
                      <w:highlight w:val="none"/>
                      <w:vertAlign w:val="baseline"/>
                      <w:lang w:val="en-US" w:eastAsia="zh-CN"/>
                    </w:rPr>
                  </w:pPr>
                  <w:r>
                    <w:rPr>
                      <w:rFonts w:hint="eastAsia"/>
                      <w:b/>
                      <w:bCs/>
                      <w:color w:val="auto"/>
                      <w:kern w:val="0"/>
                      <w:sz w:val="21"/>
                      <w:szCs w:val="21"/>
                      <w:highlight w:val="none"/>
                      <w:vertAlign w:val="baseline"/>
                      <w:lang w:val="en-US" w:eastAsia="zh-CN"/>
                    </w:rPr>
                    <w:t>执行标准</w:t>
                  </w:r>
                </w:p>
              </w:tc>
              <w:tc>
                <w:tcPr>
                  <w:tcW w:w="844" w:type="dxa"/>
                  <w:tcBorders>
                    <w:tl2br w:val="nil"/>
                    <w:tr2bl w:val="nil"/>
                  </w:tcBorders>
                  <w:vAlign w:val="center"/>
                </w:tcPr>
                <w:p w14:paraId="63A95341">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kern w:val="0"/>
                      <w:sz w:val="21"/>
                      <w:szCs w:val="21"/>
                      <w:highlight w:val="none"/>
                      <w:vertAlign w:val="baseline"/>
                      <w:lang w:val="en-US" w:eastAsia="zh-CN"/>
                    </w:rPr>
                  </w:pPr>
                  <w:r>
                    <w:rPr>
                      <w:rFonts w:hint="eastAsia"/>
                      <w:b/>
                      <w:bCs/>
                      <w:color w:val="auto"/>
                      <w:kern w:val="0"/>
                      <w:sz w:val="21"/>
                      <w:szCs w:val="21"/>
                      <w:highlight w:val="none"/>
                      <w:vertAlign w:val="baseline"/>
                      <w:lang w:val="en-US" w:eastAsia="zh-CN"/>
                    </w:rPr>
                    <w:t>速率限值</w:t>
                  </w:r>
                </w:p>
                <w:p w14:paraId="09F60530">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kern w:val="0"/>
                      <w:sz w:val="21"/>
                      <w:szCs w:val="21"/>
                      <w:highlight w:val="none"/>
                      <w:vertAlign w:val="baseline"/>
                      <w:lang w:val="en-US" w:eastAsia="zh-CN"/>
                    </w:rPr>
                  </w:pPr>
                  <w:r>
                    <w:rPr>
                      <w:rFonts w:hint="eastAsia"/>
                      <w:b/>
                      <w:bCs/>
                      <w:color w:val="auto"/>
                      <w:kern w:val="0"/>
                      <w:sz w:val="21"/>
                      <w:szCs w:val="21"/>
                      <w:highlight w:val="none"/>
                      <w:vertAlign w:val="baseline"/>
                      <w:lang w:val="en-US" w:eastAsia="zh-CN"/>
                    </w:rPr>
                    <w:t>kg/h</w:t>
                  </w:r>
                </w:p>
              </w:tc>
              <w:tc>
                <w:tcPr>
                  <w:tcW w:w="849" w:type="dxa"/>
                  <w:tcBorders>
                    <w:tl2br w:val="nil"/>
                    <w:tr2bl w:val="nil"/>
                  </w:tcBorders>
                  <w:vAlign w:val="center"/>
                </w:tcPr>
                <w:p w14:paraId="7401BDAA">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kern w:val="0"/>
                      <w:sz w:val="21"/>
                      <w:szCs w:val="21"/>
                      <w:highlight w:val="none"/>
                      <w:vertAlign w:val="baseline"/>
                      <w:lang w:val="en-US" w:eastAsia="zh-CN"/>
                    </w:rPr>
                  </w:pPr>
                  <w:r>
                    <w:rPr>
                      <w:rFonts w:hint="eastAsia"/>
                      <w:b/>
                      <w:bCs/>
                      <w:color w:val="auto"/>
                      <w:kern w:val="0"/>
                      <w:sz w:val="21"/>
                      <w:szCs w:val="21"/>
                      <w:highlight w:val="none"/>
                      <w:vertAlign w:val="baseline"/>
                      <w:lang w:val="en-US" w:eastAsia="zh-CN"/>
                    </w:rPr>
                    <w:t>浓度限值mg/m</w:t>
                  </w:r>
                  <w:r>
                    <w:rPr>
                      <w:rFonts w:hint="eastAsia"/>
                      <w:b/>
                      <w:bCs/>
                      <w:color w:val="auto"/>
                      <w:kern w:val="0"/>
                      <w:sz w:val="21"/>
                      <w:szCs w:val="21"/>
                      <w:highlight w:val="none"/>
                      <w:vertAlign w:val="superscript"/>
                      <w:lang w:val="en-US" w:eastAsia="zh-CN"/>
                    </w:rPr>
                    <w:t>3</w:t>
                  </w:r>
                </w:p>
              </w:tc>
              <w:tc>
                <w:tcPr>
                  <w:tcW w:w="849" w:type="dxa"/>
                  <w:tcBorders>
                    <w:tl2br w:val="nil"/>
                    <w:tr2bl w:val="nil"/>
                  </w:tcBorders>
                  <w:vAlign w:val="center"/>
                </w:tcPr>
                <w:p w14:paraId="43F37A6B">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kern w:val="0"/>
                      <w:sz w:val="21"/>
                      <w:szCs w:val="21"/>
                      <w:highlight w:val="none"/>
                      <w:vertAlign w:val="baseline"/>
                      <w:lang w:val="en-US" w:eastAsia="zh-CN"/>
                    </w:rPr>
                  </w:pPr>
                  <w:r>
                    <w:rPr>
                      <w:rFonts w:hint="eastAsia"/>
                      <w:b/>
                      <w:bCs/>
                      <w:color w:val="auto"/>
                      <w:kern w:val="0"/>
                      <w:sz w:val="21"/>
                      <w:szCs w:val="21"/>
                      <w:highlight w:val="none"/>
                      <w:vertAlign w:val="baseline"/>
                      <w:lang w:val="en-US" w:eastAsia="zh-CN"/>
                    </w:rPr>
                    <w:t>达标情况</w:t>
                  </w:r>
                </w:p>
              </w:tc>
            </w:tr>
            <w:tr w14:paraId="5B1048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4" w:hRule="atLeast"/>
              </w:trPr>
              <w:tc>
                <w:tcPr>
                  <w:tcW w:w="1069" w:type="dxa"/>
                  <w:tcBorders>
                    <w:tl2br w:val="nil"/>
                    <w:tr2bl w:val="nil"/>
                  </w:tcBorders>
                  <w:vAlign w:val="center"/>
                </w:tcPr>
                <w:p w14:paraId="22CD3F85">
                  <w:pPr>
                    <w:contextualSpacing/>
                    <w:jc w:val="center"/>
                    <w:rPr>
                      <w:rFonts w:hint="default"/>
                      <w:b w:val="0"/>
                      <w:bCs w:val="0"/>
                      <w:color w:val="auto"/>
                      <w:kern w:val="0"/>
                      <w:sz w:val="21"/>
                      <w:szCs w:val="21"/>
                      <w:highlight w:val="none"/>
                      <w:vertAlign w:val="baseline"/>
                      <w:lang w:val="en-US" w:eastAsia="zh-CN"/>
                    </w:rPr>
                  </w:pPr>
                  <w:r>
                    <w:rPr>
                      <w:rFonts w:hint="eastAsia" w:cs="Times New Roman"/>
                      <w:color w:val="auto"/>
                      <w:sz w:val="21"/>
                      <w:szCs w:val="21"/>
                      <w:highlight w:val="none"/>
                      <w:lang w:val="en-US" w:eastAsia="zh-CN"/>
                    </w:rPr>
                    <w:t>料胚储存筒仓进料、清理</w:t>
                  </w:r>
                </w:p>
              </w:tc>
              <w:tc>
                <w:tcPr>
                  <w:tcW w:w="884" w:type="dxa"/>
                  <w:tcBorders>
                    <w:tl2br w:val="nil"/>
                    <w:tr2bl w:val="nil"/>
                  </w:tcBorders>
                  <w:vAlign w:val="center"/>
                </w:tcPr>
                <w:p w14:paraId="2604C97E">
                  <w:pPr>
                    <w:contextualSpacing/>
                    <w:jc w:val="center"/>
                    <w:rPr>
                      <w:rFonts w:hint="default" w:eastAsia="宋体"/>
                      <w:b w:val="0"/>
                      <w:bCs w:val="0"/>
                      <w:color w:val="auto"/>
                      <w:kern w:val="0"/>
                      <w:sz w:val="21"/>
                      <w:szCs w:val="21"/>
                      <w:highlight w:val="none"/>
                      <w:vertAlign w:val="baseline"/>
                      <w:lang w:val="en-US" w:eastAsia="zh-CN"/>
                    </w:rPr>
                  </w:pPr>
                  <w:r>
                    <w:rPr>
                      <w:rFonts w:hint="eastAsia" w:cs="Times New Roman"/>
                      <w:color w:val="auto"/>
                      <w:sz w:val="21"/>
                      <w:szCs w:val="21"/>
                      <w:highlight w:val="none"/>
                      <w:lang w:val="en-US" w:eastAsia="zh-CN"/>
                    </w:rPr>
                    <w:t>颗粒物</w:t>
                  </w:r>
                </w:p>
              </w:tc>
              <w:tc>
                <w:tcPr>
                  <w:tcW w:w="1020" w:type="dxa"/>
                  <w:tcBorders>
                    <w:tl2br w:val="nil"/>
                    <w:tr2bl w:val="nil"/>
                  </w:tcBorders>
                  <w:vAlign w:val="center"/>
                </w:tcPr>
                <w:p w14:paraId="1A21C685">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kern w:val="0"/>
                      <w:sz w:val="21"/>
                      <w:szCs w:val="21"/>
                      <w:highlight w:val="none"/>
                      <w:vertAlign w:val="baseline"/>
                      <w:lang w:val="en-US" w:eastAsia="zh-CN"/>
                    </w:rPr>
                  </w:pPr>
                  <w:r>
                    <w:rPr>
                      <w:rFonts w:hint="eastAsia"/>
                      <w:b w:val="0"/>
                      <w:bCs w:val="0"/>
                      <w:color w:val="auto"/>
                      <w:kern w:val="0"/>
                      <w:sz w:val="21"/>
                      <w:szCs w:val="21"/>
                      <w:highlight w:val="none"/>
                      <w:vertAlign w:val="baseline"/>
                      <w:lang w:val="en-US" w:eastAsia="zh-CN"/>
                    </w:rPr>
                    <w:t>0.003</w:t>
                  </w:r>
                </w:p>
              </w:tc>
              <w:tc>
                <w:tcPr>
                  <w:tcW w:w="1010" w:type="dxa"/>
                  <w:tcBorders>
                    <w:tl2br w:val="nil"/>
                    <w:tr2bl w:val="nil"/>
                  </w:tcBorders>
                  <w:vAlign w:val="center"/>
                </w:tcPr>
                <w:p w14:paraId="0F4FE7EB">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kern w:val="0"/>
                      <w:sz w:val="21"/>
                      <w:szCs w:val="21"/>
                      <w:highlight w:val="none"/>
                      <w:vertAlign w:val="baseline"/>
                      <w:lang w:val="en-US" w:eastAsia="zh-CN"/>
                    </w:rPr>
                  </w:pPr>
                  <w:r>
                    <w:rPr>
                      <w:rFonts w:hint="eastAsia"/>
                      <w:b w:val="0"/>
                      <w:bCs w:val="0"/>
                      <w:color w:val="auto"/>
                      <w:kern w:val="0"/>
                      <w:sz w:val="21"/>
                      <w:szCs w:val="21"/>
                      <w:highlight w:val="none"/>
                      <w:vertAlign w:val="baseline"/>
                      <w:lang w:val="en-US" w:eastAsia="zh-CN"/>
                    </w:rPr>
                    <w:t>1.88</w:t>
                  </w:r>
                </w:p>
              </w:tc>
              <w:tc>
                <w:tcPr>
                  <w:tcW w:w="1750" w:type="dxa"/>
                  <w:tcBorders>
                    <w:tl2br w:val="nil"/>
                    <w:tr2bl w:val="nil"/>
                  </w:tcBorders>
                  <w:vAlign w:val="center"/>
                </w:tcPr>
                <w:p w14:paraId="5A91AFE8">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kern w:val="0"/>
                      <w:sz w:val="21"/>
                      <w:szCs w:val="21"/>
                      <w:highlight w:val="none"/>
                      <w:vertAlign w:val="baseline"/>
                      <w:lang w:val="en-US" w:eastAsia="zh-CN"/>
                    </w:rPr>
                  </w:pPr>
                  <w:r>
                    <w:rPr>
                      <w:rFonts w:hint="eastAsia" w:ascii="Times New Roman" w:hAnsi="Times New Roman" w:eastAsia="宋体" w:cs="Times New Roman"/>
                      <w:color w:val="auto"/>
                      <w:sz w:val="21"/>
                      <w:szCs w:val="21"/>
                      <w:highlight w:val="none"/>
                    </w:rPr>
                    <w:t>《大气污染物综合排放标准》（GB</w:t>
                  </w:r>
                  <w:r>
                    <w:rPr>
                      <w:rFonts w:ascii="Times New Roman" w:hAnsi="Times New Roman" w:eastAsia="宋体" w:cs="Times New Roman"/>
                      <w:color w:val="auto"/>
                      <w:sz w:val="21"/>
                      <w:szCs w:val="21"/>
                      <w:highlight w:val="none"/>
                    </w:rPr>
                    <w:t>16297-1996</w:t>
                  </w:r>
                  <w:r>
                    <w:rPr>
                      <w:rFonts w:hint="eastAsia" w:ascii="Times New Roman" w:hAnsi="Times New Roman" w:eastAsia="宋体" w:cs="Times New Roman"/>
                      <w:color w:val="auto"/>
                      <w:sz w:val="21"/>
                      <w:szCs w:val="21"/>
                      <w:highlight w:val="none"/>
                    </w:rPr>
                    <w:t>）表2中二级标准</w:t>
                  </w:r>
                </w:p>
              </w:tc>
              <w:tc>
                <w:tcPr>
                  <w:tcW w:w="844" w:type="dxa"/>
                  <w:tcBorders>
                    <w:tl2br w:val="nil"/>
                    <w:tr2bl w:val="nil"/>
                  </w:tcBorders>
                  <w:vAlign w:val="center"/>
                </w:tcPr>
                <w:p w14:paraId="7FBB326D">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kern w:val="0"/>
                      <w:sz w:val="21"/>
                      <w:szCs w:val="21"/>
                      <w:highlight w:val="none"/>
                      <w:vertAlign w:val="baseline"/>
                      <w:lang w:val="en-US" w:eastAsia="zh-CN"/>
                    </w:rPr>
                  </w:pPr>
                  <w:r>
                    <w:rPr>
                      <w:rFonts w:hint="eastAsia"/>
                      <w:b w:val="0"/>
                      <w:bCs w:val="0"/>
                      <w:color w:val="auto"/>
                      <w:kern w:val="0"/>
                      <w:sz w:val="21"/>
                      <w:szCs w:val="21"/>
                      <w:highlight w:val="none"/>
                      <w:vertAlign w:val="baseline"/>
                      <w:lang w:val="en-US" w:eastAsia="zh-CN"/>
                    </w:rPr>
                    <w:t>3.5</w:t>
                  </w:r>
                </w:p>
              </w:tc>
              <w:tc>
                <w:tcPr>
                  <w:tcW w:w="849" w:type="dxa"/>
                  <w:tcBorders>
                    <w:tl2br w:val="nil"/>
                    <w:tr2bl w:val="nil"/>
                  </w:tcBorders>
                  <w:vAlign w:val="center"/>
                </w:tcPr>
                <w:p w14:paraId="331893EB">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kern w:val="0"/>
                      <w:sz w:val="21"/>
                      <w:szCs w:val="21"/>
                      <w:highlight w:val="none"/>
                      <w:vertAlign w:val="baseline"/>
                      <w:lang w:val="en-US" w:eastAsia="zh-CN"/>
                    </w:rPr>
                  </w:pPr>
                  <w:r>
                    <w:rPr>
                      <w:rFonts w:hint="eastAsia"/>
                      <w:b w:val="0"/>
                      <w:bCs w:val="0"/>
                      <w:color w:val="auto"/>
                      <w:kern w:val="0"/>
                      <w:sz w:val="21"/>
                      <w:szCs w:val="21"/>
                      <w:highlight w:val="none"/>
                      <w:vertAlign w:val="baseline"/>
                      <w:lang w:val="en-US" w:eastAsia="zh-CN"/>
                    </w:rPr>
                    <w:t>120</w:t>
                  </w:r>
                </w:p>
              </w:tc>
              <w:tc>
                <w:tcPr>
                  <w:tcW w:w="849" w:type="dxa"/>
                  <w:tcBorders>
                    <w:tl2br w:val="nil"/>
                    <w:tr2bl w:val="nil"/>
                  </w:tcBorders>
                  <w:vAlign w:val="center"/>
                </w:tcPr>
                <w:p w14:paraId="007C2014">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kern w:val="0"/>
                      <w:sz w:val="21"/>
                      <w:szCs w:val="21"/>
                      <w:highlight w:val="none"/>
                      <w:vertAlign w:val="baseline"/>
                      <w:lang w:val="en-US" w:eastAsia="zh-CN"/>
                    </w:rPr>
                  </w:pPr>
                  <w:r>
                    <w:rPr>
                      <w:rFonts w:hint="eastAsia"/>
                      <w:b w:val="0"/>
                      <w:bCs w:val="0"/>
                      <w:color w:val="auto"/>
                      <w:kern w:val="0"/>
                      <w:sz w:val="21"/>
                      <w:szCs w:val="21"/>
                      <w:highlight w:val="none"/>
                      <w:vertAlign w:val="baseline"/>
                      <w:lang w:val="en-US" w:eastAsia="zh-CN"/>
                    </w:rPr>
                    <w:t>达标</w:t>
                  </w:r>
                </w:p>
              </w:tc>
            </w:tr>
          </w:tbl>
          <w:p w14:paraId="037E1E64">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both"/>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color w:val="auto"/>
                <w:sz w:val="24"/>
                <w:szCs w:val="24"/>
                <w:highlight w:val="none"/>
              </w:rPr>
              <w:t>综上，项目运营期废气在采取本次评价提出的各项环保措施的情况下均能达标排放，</w:t>
            </w:r>
            <w:r>
              <w:rPr>
                <w:rFonts w:hint="eastAsia" w:cs="Times New Roman"/>
                <w:color w:val="auto"/>
                <w:sz w:val="24"/>
                <w:szCs w:val="24"/>
                <w:highlight w:val="none"/>
                <w:lang w:val="en-US" w:eastAsia="zh-CN"/>
              </w:rPr>
              <w:t>料胚储存筒仓进料、清理排气筒排出的颗粒物浓度、速率满足</w:t>
            </w:r>
            <w:r>
              <w:rPr>
                <w:rFonts w:hint="eastAsia" w:ascii="Times New Roman" w:hAnsi="Times New Roman" w:eastAsia="宋体" w:cs="Times New Roman"/>
                <w:color w:val="auto"/>
                <w:sz w:val="24"/>
                <w:szCs w:val="24"/>
                <w:highlight w:val="none"/>
              </w:rPr>
              <w:t>《大气污染物综合排放标准》（GB</w:t>
            </w:r>
            <w:r>
              <w:rPr>
                <w:rFonts w:ascii="Times New Roman" w:hAnsi="Times New Roman" w:eastAsia="宋体" w:cs="Times New Roman"/>
                <w:color w:val="auto"/>
                <w:sz w:val="24"/>
                <w:szCs w:val="24"/>
                <w:highlight w:val="none"/>
              </w:rPr>
              <w:t>16297-1996</w:t>
            </w:r>
            <w:r>
              <w:rPr>
                <w:rFonts w:hint="eastAsia" w:ascii="Times New Roman" w:hAnsi="Times New Roman" w:eastAsia="宋体" w:cs="Times New Roman"/>
                <w:color w:val="auto"/>
                <w:sz w:val="24"/>
                <w:szCs w:val="24"/>
                <w:highlight w:val="none"/>
              </w:rPr>
              <w:t>）表2中二级标准</w:t>
            </w:r>
            <w:r>
              <w:rPr>
                <w:rFonts w:hint="default" w:cs="Times New Roman"/>
                <w:b w:val="0"/>
                <w:bCs w:val="0"/>
                <w:color w:val="auto"/>
                <w:kern w:val="0"/>
                <w:sz w:val="24"/>
                <w:szCs w:val="24"/>
                <w:highlight w:val="none"/>
                <w:lang w:val="en-US" w:eastAsia="zh-CN" w:bidi="ar"/>
              </w:rPr>
              <w:t>限值要求。</w:t>
            </w:r>
            <w:r>
              <w:rPr>
                <w:rFonts w:hint="eastAsia" w:ascii="Times New Roman" w:hAnsi="Times New Roman" w:eastAsia="宋体" w:cs="Times New Roman"/>
                <w:color w:val="auto"/>
                <w:sz w:val="24"/>
                <w:szCs w:val="24"/>
                <w:highlight w:val="none"/>
                <w:lang w:val="en-US" w:eastAsia="zh-CN"/>
              </w:rPr>
              <w:t>故</w:t>
            </w:r>
            <w:r>
              <w:rPr>
                <w:rFonts w:hint="eastAsia" w:ascii="Times New Roman" w:hAnsi="Times New Roman" w:eastAsia="宋体" w:cs="Times New Roman"/>
                <w:b w:val="0"/>
                <w:bCs/>
                <w:color w:val="auto"/>
                <w:sz w:val="24"/>
                <w:highlight w:val="none"/>
                <w:lang w:val="en-US" w:eastAsia="zh-CN"/>
              </w:rPr>
              <w:t>本项目废气处理措施是可行的。</w:t>
            </w:r>
          </w:p>
          <w:p w14:paraId="7512E2B4">
            <w:pPr>
              <w:keepNext w:val="0"/>
              <w:keepLines w:val="0"/>
              <w:pageBreakBefore w:val="0"/>
              <w:widowControl w:val="0"/>
              <w:kinsoku/>
              <w:wordWrap/>
              <w:overflowPunct/>
              <w:topLinePunct w:val="0"/>
              <w:autoSpaceDE/>
              <w:autoSpaceDN/>
              <w:bidi w:val="0"/>
              <w:adjustRightInd/>
              <w:snapToGrid/>
              <w:spacing w:line="440" w:lineRule="exact"/>
              <w:ind w:firstLine="482" w:firstLineChars="200"/>
              <w:contextualSpacing/>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1.3</w:t>
            </w:r>
            <w:r>
              <w:rPr>
                <w:rFonts w:hint="default" w:ascii="Times New Roman" w:hAnsi="Times New Roman" w:eastAsia="宋体" w:cs="Times New Roman"/>
                <w:b/>
                <w:bCs/>
                <w:color w:val="auto"/>
                <w:sz w:val="24"/>
                <w:highlight w:val="none"/>
              </w:rPr>
              <w:t>排气筒</w:t>
            </w:r>
          </w:p>
          <w:p w14:paraId="63C7A403">
            <w:pPr>
              <w:keepNext w:val="0"/>
              <w:keepLines w:val="0"/>
              <w:pageBreakBefore w:val="0"/>
              <w:widowControl w:val="0"/>
              <w:kinsoku/>
              <w:wordWrap/>
              <w:overflowPunct/>
              <w:topLinePunct w:val="0"/>
              <w:autoSpaceDE/>
              <w:autoSpaceDN/>
              <w:bidi w:val="0"/>
              <w:adjustRightInd/>
              <w:snapToGrid/>
              <w:spacing w:line="440" w:lineRule="exact"/>
              <w:ind w:firstLine="480" w:firstLineChars="200"/>
              <w:contextualSpacing/>
              <w:textAlignment w:val="auto"/>
              <w:rPr>
                <w:rFonts w:hint="default" w:ascii="Times New Roman" w:hAnsi="Times New Roman" w:eastAsia="宋体" w:cs="Times New Roman"/>
                <w:b/>
                <w:color w:val="auto"/>
                <w:spacing w:val="-10"/>
                <w:sz w:val="24"/>
                <w:highlight w:val="none"/>
                <w:lang w:val="en-US" w:eastAsia="zh-CN"/>
              </w:rPr>
            </w:pPr>
            <w:r>
              <w:rPr>
                <w:rFonts w:hint="default" w:ascii="Times New Roman" w:hAnsi="Times New Roman" w:eastAsia="宋体" w:cs="Times New Roman"/>
                <w:color w:val="auto"/>
                <w:sz w:val="24"/>
                <w:highlight w:val="none"/>
                <w:lang w:val="en-US" w:eastAsia="zh-CN"/>
              </w:rPr>
              <w:t>根据</w:t>
            </w:r>
            <w:r>
              <w:rPr>
                <w:rFonts w:hint="default" w:ascii="Times New Roman" w:hAnsi="Times New Roman" w:eastAsia="宋体" w:cs="Times New Roman"/>
                <w:color w:val="auto"/>
                <w:sz w:val="24"/>
                <w:highlight w:val="none"/>
              </w:rPr>
              <w:t>《大气污染物综合排放标准》（GB16297-1996）</w:t>
            </w:r>
            <w:r>
              <w:rPr>
                <w:rFonts w:hint="default" w:ascii="Times New Roman" w:hAnsi="Times New Roman" w:eastAsia="宋体" w:cs="Times New Roman"/>
                <w:color w:val="auto"/>
                <w:sz w:val="24"/>
                <w:highlight w:val="none"/>
                <w:lang w:val="en-US" w:eastAsia="zh-CN"/>
              </w:rPr>
              <w:t>，当排气筒周围半径200m距离内有建筑物时，烟囱（或排气筒）还应高出最高建筑物</w:t>
            </w:r>
            <w:r>
              <w:rPr>
                <w:rFonts w:hint="default" w:ascii="Times New Roman" w:hAnsi="Times New Roman"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m以上。本项目厂区200m范围内没有超过15m的建筑物，所以本项目排气筒高度设置合理。</w:t>
            </w:r>
          </w:p>
          <w:p w14:paraId="7A0377C4">
            <w:pPr>
              <w:keepNext w:val="0"/>
              <w:keepLines w:val="0"/>
              <w:pageBreakBefore w:val="0"/>
              <w:widowControl w:val="0"/>
              <w:kinsoku/>
              <w:wordWrap/>
              <w:overflowPunct/>
              <w:topLinePunct w:val="0"/>
              <w:autoSpaceDE/>
              <w:autoSpaceDN/>
              <w:bidi w:val="0"/>
              <w:adjustRightInd/>
              <w:snapToGrid/>
              <w:spacing w:line="440" w:lineRule="exact"/>
              <w:ind w:firstLine="442" w:firstLineChars="200"/>
              <w:contextualSpacing/>
              <w:textAlignment w:val="auto"/>
              <w:rPr>
                <w:rFonts w:hint="eastAsia" w:cs="Times New Roman"/>
                <w:b/>
                <w:bCs/>
                <w:color w:val="auto"/>
                <w:sz w:val="24"/>
                <w:highlight w:val="none"/>
                <w:lang w:val="en-US" w:eastAsia="zh-CN"/>
              </w:rPr>
            </w:pPr>
            <w:r>
              <w:rPr>
                <w:rFonts w:hint="default" w:ascii="Times New Roman" w:hAnsi="Times New Roman" w:eastAsia="宋体" w:cs="Times New Roman"/>
                <w:b/>
                <w:color w:val="auto"/>
                <w:spacing w:val="-10"/>
                <w:sz w:val="24"/>
                <w:highlight w:val="none"/>
                <w:lang w:val="en-US" w:eastAsia="zh-CN"/>
              </w:rPr>
              <w:t>1.</w:t>
            </w:r>
            <w:r>
              <w:rPr>
                <w:rFonts w:hint="eastAsia" w:cs="Times New Roman"/>
                <w:b/>
                <w:color w:val="auto"/>
                <w:spacing w:val="-10"/>
                <w:sz w:val="24"/>
                <w:highlight w:val="none"/>
                <w:lang w:val="en-US" w:eastAsia="zh-CN"/>
              </w:rPr>
              <w:t>4</w:t>
            </w:r>
            <w:r>
              <w:rPr>
                <w:rFonts w:hint="eastAsia" w:cs="Times New Roman"/>
                <w:b/>
                <w:bCs/>
                <w:color w:val="auto"/>
                <w:sz w:val="24"/>
                <w:highlight w:val="none"/>
                <w:lang w:val="en-US" w:eastAsia="zh-CN"/>
              </w:rPr>
              <w:t>本项目非正常工况</w:t>
            </w:r>
          </w:p>
          <w:p w14:paraId="5BD08624">
            <w:pPr>
              <w:keepNext w:val="0"/>
              <w:keepLines w:val="0"/>
              <w:pageBreakBefore w:val="0"/>
              <w:widowControl w:val="0"/>
              <w:kinsoku/>
              <w:wordWrap/>
              <w:overflowPunct/>
              <w:topLinePunct w:val="0"/>
              <w:autoSpaceDE w:val="0"/>
              <w:autoSpaceDN w:val="0"/>
              <w:bidi w:val="0"/>
              <w:adjustRightInd w:val="0"/>
              <w:snapToGrid/>
              <w:spacing w:line="440" w:lineRule="exact"/>
              <w:ind w:firstLine="480" w:firstLineChars="200"/>
              <w:jc w:val="left"/>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项目非正常工况主要为以下几种情况：设备故障、停电和检修。设备故障又包括生产设备故障和环保设备故障。</w:t>
            </w:r>
          </w:p>
          <w:p w14:paraId="1A7B8901">
            <w:pPr>
              <w:keepNext w:val="0"/>
              <w:keepLines w:val="0"/>
              <w:pageBreakBefore w:val="0"/>
              <w:widowControl w:val="0"/>
              <w:kinsoku/>
              <w:wordWrap/>
              <w:overflowPunct/>
              <w:topLinePunct w:val="0"/>
              <w:autoSpaceDE w:val="0"/>
              <w:autoSpaceDN w:val="0"/>
              <w:bidi w:val="0"/>
              <w:adjustRightInd w:val="0"/>
              <w:snapToGrid/>
              <w:spacing w:line="440" w:lineRule="exact"/>
              <w:ind w:firstLine="480" w:firstLineChars="200"/>
              <w:jc w:val="left"/>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对于生产设备故障、停电和检修导致的非正常工况，生产过程全部停止运行，不再进行生产。由于设备停止运行，因此生产过程中的污染也随之停止产生。</w:t>
            </w:r>
          </w:p>
          <w:p w14:paraId="59A6DF3A">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对于控制和消减污染排放量的环保设备如果发生故障，则污染物去除率将下降至完全失效，在此工况下环境影响增大。因此，本项目的非正常工况污染分析，主要考虑由环保设备故障所导致的非正常工况。则非正常工况废气排放情况见表4-</w:t>
            </w:r>
            <w:r>
              <w:rPr>
                <w:rFonts w:hint="eastAsia" w:cs="Times New Roman"/>
                <w:color w:val="auto"/>
                <w:sz w:val="24"/>
                <w:highlight w:val="none"/>
                <w:lang w:val="en-US" w:eastAsia="zh-CN"/>
              </w:rPr>
              <w:t>3</w:t>
            </w:r>
            <w:r>
              <w:rPr>
                <w:rFonts w:hint="default" w:ascii="Times New Roman" w:hAnsi="Times New Roman" w:cs="Times New Roman"/>
                <w:color w:val="auto"/>
                <w:sz w:val="24"/>
                <w:highlight w:val="none"/>
              </w:rPr>
              <w:t>。</w:t>
            </w:r>
          </w:p>
          <w:p w14:paraId="34A20784">
            <w:pPr>
              <w:keepNext w:val="0"/>
              <w:keepLines w:val="0"/>
              <w:pageBreakBefore w:val="0"/>
              <w:kinsoku/>
              <w:wordWrap/>
              <w:overflowPunct/>
              <w:topLinePunct w:val="0"/>
              <w:autoSpaceDE/>
              <w:autoSpaceDN/>
              <w:bidi w:val="0"/>
              <w:spacing w:line="440" w:lineRule="exact"/>
              <w:jc w:val="center"/>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rPr>
              <w:t>表4</w:t>
            </w:r>
            <w:r>
              <w:rPr>
                <w:rFonts w:hint="eastAsia"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rPr>
              <w:t xml:space="preserve">   </w:t>
            </w:r>
            <w:r>
              <w:rPr>
                <w:rFonts w:hint="eastAsia" w:cs="Times New Roman"/>
                <w:b/>
                <w:color w:val="auto"/>
                <w:sz w:val="24"/>
                <w:szCs w:val="24"/>
                <w:highlight w:val="none"/>
                <w:lang w:val="en-US" w:eastAsia="zh-CN"/>
              </w:rPr>
              <w:t>非正常工况下大气污染物排放源强</w:t>
            </w:r>
          </w:p>
          <w:tbl>
            <w:tblPr>
              <w:tblStyle w:val="22"/>
              <w:tblW w:w="8313"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8"/>
              <w:gridCol w:w="1010"/>
              <w:gridCol w:w="1180"/>
              <w:gridCol w:w="1140"/>
              <w:gridCol w:w="797"/>
              <w:gridCol w:w="1039"/>
              <w:gridCol w:w="1039"/>
              <w:gridCol w:w="1040"/>
            </w:tblGrid>
            <w:tr w14:paraId="0853A0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dxa"/>
                  <w:tcBorders>
                    <w:tl2br w:val="nil"/>
                    <w:tr2bl w:val="nil"/>
                  </w:tcBorders>
                  <w:vAlign w:val="center"/>
                </w:tcPr>
                <w:p w14:paraId="729E8A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非正常排放类型</w:t>
                  </w:r>
                </w:p>
              </w:tc>
              <w:tc>
                <w:tcPr>
                  <w:tcW w:w="1010" w:type="dxa"/>
                  <w:tcBorders>
                    <w:tl2br w:val="nil"/>
                    <w:tr2bl w:val="nil"/>
                  </w:tcBorders>
                  <w:vAlign w:val="center"/>
                </w:tcPr>
                <w:p w14:paraId="3B5B77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污染源</w:t>
                  </w:r>
                </w:p>
              </w:tc>
              <w:tc>
                <w:tcPr>
                  <w:tcW w:w="1180" w:type="dxa"/>
                  <w:tcBorders>
                    <w:tl2br w:val="nil"/>
                    <w:tr2bl w:val="nil"/>
                  </w:tcBorders>
                  <w:vAlign w:val="center"/>
                </w:tcPr>
                <w:p w14:paraId="435EBC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污染物</w:t>
                  </w:r>
                </w:p>
              </w:tc>
              <w:tc>
                <w:tcPr>
                  <w:tcW w:w="1140" w:type="dxa"/>
                  <w:tcBorders>
                    <w:tl2br w:val="nil"/>
                    <w:tr2bl w:val="nil"/>
                  </w:tcBorders>
                  <w:vAlign w:val="center"/>
                </w:tcPr>
                <w:p w14:paraId="0E58DB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排气筒高度m</w:t>
                  </w:r>
                </w:p>
              </w:tc>
              <w:tc>
                <w:tcPr>
                  <w:tcW w:w="797" w:type="dxa"/>
                  <w:tcBorders>
                    <w:tl2br w:val="nil"/>
                    <w:tr2bl w:val="nil"/>
                  </w:tcBorders>
                  <w:vAlign w:val="center"/>
                </w:tcPr>
                <w:p w14:paraId="74A075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单次持续时间h</w:t>
                  </w:r>
                </w:p>
              </w:tc>
              <w:tc>
                <w:tcPr>
                  <w:tcW w:w="1039" w:type="dxa"/>
                  <w:tcBorders>
                    <w:tl2br w:val="nil"/>
                    <w:tr2bl w:val="nil"/>
                  </w:tcBorders>
                  <w:vAlign w:val="center"/>
                </w:tcPr>
                <w:p w14:paraId="214CA0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发生频次（次/年）</w:t>
                  </w:r>
                </w:p>
              </w:tc>
              <w:tc>
                <w:tcPr>
                  <w:tcW w:w="1039" w:type="dxa"/>
                  <w:tcBorders>
                    <w:tl2br w:val="nil"/>
                    <w:tr2bl w:val="nil"/>
                  </w:tcBorders>
                  <w:vAlign w:val="center"/>
                </w:tcPr>
                <w:p w14:paraId="2DDBA3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污染物排放量kg/h</w:t>
                  </w:r>
                </w:p>
              </w:tc>
              <w:tc>
                <w:tcPr>
                  <w:tcW w:w="1040" w:type="dxa"/>
                  <w:tcBorders>
                    <w:tl2br w:val="nil"/>
                    <w:tr2bl w:val="nil"/>
                  </w:tcBorders>
                  <w:vAlign w:val="center"/>
                </w:tcPr>
                <w:p w14:paraId="42FDBD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污染物排放浓度</w:t>
                  </w:r>
                  <w:r>
                    <w:rPr>
                      <w:rFonts w:hint="eastAsia"/>
                      <w:b/>
                      <w:bCs/>
                      <w:color w:val="auto"/>
                      <w:kern w:val="0"/>
                      <w:sz w:val="21"/>
                      <w:szCs w:val="21"/>
                      <w:highlight w:val="none"/>
                      <w:vertAlign w:val="baseline"/>
                      <w:lang w:val="en-US" w:eastAsia="zh-CN"/>
                    </w:rPr>
                    <w:t>mg/m</w:t>
                  </w:r>
                  <w:r>
                    <w:rPr>
                      <w:rFonts w:hint="eastAsia"/>
                      <w:b/>
                      <w:bCs/>
                      <w:color w:val="auto"/>
                      <w:kern w:val="0"/>
                      <w:sz w:val="21"/>
                      <w:szCs w:val="21"/>
                      <w:highlight w:val="none"/>
                      <w:vertAlign w:val="superscript"/>
                      <w:lang w:val="en-US" w:eastAsia="zh-CN"/>
                    </w:rPr>
                    <w:t>3</w:t>
                  </w:r>
                </w:p>
              </w:tc>
            </w:tr>
            <w:tr w14:paraId="2B77BF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6" w:hRule="atLeast"/>
              </w:trPr>
              <w:tc>
                <w:tcPr>
                  <w:tcW w:w="1068" w:type="dxa"/>
                  <w:tcBorders>
                    <w:tl2br w:val="nil"/>
                    <w:tr2bl w:val="nil"/>
                  </w:tcBorders>
                  <w:vAlign w:val="center"/>
                </w:tcPr>
                <w:p w14:paraId="469DCD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lang w:val="en-US" w:eastAsia="zh-CN"/>
                    </w:rPr>
                    <w:t>除尘</w:t>
                  </w:r>
                  <w:r>
                    <w:rPr>
                      <w:rFonts w:hint="default" w:ascii="Times New Roman" w:hAnsi="Times New Roman" w:eastAsia="宋体" w:cs="Times New Roman"/>
                      <w:b w:val="0"/>
                      <w:bCs w:val="0"/>
                      <w:color w:val="auto"/>
                      <w:sz w:val="21"/>
                      <w:szCs w:val="21"/>
                      <w:highlight w:val="none"/>
                    </w:rPr>
                    <w:t>装置故障</w:t>
                  </w:r>
                  <w:r>
                    <w:rPr>
                      <w:rFonts w:hint="eastAsia"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导致的处理效率为0</w:t>
                  </w:r>
                </w:p>
              </w:tc>
              <w:tc>
                <w:tcPr>
                  <w:tcW w:w="1010" w:type="dxa"/>
                  <w:tcBorders>
                    <w:tl2br w:val="nil"/>
                    <w:tr2bl w:val="nil"/>
                  </w:tcBorders>
                  <w:vAlign w:val="center"/>
                </w:tcPr>
                <w:p w14:paraId="6A8EA2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color w:val="auto"/>
                      <w:szCs w:val="21"/>
                      <w:highlight w:val="none"/>
                      <w:lang w:val="en-US" w:eastAsia="zh-CN"/>
                    </w:rPr>
                    <w:t>料胚储存筒仓进料、清理</w:t>
                  </w:r>
                </w:p>
              </w:tc>
              <w:tc>
                <w:tcPr>
                  <w:tcW w:w="1180" w:type="dxa"/>
                  <w:tcBorders>
                    <w:tl2br w:val="nil"/>
                    <w:tr2bl w:val="nil"/>
                  </w:tcBorders>
                  <w:vAlign w:val="center"/>
                </w:tcPr>
                <w:p w14:paraId="2C89AE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颗粒物</w:t>
                  </w:r>
                </w:p>
              </w:tc>
              <w:tc>
                <w:tcPr>
                  <w:tcW w:w="1140" w:type="dxa"/>
                  <w:tcBorders>
                    <w:tl2br w:val="nil"/>
                    <w:tr2bl w:val="nil"/>
                  </w:tcBorders>
                  <w:vAlign w:val="center"/>
                </w:tcPr>
                <w:p w14:paraId="0E0E53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15</w:t>
                  </w:r>
                </w:p>
              </w:tc>
              <w:tc>
                <w:tcPr>
                  <w:tcW w:w="797" w:type="dxa"/>
                  <w:tcBorders>
                    <w:tl2br w:val="nil"/>
                    <w:tr2bl w:val="nil"/>
                  </w:tcBorders>
                  <w:vAlign w:val="center"/>
                </w:tcPr>
                <w:p w14:paraId="3F2157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w:t>
                  </w:r>
                </w:p>
              </w:tc>
              <w:tc>
                <w:tcPr>
                  <w:tcW w:w="1039" w:type="dxa"/>
                  <w:tcBorders>
                    <w:tl2br w:val="nil"/>
                    <w:tr2bl w:val="nil"/>
                  </w:tcBorders>
                  <w:vAlign w:val="center"/>
                </w:tcPr>
                <w:p w14:paraId="430FD1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w:t>
                  </w:r>
                </w:p>
              </w:tc>
              <w:tc>
                <w:tcPr>
                  <w:tcW w:w="1039" w:type="dxa"/>
                  <w:tcBorders>
                    <w:tl2br w:val="nil"/>
                    <w:tr2bl w:val="nil"/>
                  </w:tcBorders>
                  <w:vAlign w:val="center"/>
                </w:tcPr>
                <w:p w14:paraId="2CF93B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4"/>
                      <w:szCs w:val="24"/>
                      <w:highlight w:val="none"/>
                      <w:vertAlign w:val="baseline"/>
                      <w:lang w:val="en-US" w:eastAsia="zh-CN"/>
                    </w:rPr>
                    <w:t>0.28</w:t>
                  </w:r>
                </w:p>
              </w:tc>
              <w:tc>
                <w:tcPr>
                  <w:tcW w:w="1040" w:type="dxa"/>
                  <w:tcBorders>
                    <w:tl2br w:val="nil"/>
                    <w:tr2bl w:val="nil"/>
                  </w:tcBorders>
                  <w:vAlign w:val="center"/>
                </w:tcPr>
                <w:p w14:paraId="080DC7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175</w:t>
                  </w:r>
                </w:p>
              </w:tc>
            </w:tr>
          </w:tbl>
          <w:p w14:paraId="15A14117">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cs="Times New Roman"/>
                <w:b w:val="0"/>
                <w:bCs w:val="0"/>
                <w:color w:val="auto"/>
                <w:sz w:val="24"/>
                <w:highlight w:val="none"/>
                <w:lang w:val="en-US" w:eastAsia="zh-CN"/>
              </w:rPr>
            </w:pPr>
            <w:r>
              <w:rPr>
                <w:rFonts w:hint="eastAsia" w:cs="Times New Roman"/>
                <w:b w:val="0"/>
                <w:bCs w:val="0"/>
                <w:color w:val="auto"/>
                <w:sz w:val="24"/>
                <w:highlight w:val="none"/>
                <w:lang w:val="en-US" w:eastAsia="zh-CN"/>
              </w:rPr>
              <w:t>由表4-3可知，当处理设施故障时，将导致颗粒物排放浓度增大，会影响周边大气环境。废气处理系统若出现故障，本工程将在60分钟内采取有效措施，对设备进行修复，可有效避免污染物非正常排放。</w:t>
            </w:r>
          </w:p>
          <w:p w14:paraId="068B0CB2">
            <w:pPr>
              <w:keepNext w:val="0"/>
              <w:keepLines w:val="0"/>
              <w:pageBreakBefore w:val="0"/>
              <w:widowControl w:val="0"/>
              <w:kinsoku/>
              <w:wordWrap/>
              <w:overflowPunct/>
              <w:topLinePunct w:val="0"/>
              <w:autoSpaceDE/>
              <w:autoSpaceDN/>
              <w:bidi w:val="0"/>
              <w:adjustRightInd w:val="0"/>
              <w:snapToGrid w:val="0"/>
              <w:spacing w:line="440" w:lineRule="exact"/>
              <w:ind w:firstLine="442" w:firstLineChars="200"/>
              <w:textAlignment w:val="auto"/>
              <w:rPr>
                <w:rFonts w:hint="default" w:ascii="Times New Roman" w:hAnsi="Times New Roman" w:eastAsia="宋体" w:cs="Times New Roman"/>
                <w:b/>
                <w:color w:val="auto"/>
                <w:spacing w:val="-10"/>
                <w:sz w:val="24"/>
                <w:highlight w:val="none"/>
                <w:lang w:val="en-US" w:eastAsia="zh-CN"/>
              </w:rPr>
            </w:pPr>
            <w:r>
              <w:rPr>
                <w:rFonts w:hint="eastAsia" w:cs="Times New Roman"/>
                <w:b/>
                <w:color w:val="auto"/>
                <w:spacing w:val="-10"/>
                <w:sz w:val="24"/>
                <w:highlight w:val="none"/>
                <w:lang w:val="en-US" w:eastAsia="zh-CN"/>
              </w:rPr>
              <w:t>1.5</w:t>
            </w:r>
            <w:r>
              <w:rPr>
                <w:rFonts w:hint="default" w:ascii="Times New Roman" w:hAnsi="Times New Roman" w:eastAsia="宋体" w:cs="Times New Roman"/>
                <w:b/>
                <w:color w:val="auto"/>
                <w:spacing w:val="-10"/>
                <w:sz w:val="24"/>
                <w:highlight w:val="none"/>
                <w:lang w:val="en-US" w:eastAsia="zh-CN"/>
              </w:rPr>
              <w:t>监测计划</w:t>
            </w:r>
          </w:p>
          <w:p w14:paraId="4BA67E00">
            <w:pPr>
              <w:keepNext w:val="0"/>
              <w:keepLines w:val="0"/>
              <w:pageBreakBefore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b w:val="0"/>
                <w:bCs/>
                <w:color w:val="auto"/>
                <w:sz w:val="24"/>
                <w:highlight w:val="none"/>
                <w:lang w:val="en-US" w:eastAsia="zh-CN"/>
              </w:rPr>
              <w:t>根据《排污单位自行监测技术指南总则》（HJ819-2017）、《排污单位自行监测技术指南  农副食品加工》（HJ986-2018）中相关要求，结合本项目的自身特点，确定环境监测的主要工作内容，本项目废气监测计划见表4-4</w:t>
            </w:r>
            <w:r>
              <w:rPr>
                <w:rFonts w:hint="default" w:ascii="Times New Roman" w:hAnsi="Times New Roman" w:eastAsia="宋体" w:cs="Times New Roman"/>
                <w:color w:val="auto"/>
                <w:sz w:val="24"/>
                <w:szCs w:val="24"/>
                <w:highlight w:val="none"/>
              </w:rPr>
              <w:t>。</w:t>
            </w:r>
          </w:p>
          <w:p w14:paraId="50F6F98E">
            <w:pPr>
              <w:keepNext w:val="0"/>
              <w:keepLines w:val="0"/>
              <w:pageBreakBefore w:val="0"/>
              <w:kinsoku/>
              <w:wordWrap/>
              <w:overflowPunct/>
              <w:topLinePunct w:val="0"/>
              <w:autoSpaceDE/>
              <w:autoSpaceDN/>
              <w:bidi w:val="0"/>
              <w:spacing w:line="440" w:lineRule="exact"/>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表4</w:t>
            </w:r>
            <w:r>
              <w:rPr>
                <w:rFonts w:hint="eastAsia" w:cs="Times New Roman"/>
                <w:b/>
                <w:color w:val="auto"/>
                <w:sz w:val="24"/>
                <w:szCs w:val="24"/>
                <w:highlight w:val="none"/>
                <w:lang w:val="en-US" w:eastAsia="zh-CN"/>
              </w:rPr>
              <w:t>-4</w:t>
            </w:r>
            <w:r>
              <w:rPr>
                <w:rFonts w:hint="default" w:ascii="Times New Roman" w:hAnsi="Times New Roman" w:eastAsia="宋体" w:cs="Times New Roman"/>
                <w:b/>
                <w:color w:val="auto"/>
                <w:sz w:val="24"/>
                <w:szCs w:val="24"/>
                <w:highlight w:val="none"/>
              </w:rPr>
              <w:t xml:space="preserve">   运营期</w:t>
            </w:r>
            <w:r>
              <w:rPr>
                <w:rFonts w:hint="default" w:ascii="Times New Roman" w:hAnsi="Times New Roman" w:eastAsia="宋体" w:cs="Times New Roman"/>
                <w:b/>
                <w:color w:val="auto"/>
                <w:sz w:val="24"/>
                <w:szCs w:val="24"/>
                <w:highlight w:val="none"/>
                <w:lang w:val="en-US" w:eastAsia="zh-CN"/>
              </w:rPr>
              <w:t>废气</w:t>
            </w:r>
            <w:r>
              <w:rPr>
                <w:rFonts w:hint="default" w:ascii="Times New Roman" w:hAnsi="Times New Roman" w:eastAsia="宋体" w:cs="Times New Roman"/>
                <w:b/>
                <w:color w:val="auto"/>
                <w:sz w:val="24"/>
                <w:szCs w:val="24"/>
                <w:highlight w:val="none"/>
              </w:rPr>
              <w:t>监测计划一览表</w:t>
            </w:r>
          </w:p>
          <w:tbl>
            <w:tblPr>
              <w:tblStyle w:val="21"/>
              <w:tblW w:w="4966"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870"/>
              <w:gridCol w:w="1345"/>
              <w:gridCol w:w="1746"/>
              <w:gridCol w:w="2740"/>
              <w:gridCol w:w="1556"/>
            </w:tblGrid>
            <w:tr w14:paraId="3E221BC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5" w:hRule="atLeast"/>
                <w:jc w:val="center"/>
              </w:trPr>
              <w:tc>
                <w:tcPr>
                  <w:tcW w:w="526" w:type="pct"/>
                  <w:tcBorders>
                    <w:tl2br w:val="nil"/>
                    <w:tr2bl w:val="nil"/>
                  </w:tcBorders>
                  <w:noWrap w:val="0"/>
                  <w:vAlign w:val="center"/>
                </w:tcPr>
                <w:p w14:paraId="460A8049">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814" w:type="pct"/>
                  <w:tcBorders>
                    <w:tl2br w:val="nil"/>
                    <w:tr2bl w:val="nil"/>
                  </w:tcBorders>
                  <w:noWrap w:val="0"/>
                  <w:vAlign w:val="center"/>
                </w:tcPr>
                <w:p w14:paraId="6B8AEDFA">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1057" w:type="pct"/>
                  <w:tcBorders>
                    <w:tl2br w:val="nil"/>
                    <w:tr2bl w:val="nil"/>
                  </w:tcBorders>
                  <w:noWrap w:val="0"/>
                  <w:vAlign w:val="center"/>
                </w:tcPr>
                <w:p w14:paraId="0CE29BFE">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监测指标</w:t>
                  </w:r>
                </w:p>
              </w:tc>
              <w:tc>
                <w:tcPr>
                  <w:tcW w:w="1659" w:type="pct"/>
                  <w:tcBorders>
                    <w:tl2br w:val="nil"/>
                    <w:tr2bl w:val="nil"/>
                  </w:tcBorders>
                  <w:noWrap w:val="0"/>
                  <w:vAlign w:val="center"/>
                </w:tcPr>
                <w:p w14:paraId="73C2C1E1">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b/>
                      <w:bCs/>
                      <w:color w:val="auto"/>
                      <w:kern w:val="0"/>
                      <w:sz w:val="21"/>
                      <w:szCs w:val="21"/>
                      <w:highlight w:val="none"/>
                      <w:vertAlign w:val="baseline"/>
                      <w:lang w:val="en-US" w:eastAsia="zh-CN"/>
                    </w:rPr>
                    <w:t>执行标准</w:t>
                  </w:r>
                </w:p>
              </w:tc>
              <w:tc>
                <w:tcPr>
                  <w:tcW w:w="942" w:type="pct"/>
                  <w:tcBorders>
                    <w:tl2br w:val="nil"/>
                    <w:tr2bl w:val="nil"/>
                  </w:tcBorders>
                  <w:noWrap w:val="0"/>
                  <w:vAlign w:val="center"/>
                </w:tcPr>
                <w:p w14:paraId="653E9CD0">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r>
            <w:tr w14:paraId="63FF9289">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38" w:hRule="atLeast"/>
                <w:jc w:val="center"/>
              </w:trPr>
              <w:tc>
                <w:tcPr>
                  <w:tcW w:w="526" w:type="pct"/>
                  <w:tcBorders>
                    <w:tl2br w:val="nil"/>
                    <w:tr2bl w:val="nil"/>
                  </w:tcBorders>
                  <w:noWrap w:val="0"/>
                  <w:vAlign w:val="center"/>
                </w:tcPr>
                <w:p w14:paraId="22902C91">
                  <w:pPr>
                    <w:keepLines w:val="0"/>
                    <w:pageBreakBefore w:val="0"/>
                    <w:widowControl w:val="0"/>
                    <w:kinsoku/>
                    <w:wordWrap/>
                    <w:overflowPunct/>
                    <w:topLinePunct w:val="0"/>
                    <w:autoSpaceDE/>
                    <w:autoSpaceDN/>
                    <w:bidi w:val="0"/>
                    <w:adjustRightInd/>
                    <w:snapToGrid/>
                    <w:spacing w:line="240" w:lineRule="auto"/>
                    <w:contextualSpacing/>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有组织废气</w:t>
                  </w:r>
                </w:p>
              </w:tc>
              <w:tc>
                <w:tcPr>
                  <w:tcW w:w="814" w:type="pct"/>
                  <w:tcBorders>
                    <w:tl2br w:val="nil"/>
                    <w:tr2bl w:val="nil"/>
                  </w:tcBorders>
                  <w:noWrap w:val="0"/>
                  <w:vAlign w:val="center"/>
                </w:tcPr>
                <w:p w14:paraId="5C5197C5">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料胚储存筒仓进料口排放口</w:t>
                  </w:r>
                </w:p>
              </w:tc>
              <w:tc>
                <w:tcPr>
                  <w:tcW w:w="1057" w:type="pct"/>
                  <w:tcBorders>
                    <w:tl2br w:val="nil"/>
                    <w:tr2bl w:val="nil"/>
                  </w:tcBorders>
                  <w:noWrap w:val="0"/>
                  <w:vAlign w:val="center"/>
                </w:tcPr>
                <w:p w14:paraId="383A30BC">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1659" w:type="pct"/>
                  <w:tcBorders>
                    <w:tl2br w:val="nil"/>
                    <w:tr2bl w:val="nil"/>
                  </w:tcBorders>
                  <w:noWrap w:val="0"/>
                  <w:vAlign w:val="center"/>
                </w:tcPr>
                <w:p w14:paraId="65A3A948">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《大气污染物综合排放标准》（GB</w:t>
                  </w:r>
                  <w:r>
                    <w:rPr>
                      <w:rFonts w:ascii="Times New Roman" w:hAnsi="Times New Roman" w:eastAsia="宋体" w:cs="Times New Roman"/>
                      <w:color w:val="auto"/>
                      <w:sz w:val="21"/>
                      <w:szCs w:val="21"/>
                      <w:highlight w:val="none"/>
                    </w:rPr>
                    <w:t>16297-1996</w:t>
                  </w:r>
                  <w:r>
                    <w:rPr>
                      <w:rFonts w:hint="eastAsia" w:ascii="Times New Roman" w:hAnsi="Times New Roman" w:eastAsia="宋体" w:cs="Times New Roman"/>
                      <w:color w:val="auto"/>
                      <w:sz w:val="21"/>
                      <w:szCs w:val="21"/>
                      <w:highlight w:val="none"/>
                    </w:rPr>
                    <w:t>）表2中二级标准</w:t>
                  </w:r>
                </w:p>
              </w:tc>
              <w:tc>
                <w:tcPr>
                  <w:tcW w:w="942" w:type="pct"/>
                  <w:tcBorders>
                    <w:tl2br w:val="nil"/>
                    <w:tr2bl w:val="nil"/>
                  </w:tcBorders>
                  <w:noWrap w:val="0"/>
                  <w:vAlign w:val="center"/>
                </w:tcPr>
                <w:p w14:paraId="72EF2694">
                  <w:pPr>
                    <w:keepLines w:val="0"/>
                    <w:pageBreakBefore w:val="0"/>
                    <w:widowControl w:val="0"/>
                    <w:kinsoku/>
                    <w:wordWrap/>
                    <w:overflowPunct/>
                    <w:topLinePunct w:val="0"/>
                    <w:autoSpaceDE/>
                    <w:autoSpaceDN/>
                    <w:bidi w:val="0"/>
                    <w:adjustRightInd/>
                    <w:snapToGrid/>
                    <w:spacing w:line="240" w:lineRule="auto"/>
                    <w:contextualSpacing/>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1次</w:t>
                  </w:r>
                  <w:r>
                    <w:rPr>
                      <w:rFonts w:hint="eastAsia" w:cs="Times New Roman"/>
                      <w:color w:val="auto"/>
                      <w:sz w:val="21"/>
                      <w:szCs w:val="21"/>
                      <w:highlight w:val="none"/>
                      <w:lang w:val="en-US" w:eastAsia="zh-CN"/>
                    </w:rPr>
                    <w:t>半年</w:t>
                  </w:r>
                </w:p>
              </w:tc>
            </w:tr>
            <w:tr w14:paraId="4EC7B941">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45" w:hRule="atLeast"/>
                <w:jc w:val="center"/>
              </w:trPr>
              <w:tc>
                <w:tcPr>
                  <w:tcW w:w="526" w:type="pct"/>
                  <w:vMerge w:val="restart"/>
                  <w:tcBorders>
                    <w:tl2br w:val="nil"/>
                    <w:tr2bl w:val="nil"/>
                  </w:tcBorders>
                  <w:noWrap w:val="0"/>
                  <w:vAlign w:val="center"/>
                </w:tcPr>
                <w:p w14:paraId="0A57ED3A">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无组织废气</w:t>
                  </w:r>
                </w:p>
              </w:tc>
              <w:tc>
                <w:tcPr>
                  <w:tcW w:w="814" w:type="pct"/>
                  <w:tcBorders>
                    <w:tl2br w:val="nil"/>
                    <w:tr2bl w:val="nil"/>
                  </w:tcBorders>
                  <w:noWrap w:val="0"/>
                  <w:vAlign w:val="center"/>
                </w:tcPr>
                <w:p w14:paraId="64DB6F11">
                  <w:pPr>
                    <w:keepLines w:val="0"/>
                    <w:pageBreakBefore w:val="0"/>
                    <w:widowControl w:val="0"/>
                    <w:kinsoku/>
                    <w:wordWrap/>
                    <w:overflowPunct/>
                    <w:topLinePunct w:val="0"/>
                    <w:autoSpaceDE/>
                    <w:autoSpaceDN/>
                    <w:bidi w:val="0"/>
                    <w:adjustRightInd/>
                    <w:snapToGrid/>
                    <w:spacing w:line="240" w:lineRule="auto"/>
                    <w:contextualSpacing/>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厂界外四周</w:t>
                  </w:r>
                </w:p>
              </w:tc>
              <w:tc>
                <w:tcPr>
                  <w:tcW w:w="1057" w:type="pct"/>
                  <w:tcBorders>
                    <w:tl2br w:val="nil"/>
                    <w:tr2bl w:val="nil"/>
                  </w:tcBorders>
                  <w:noWrap w:val="0"/>
                  <w:vAlign w:val="center"/>
                </w:tcPr>
                <w:p w14:paraId="4C101B7C">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r>
                    <w:rPr>
                      <w:rFonts w:hint="eastAsia" w:cs="Times New Roman"/>
                      <w:color w:val="auto"/>
                      <w:sz w:val="21"/>
                      <w:szCs w:val="21"/>
                      <w:highlight w:val="none"/>
                      <w:lang w:val="en-US" w:eastAsia="zh-CN"/>
                    </w:rPr>
                    <w:t>、非甲烷总烃</w:t>
                  </w:r>
                </w:p>
              </w:tc>
              <w:tc>
                <w:tcPr>
                  <w:tcW w:w="1659" w:type="pct"/>
                  <w:tcBorders>
                    <w:tl2br w:val="nil"/>
                    <w:tr2bl w:val="nil"/>
                  </w:tcBorders>
                  <w:noWrap w:val="0"/>
                  <w:vAlign w:val="center"/>
                </w:tcPr>
                <w:p w14:paraId="3CB0BA3E">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《大气污染物综合排放标准》（GB16297-1996）表2中无组织排放限值中</w:t>
                  </w:r>
                  <w:r>
                    <w:rPr>
                      <w:rFonts w:hint="default" w:ascii="Times New Roman" w:hAnsi="Times New Roman" w:eastAsia="宋体" w:cs="Times New Roman"/>
                      <w:color w:val="auto"/>
                      <w:sz w:val="21"/>
                      <w:szCs w:val="21"/>
                      <w:highlight w:val="none"/>
                      <w:lang w:val="en-US" w:eastAsia="zh-CN"/>
                    </w:rPr>
                    <w:t>二级标准</w:t>
                  </w:r>
                </w:p>
              </w:tc>
              <w:tc>
                <w:tcPr>
                  <w:tcW w:w="942" w:type="pct"/>
                  <w:tcBorders>
                    <w:tl2br w:val="nil"/>
                    <w:tr2bl w:val="nil"/>
                  </w:tcBorders>
                  <w:noWrap w:val="0"/>
                  <w:vAlign w:val="center"/>
                </w:tcPr>
                <w:p w14:paraId="13E7D809">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1次/</w:t>
                  </w:r>
                  <w:r>
                    <w:rPr>
                      <w:rFonts w:hint="eastAsia" w:cs="Times New Roman"/>
                      <w:color w:val="auto"/>
                      <w:sz w:val="21"/>
                      <w:szCs w:val="21"/>
                      <w:highlight w:val="none"/>
                      <w:lang w:val="en-US" w:eastAsia="zh-CN"/>
                    </w:rPr>
                    <w:t>半年</w:t>
                  </w:r>
                </w:p>
              </w:tc>
            </w:tr>
            <w:tr w14:paraId="03798B0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PrEx>
              <w:trPr>
                <w:trHeight w:val="660" w:hRule="atLeast"/>
                <w:jc w:val="center"/>
              </w:trPr>
              <w:tc>
                <w:tcPr>
                  <w:tcW w:w="526" w:type="pct"/>
                  <w:vMerge w:val="continue"/>
                  <w:tcBorders>
                    <w:tl2br w:val="nil"/>
                    <w:tr2bl w:val="nil"/>
                  </w:tcBorders>
                  <w:noWrap w:val="0"/>
                  <w:vAlign w:val="center"/>
                </w:tcPr>
                <w:p w14:paraId="0ACC215F">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color w:val="auto"/>
                      <w:sz w:val="21"/>
                      <w:szCs w:val="21"/>
                      <w:highlight w:val="none"/>
                    </w:rPr>
                  </w:pPr>
                </w:p>
              </w:tc>
              <w:tc>
                <w:tcPr>
                  <w:tcW w:w="814" w:type="pct"/>
                  <w:tcBorders>
                    <w:tl2br w:val="nil"/>
                    <w:tr2bl w:val="nil"/>
                  </w:tcBorders>
                  <w:noWrap w:val="0"/>
                  <w:vAlign w:val="center"/>
                </w:tcPr>
                <w:p w14:paraId="099AA558">
                  <w:pPr>
                    <w:keepLines w:val="0"/>
                    <w:pageBreakBefore w:val="0"/>
                    <w:widowControl w:val="0"/>
                    <w:kinsoku/>
                    <w:wordWrap/>
                    <w:overflowPunct/>
                    <w:topLinePunct w:val="0"/>
                    <w:autoSpaceDE/>
                    <w:autoSpaceDN/>
                    <w:bidi w:val="0"/>
                    <w:adjustRightInd/>
                    <w:snapToGrid/>
                    <w:spacing w:line="240" w:lineRule="auto"/>
                    <w:contextualSpacing/>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厂界内、生产车间外</w:t>
                  </w:r>
                </w:p>
              </w:tc>
              <w:tc>
                <w:tcPr>
                  <w:tcW w:w="1057" w:type="pct"/>
                  <w:tcBorders>
                    <w:tl2br w:val="nil"/>
                    <w:tr2bl w:val="nil"/>
                  </w:tcBorders>
                  <w:noWrap w:val="0"/>
                  <w:vAlign w:val="center"/>
                </w:tcPr>
                <w:p w14:paraId="6387AB2E">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非甲烷总烃</w:t>
                  </w:r>
                </w:p>
              </w:tc>
              <w:tc>
                <w:tcPr>
                  <w:tcW w:w="1659" w:type="pct"/>
                  <w:tcBorders>
                    <w:tl2br w:val="nil"/>
                    <w:tr2bl w:val="nil"/>
                  </w:tcBorders>
                  <w:noWrap w:val="0"/>
                  <w:vAlign w:val="center"/>
                </w:tcPr>
                <w:p w14:paraId="083DF5A4">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《挥发性有机物无组织排放控制标准》</w:t>
                  </w:r>
                  <w:r>
                    <w:rPr>
                      <w:rFonts w:hint="eastAsia"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GB37822-2019</w:t>
                  </w:r>
                  <w:r>
                    <w:rPr>
                      <w:rFonts w:hint="eastAsia"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中限值要求</w:t>
                  </w:r>
                </w:p>
              </w:tc>
              <w:tc>
                <w:tcPr>
                  <w:tcW w:w="942" w:type="pct"/>
                  <w:tcBorders>
                    <w:tl2br w:val="nil"/>
                    <w:tr2bl w:val="nil"/>
                  </w:tcBorders>
                  <w:noWrap w:val="0"/>
                  <w:vAlign w:val="center"/>
                </w:tcPr>
                <w:p w14:paraId="31573F3E">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1次/</w:t>
                  </w:r>
                  <w:r>
                    <w:rPr>
                      <w:rFonts w:hint="eastAsia" w:cs="Times New Roman"/>
                      <w:color w:val="auto"/>
                      <w:sz w:val="21"/>
                      <w:szCs w:val="21"/>
                      <w:highlight w:val="none"/>
                      <w:lang w:val="en-US" w:eastAsia="zh-CN"/>
                    </w:rPr>
                    <w:t>半年</w:t>
                  </w:r>
                </w:p>
              </w:tc>
            </w:tr>
          </w:tbl>
          <w:p w14:paraId="327EB7CA">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sz w:val="24"/>
                <w:highlight w:val="none"/>
              </w:rPr>
              <w:t>废水</w:t>
            </w:r>
          </w:p>
          <w:p w14:paraId="21FE38EB">
            <w:pPr>
              <w:keepNext w:val="0"/>
              <w:keepLines w:val="0"/>
              <w:pageBreakBefore w:val="0"/>
              <w:widowControl w:val="0"/>
              <w:kinsoku/>
              <w:wordWrap/>
              <w:overflowPunct/>
              <w:topLinePunct w:val="0"/>
              <w:autoSpaceDE/>
              <w:autoSpaceDN/>
              <w:bidi w:val="0"/>
              <w:adjustRightInd w:val="0"/>
              <w:snapToGrid w:val="0"/>
              <w:spacing w:line="440" w:lineRule="exact"/>
              <w:ind w:firstLine="44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color w:val="auto"/>
                <w:spacing w:val="-10"/>
                <w:sz w:val="24"/>
                <w:highlight w:val="none"/>
                <w:lang w:val="en-US" w:eastAsia="zh-CN"/>
              </w:rPr>
              <w:t>2.1源强核算</w:t>
            </w:r>
          </w:p>
          <w:p w14:paraId="24BB52E2">
            <w:pPr>
              <w:pStyle w:val="11"/>
              <w:keepNext w:val="0"/>
              <w:keepLines w:val="0"/>
              <w:pageBreakBefore w:val="0"/>
              <w:kinsoku/>
              <w:wordWrap/>
              <w:overflowPunct/>
              <w:topLinePunct w:val="0"/>
              <w:autoSpaceDE/>
              <w:autoSpaceDN/>
              <w:bidi w:val="0"/>
              <w:adjustRightInd/>
              <w:snapToGrid/>
              <w:spacing w:line="440" w:lineRule="exact"/>
              <w:textAlignment w:val="auto"/>
              <w:rPr>
                <w:rFonts w:hint="default" w:cs="Times New Roman"/>
                <w:color w:val="auto"/>
                <w:kern w:val="0"/>
                <w:sz w:val="24"/>
                <w:szCs w:val="24"/>
                <w:highlight w:val="none"/>
                <w:lang w:val="en-US" w:eastAsia="zh-CN" w:bidi="ar"/>
              </w:rPr>
            </w:pPr>
            <w:r>
              <w:rPr>
                <w:rFonts w:hint="eastAsia" w:cs="Times New Roman"/>
                <w:color w:val="auto"/>
                <w:sz w:val="24"/>
                <w:szCs w:val="24"/>
                <w:highlight w:val="none"/>
                <w:lang w:val="en-US" w:eastAsia="zh-CN"/>
              </w:rPr>
              <w:t>根据前文计算本项目总的废水产生量为设备内部清洗废水</w:t>
            </w:r>
            <w:r>
              <w:rPr>
                <w:rFonts w:hint="eastAsia"/>
                <w:color w:val="auto"/>
                <w:sz w:val="24"/>
                <w:szCs w:val="21"/>
                <w:highlight w:val="none"/>
                <w:lang w:val="en-US" w:eastAsia="zh-CN"/>
              </w:rPr>
              <w:t>25t/a，生产废水</w:t>
            </w:r>
            <w:r>
              <w:rPr>
                <w:rFonts w:hint="eastAsia" w:cs="Times New Roman"/>
                <w:color w:val="auto"/>
                <w:kern w:val="0"/>
                <w:sz w:val="24"/>
                <w:szCs w:val="24"/>
                <w:highlight w:val="none"/>
                <w:lang w:val="en-US" w:eastAsia="zh-CN" w:bidi="ar"/>
              </w:rPr>
              <w:t>经厂区现有的处理能力为120m</w:t>
            </w:r>
            <w:r>
              <w:rPr>
                <w:rFonts w:hint="eastAsia" w:cs="Times New Roman"/>
                <w:color w:val="auto"/>
                <w:kern w:val="0"/>
                <w:sz w:val="24"/>
                <w:szCs w:val="24"/>
                <w:highlight w:val="none"/>
                <w:vertAlign w:val="superscript"/>
                <w:lang w:val="en-US" w:eastAsia="zh-CN" w:bidi="ar"/>
              </w:rPr>
              <w:t>3</w:t>
            </w:r>
            <w:r>
              <w:rPr>
                <w:rFonts w:hint="eastAsia" w:cs="Times New Roman"/>
                <w:color w:val="auto"/>
                <w:kern w:val="0"/>
                <w:sz w:val="24"/>
                <w:szCs w:val="24"/>
                <w:highlight w:val="none"/>
                <w:lang w:val="en-US" w:eastAsia="zh-CN" w:bidi="ar"/>
              </w:rPr>
              <w:t>/d、处理工艺为油水分离池+SBR（</w:t>
            </w:r>
            <w:r>
              <w:rPr>
                <w:rFonts w:ascii="Helvetica" w:hAnsi="Helvetica" w:eastAsia="Helvetica" w:cs="Helvetica"/>
                <w:i w:val="0"/>
                <w:iCs w:val="0"/>
                <w:caps w:val="0"/>
                <w:color w:val="auto"/>
                <w:spacing w:val="0"/>
                <w:sz w:val="24"/>
                <w:szCs w:val="24"/>
                <w:highlight w:val="none"/>
                <w:shd w:val="clear" w:fill="FFFFFF"/>
              </w:rPr>
              <w:t>均化</w:t>
            </w:r>
            <w:r>
              <w:rPr>
                <w:rFonts w:hint="eastAsia" w:ascii="Helvetica" w:hAnsi="Helvetica" w:eastAsia="宋体" w:cs="Helvetica"/>
                <w:i w:val="0"/>
                <w:iCs w:val="0"/>
                <w:caps w:val="0"/>
                <w:color w:val="auto"/>
                <w:spacing w:val="0"/>
                <w:sz w:val="24"/>
                <w:szCs w:val="24"/>
                <w:highlight w:val="none"/>
                <w:shd w:val="clear" w:fill="FFFFFF"/>
                <w:lang w:val="en-US" w:eastAsia="zh-CN"/>
              </w:rPr>
              <w:t>+</w:t>
            </w:r>
            <w:r>
              <w:rPr>
                <w:rFonts w:ascii="Helvetica" w:hAnsi="Helvetica" w:eastAsia="Helvetica" w:cs="Helvetica"/>
                <w:i w:val="0"/>
                <w:iCs w:val="0"/>
                <w:caps w:val="0"/>
                <w:color w:val="auto"/>
                <w:spacing w:val="0"/>
                <w:sz w:val="24"/>
                <w:szCs w:val="24"/>
                <w:highlight w:val="none"/>
                <w:shd w:val="clear" w:fill="FFFFFF"/>
              </w:rPr>
              <w:t>初沉</w:t>
            </w:r>
            <w:r>
              <w:rPr>
                <w:rFonts w:hint="eastAsia" w:ascii="Helvetica" w:hAnsi="Helvetica" w:eastAsia="宋体" w:cs="Helvetica"/>
                <w:i w:val="0"/>
                <w:iCs w:val="0"/>
                <w:caps w:val="0"/>
                <w:color w:val="auto"/>
                <w:spacing w:val="0"/>
                <w:sz w:val="24"/>
                <w:szCs w:val="24"/>
                <w:highlight w:val="none"/>
                <w:shd w:val="clear" w:fill="FFFFFF"/>
                <w:lang w:val="en-US" w:eastAsia="zh-CN"/>
              </w:rPr>
              <w:t>+</w:t>
            </w:r>
            <w:r>
              <w:rPr>
                <w:rFonts w:ascii="Helvetica" w:hAnsi="Helvetica" w:eastAsia="Helvetica" w:cs="Helvetica"/>
                <w:i w:val="0"/>
                <w:iCs w:val="0"/>
                <w:caps w:val="0"/>
                <w:color w:val="auto"/>
                <w:spacing w:val="0"/>
                <w:sz w:val="24"/>
                <w:szCs w:val="24"/>
                <w:highlight w:val="none"/>
                <w:shd w:val="clear" w:fill="FFFFFF"/>
              </w:rPr>
              <w:t>生物降解</w:t>
            </w:r>
            <w:r>
              <w:rPr>
                <w:rFonts w:hint="eastAsia" w:ascii="Helvetica" w:hAnsi="Helvetica" w:eastAsia="宋体" w:cs="Helvetica"/>
                <w:i w:val="0"/>
                <w:iCs w:val="0"/>
                <w:caps w:val="0"/>
                <w:color w:val="auto"/>
                <w:spacing w:val="0"/>
                <w:sz w:val="24"/>
                <w:szCs w:val="24"/>
                <w:highlight w:val="none"/>
                <w:shd w:val="clear" w:fill="FFFFFF"/>
                <w:lang w:val="en-US" w:eastAsia="zh-CN"/>
              </w:rPr>
              <w:t>+</w:t>
            </w:r>
            <w:r>
              <w:rPr>
                <w:rFonts w:ascii="Helvetica" w:hAnsi="Helvetica" w:eastAsia="Helvetica" w:cs="Helvetica"/>
                <w:i w:val="0"/>
                <w:iCs w:val="0"/>
                <w:caps w:val="0"/>
                <w:color w:val="auto"/>
                <w:spacing w:val="0"/>
                <w:sz w:val="24"/>
                <w:szCs w:val="24"/>
                <w:highlight w:val="none"/>
                <w:shd w:val="clear" w:fill="FFFFFF"/>
              </w:rPr>
              <w:t>二沉</w:t>
            </w:r>
            <w:r>
              <w:rPr>
                <w:rFonts w:hint="eastAsia" w:cs="Times New Roman"/>
                <w:color w:val="auto"/>
                <w:kern w:val="0"/>
                <w:sz w:val="24"/>
                <w:szCs w:val="24"/>
                <w:highlight w:val="none"/>
                <w:lang w:val="en-US" w:eastAsia="zh-CN" w:bidi="ar"/>
              </w:rPr>
              <w:t>）污水处理站处理后排入市政污水管网最终由磴口县中涵水务有限公司处理。</w:t>
            </w:r>
          </w:p>
          <w:p w14:paraId="13B28DA1">
            <w:pPr>
              <w:keepNext w:val="0"/>
              <w:keepLines w:val="0"/>
              <w:pageBreakBefore w:val="0"/>
              <w:widowControl w:val="0"/>
              <w:kinsoku/>
              <w:wordWrap/>
              <w:overflowPunct/>
              <w:topLinePunct w:val="0"/>
              <w:autoSpaceDE/>
              <w:autoSpaceDN/>
              <w:bidi w:val="0"/>
              <w:adjustRightInd/>
              <w:snapToGrid/>
              <w:spacing w:line="440" w:lineRule="exact"/>
              <w:ind w:firstLine="470" w:firstLineChars="196"/>
              <w:textAlignment w:val="auto"/>
              <w:rPr>
                <w:rFonts w:hint="default" w:ascii="Times New Roman" w:hAnsi="Times New Roman" w:eastAsia="宋体" w:cs="Times New Roman"/>
                <w:b/>
                <w:bCs/>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根据</w:t>
            </w:r>
            <w:r>
              <w:rPr>
                <w:rFonts w:hint="eastAsia"/>
                <w:color w:val="auto"/>
                <w:sz w:val="24"/>
                <w:szCs w:val="21"/>
                <w:highlight w:val="none"/>
              </w:rPr>
              <w:t>《</w:t>
            </w:r>
            <w:r>
              <w:rPr>
                <w:color w:val="auto"/>
                <w:sz w:val="24"/>
                <w:szCs w:val="21"/>
                <w:highlight w:val="none"/>
              </w:rPr>
              <w:t>排放源统计调查产排污核算方法和系数手册</w:t>
            </w:r>
            <w:r>
              <w:rPr>
                <w:rFonts w:hint="eastAsia"/>
                <w:color w:val="auto"/>
                <w:sz w:val="24"/>
                <w:szCs w:val="21"/>
                <w:highlight w:val="none"/>
                <w:lang w:val="en-US" w:eastAsia="zh-CN"/>
              </w:rPr>
              <w:t>-</w:t>
            </w:r>
            <w:r>
              <w:rPr>
                <w:rFonts w:hint="eastAsia" w:ascii="Times New Roman" w:hAnsi="Times New Roman" w:eastAsia="宋体" w:cs="Times New Roman"/>
                <w:color w:val="auto"/>
                <w:sz w:val="24"/>
                <w:szCs w:val="21"/>
                <w:highlight w:val="none"/>
                <w:lang w:val="en-US" w:eastAsia="zh-CN"/>
              </w:rPr>
              <w:t>1</w:t>
            </w:r>
            <w:r>
              <w:rPr>
                <w:rFonts w:hint="eastAsia" w:cs="Times New Roman"/>
                <w:color w:val="auto"/>
                <w:sz w:val="24"/>
                <w:szCs w:val="21"/>
                <w:highlight w:val="none"/>
                <w:lang w:val="en-US" w:eastAsia="zh-CN"/>
              </w:rPr>
              <w:t>331食用植物油加工行业</w:t>
            </w:r>
            <w:r>
              <w:rPr>
                <w:rFonts w:hint="eastAsia" w:ascii="Times New Roman" w:hAnsi="Times New Roman" w:eastAsia="宋体" w:cs="Times New Roman"/>
                <w:color w:val="auto"/>
                <w:sz w:val="24"/>
                <w:szCs w:val="21"/>
                <w:highlight w:val="none"/>
                <w:lang w:val="en-US" w:eastAsia="zh-CN"/>
              </w:rPr>
              <w:t>系数</w:t>
            </w:r>
            <w:r>
              <w:rPr>
                <w:rFonts w:hint="eastAsia" w:cs="Times New Roman"/>
                <w:color w:val="auto"/>
                <w:sz w:val="24"/>
                <w:szCs w:val="21"/>
                <w:highlight w:val="none"/>
                <w:lang w:val="en-US" w:eastAsia="zh-CN"/>
              </w:rPr>
              <w:t>手册》</w:t>
            </w:r>
            <w:r>
              <w:rPr>
                <w:rFonts w:hint="default" w:ascii="Times New Roman" w:hAnsi="Times New Roman" w:eastAsia="宋体" w:cs="Times New Roman"/>
                <w:color w:val="auto"/>
                <w:sz w:val="24"/>
                <w:szCs w:val="21"/>
                <w:highlight w:val="none"/>
              </w:rPr>
              <w:t>中给出的废水产污系数，</w:t>
            </w:r>
            <w:r>
              <w:rPr>
                <w:rFonts w:hint="eastAsia" w:cs="Times New Roman"/>
                <w:color w:val="auto"/>
                <w:sz w:val="24"/>
                <w:szCs w:val="21"/>
                <w:highlight w:val="none"/>
                <w:lang w:val="en-US" w:eastAsia="zh-CN"/>
              </w:rPr>
              <w:t>生产规模＜500吨-原料/天的精制油，清洗废水中产生的化学需氧量为1940克/吨－原料、总磷为15.9克/吨－原料、石油类为96.4克/吨－原料，</w:t>
            </w:r>
            <w:r>
              <w:rPr>
                <w:rFonts w:hint="eastAsia"/>
                <w:color w:val="auto"/>
                <w:sz w:val="24"/>
                <w:szCs w:val="21"/>
                <w:highlight w:val="none"/>
              </w:rPr>
              <w:t>项目每天</w:t>
            </w:r>
            <w:r>
              <w:rPr>
                <w:rFonts w:hint="eastAsia"/>
                <w:color w:val="auto"/>
                <w:sz w:val="24"/>
                <w:szCs w:val="21"/>
                <w:highlight w:val="none"/>
                <w:lang w:val="en-US" w:eastAsia="zh-CN"/>
              </w:rPr>
              <w:t>使用原料10t</w:t>
            </w:r>
            <w:r>
              <w:rPr>
                <w:rFonts w:hint="eastAsia"/>
                <w:color w:val="auto"/>
                <w:sz w:val="24"/>
                <w:szCs w:val="21"/>
                <w:highlight w:val="none"/>
              </w:rPr>
              <w:t>，</w:t>
            </w:r>
            <w:r>
              <w:rPr>
                <w:rFonts w:hint="eastAsia" w:cs="Times New Roman"/>
                <w:color w:val="auto"/>
                <w:kern w:val="0"/>
                <w:sz w:val="24"/>
                <w:szCs w:val="24"/>
                <w:highlight w:val="none"/>
                <w:lang w:val="en-US" w:eastAsia="zh-CN" w:bidi="ar"/>
              </w:rPr>
              <w:t>本项目废水产生浓度及产生量见表</w:t>
            </w:r>
            <w:r>
              <w:rPr>
                <w:rFonts w:hint="eastAsia" w:cs="Times New Roman"/>
                <w:b w:val="0"/>
                <w:bCs w:val="0"/>
                <w:color w:val="auto"/>
                <w:kern w:val="0"/>
                <w:sz w:val="24"/>
                <w:szCs w:val="24"/>
                <w:highlight w:val="none"/>
                <w:lang w:val="en-US" w:eastAsia="zh-CN" w:bidi="ar"/>
              </w:rPr>
              <w:t>4-5。</w:t>
            </w:r>
          </w:p>
          <w:p w14:paraId="7E23A6FE">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b/>
                <w:bCs/>
                <w:color w:val="auto"/>
                <w:sz w:val="24"/>
                <w:szCs w:val="24"/>
                <w:highlight w:val="none"/>
                <w:lang w:val="en-US" w:eastAsia="zh-CN"/>
              </w:rPr>
            </w:pPr>
            <w:r>
              <w:rPr>
                <w:rFonts w:hint="eastAsia"/>
                <w:b/>
                <w:bCs/>
                <w:color w:val="auto"/>
                <w:sz w:val="24"/>
                <w:szCs w:val="24"/>
                <w:highlight w:val="none"/>
                <w:lang w:val="en-US" w:eastAsia="zh-CN"/>
              </w:rPr>
              <w:t>表4-5本项目废水产排情况一览表</w:t>
            </w:r>
          </w:p>
          <w:tbl>
            <w:tblPr>
              <w:tblStyle w:val="22"/>
              <w:tblW w:w="837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8"/>
              <w:gridCol w:w="816"/>
              <w:gridCol w:w="804"/>
              <w:gridCol w:w="842"/>
              <w:gridCol w:w="822"/>
              <w:gridCol w:w="796"/>
              <w:gridCol w:w="1035"/>
              <w:gridCol w:w="900"/>
              <w:gridCol w:w="1533"/>
            </w:tblGrid>
            <w:tr w14:paraId="4EE74C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828" w:type="dxa"/>
                  <w:vMerge w:val="restart"/>
                  <w:tcBorders>
                    <w:tl2br w:val="nil"/>
                    <w:tr2bl w:val="nil"/>
                  </w:tcBorders>
                  <w:vAlign w:val="center"/>
                </w:tcPr>
                <w:p w14:paraId="594B82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废水种类</w:t>
                  </w:r>
                </w:p>
              </w:tc>
              <w:tc>
                <w:tcPr>
                  <w:tcW w:w="816" w:type="dxa"/>
                  <w:vMerge w:val="restart"/>
                  <w:tcBorders>
                    <w:tl2br w:val="nil"/>
                    <w:tr2bl w:val="nil"/>
                  </w:tcBorders>
                  <w:vAlign w:val="center"/>
                </w:tcPr>
                <w:p w14:paraId="735189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污染物名称</w:t>
                  </w:r>
                </w:p>
              </w:tc>
              <w:tc>
                <w:tcPr>
                  <w:tcW w:w="1646" w:type="dxa"/>
                  <w:gridSpan w:val="2"/>
                  <w:tcBorders>
                    <w:tl2br w:val="nil"/>
                    <w:tr2bl w:val="nil"/>
                  </w:tcBorders>
                  <w:vAlign w:val="center"/>
                </w:tcPr>
                <w:p w14:paraId="46C4BC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污染物产生情况</w:t>
                  </w:r>
                </w:p>
              </w:tc>
              <w:tc>
                <w:tcPr>
                  <w:tcW w:w="822" w:type="dxa"/>
                  <w:vMerge w:val="restart"/>
                  <w:tcBorders>
                    <w:tl2br w:val="nil"/>
                    <w:tr2bl w:val="nil"/>
                  </w:tcBorders>
                  <w:vAlign w:val="center"/>
                </w:tcPr>
                <w:p w14:paraId="4BFA0C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治理措施</w:t>
                  </w:r>
                </w:p>
              </w:tc>
              <w:tc>
                <w:tcPr>
                  <w:tcW w:w="796" w:type="dxa"/>
                  <w:vMerge w:val="restart"/>
                  <w:tcBorders>
                    <w:tl2br w:val="nil"/>
                    <w:tr2bl w:val="nil"/>
                  </w:tcBorders>
                  <w:vAlign w:val="center"/>
                </w:tcPr>
                <w:p w14:paraId="1E4CD0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去除率%</w:t>
                  </w:r>
                </w:p>
              </w:tc>
              <w:tc>
                <w:tcPr>
                  <w:tcW w:w="3468" w:type="dxa"/>
                  <w:gridSpan w:val="3"/>
                  <w:tcBorders>
                    <w:tl2br w:val="nil"/>
                    <w:tr2bl w:val="nil"/>
                  </w:tcBorders>
                  <w:vAlign w:val="center"/>
                </w:tcPr>
                <w:p w14:paraId="12B53B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污染物排放情况</w:t>
                  </w:r>
                </w:p>
              </w:tc>
            </w:tr>
            <w:tr w14:paraId="3DE77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8" w:hRule="atLeast"/>
              </w:trPr>
              <w:tc>
                <w:tcPr>
                  <w:tcW w:w="828" w:type="dxa"/>
                  <w:vMerge w:val="continue"/>
                  <w:tcBorders>
                    <w:tl2br w:val="nil"/>
                    <w:tr2bl w:val="nil"/>
                  </w:tcBorders>
                  <w:vAlign w:val="center"/>
                </w:tcPr>
                <w:p w14:paraId="5E193A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p>
              </w:tc>
              <w:tc>
                <w:tcPr>
                  <w:tcW w:w="816" w:type="dxa"/>
                  <w:vMerge w:val="continue"/>
                  <w:tcBorders>
                    <w:tl2br w:val="nil"/>
                    <w:tr2bl w:val="nil"/>
                  </w:tcBorders>
                  <w:vAlign w:val="center"/>
                </w:tcPr>
                <w:p w14:paraId="0CEB04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p>
              </w:tc>
              <w:tc>
                <w:tcPr>
                  <w:tcW w:w="804" w:type="dxa"/>
                  <w:tcBorders>
                    <w:tl2br w:val="nil"/>
                    <w:tr2bl w:val="nil"/>
                  </w:tcBorders>
                  <w:vAlign w:val="center"/>
                </w:tcPr>
                <w:p w14:paraId="509CF6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产生浓度</w:t>
                  </w:r>
                </w:p>
                <w:p w14:paraId="6CC829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mg/L</w:t>
                  </w:r>
                </w:p>
              </w:tc>
              <w:tc>
                <w:tcPr>
                  <w:tcW w:w="842" w:type="dxa"/>
                  <w:tcBorders>
                    <w:tl2br w:val="nil"/>
                    <w:tr2bl w:val="nil"/>
                  </w:tcBorders>
                  <w:vAlign w:val="center"/>
                </w:tcPr>
                <w:p w14:paraId="077E49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产生量t/a</w:t>
                  </w:r>
                </w:p>
              </w:tc>
              <w:tc>
                <w:tcPr>
                  <w:tcW w:w="822" w:type="dxa"/>
                  <w:vMerge w:val="continue"/>
                  <w:tcBorders>
                    <w:tl2br w:val="nil"/>
                    <w:tr2bl w:val="nil"/>
                  </w:tcBorders>
                  <w:vAlign w:val="center"/>
                </w:tcPr>
                <w:p w14:paraId="16B0DB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p>
              </w:tc>
              <w:tc>
                <w:tcPr>
                  <w:tcW w:w="796" w:type="dxa"/>
                  <w:vMerge w:val="continue"/>
                  <w:tcBorders>
                    <w:tl2br w:val="nil"/>
                    <w:tr2bl w:val="nil"/>
                  </w:tcBorders>
                  <w:vAlign w:val="center"/>
                </w:tcPr>
                <w:p w14:paraId="4A88A0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p>
              </w:tc>
              <w:tc>
                <w:tcPr>
                  <w:tcW w:w="1035" w:type="dxa"/>
                  <w:tcBorders>
                    <w:tl2br w:val="nil"/>
                    <w:tr2bl w:val="nil"/>
                  </w:tcBorders>
                  <w:vAlign w:val="center"/>
                </w:tcPr>
                <w:p w14:paraId="7DD04E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排放浓度mg/L</w:t>
                  </w:r>
                </w:p>
              </w:tc>
              <w:tc>
                <w:tcPr>
                  <w:tcW w:w="900" w:type="dxa"/>
                  <w:tcBorders>
                    <w:tl2br w:val="nil"/>
                    <w:tr2bl w:val="nil"/>
                  </w:tcBorders>
                  <w:vAlign w:val="center"/>
                </w:tcPr>
                <w:p w14:paraId="071706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排放量t/a</w:t>
                  </w:r>
                </w:p>
              </w:tc>
              <w:tc>
                <w:tcPr>
                  <w:tcW w:w="1533" w:type="dxa"/>
                  <w:tcBorders>
                    <w:tl2br w:val="nil"/>
                    <w:tr2bl w:val="nil"/>
                  </w:tcBorders>
                  <w:vAlign w:val="center"/>
                </w:tcPr>
                <w:p w14:paraId="4DA978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排放去向</w:t>
                  </w:r>
                </w:p>
              </w:tc>
            </w:tr>
            <w:tr w14:paraId="4B8DFF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828" w:type="dxa"/>
                  <w:vMerge w:val="restart"/>
                  <w:tcBorders>
                    <w:tl2br w:val="nil"/>
                    <w:tr2bl w:val="nil"/>
                  </w:tcBorders>
                  <w:vAlign w:val="center"/>
                </w:tcPr>
                <w:p w14:paraId="189BA4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设备内部清洗水</w:t>
                  </w:r>
                </w:p>
                <w:p w14:paraId="412662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25t/a</w:t>
                  </w:r>
                </w:p>
              </w:tc>
              <w:tc>
                <w:tcPr>
                  <w:tcW w:w="816" w:type="dxa"/>
                  <w:tcBorders>
                    <w:tl2br w:val="nil"/>
                    <w:tr2bl w:val="nil"/>
                  </w:tcBorders>
                  <w:vAlign w:val="center"/>
                </w:tcPr>
                <w:p w14:paraId="76C904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COD</w:t>
                  </w:r>
                </w:p>
              </w:tc>
              <w:tc>
                <w:tcPr>
                  <w:tcW w:w="804" w:type="dxa"/>
                  <w:tcBorders>
                    <w:tl2br w:val="nil"/>
                    <w:tr2bl w:val="nil"/>
                  </w:tcBorders>
                  <w:vAlign w:val="center"/>
                </w:tcPr>
                <w:p w14:paraId="5AAFCB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760</w:t>
                  </w:r>
                </w:p>
              </w:tc>
              <w:tc>
                <w:tcPr>
                  <w:tcW w:w="842" w:type="dxa"/>
                  <w:tcBorders>
                    <w:tl2br w:val="nil"/>
                    <w:tr2bl w:val="nil"/>
                  </w:tcBorders>
                  <w:vAlign w:val="center"/>
                </w:tcPr>
                <w:p w14:paraId="48FB64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0.019</w:t>
                  </w:r>
                </w:p>
              </w:tc>
              <w:tc>
                <w:tcPr>
                  <w:tcW w:w="822" w:type="dxa"/>
                  <w:vMerge w:val="restart"/>
                  <w:tcBorders>
                    <w:tl2br w:val="nil"/>
                    <w:tr2bl w:val="nil"/>
                  </w:tcBorders>
                  <w:vAlign w:val="center"/>
                </w:tcPr>
                <w:p w14:paraId="5B3AAB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油水分离池+SBR（均化+初沉+生物降解+二沉）</w:t>
                  </w:r>
                </w:p>
              </w:tc>
              <w:tc>
                <w:tcPr>
                  <w:tcW w:w="796" w:type="dxa"/>
                  <w:tcBorders>
                    <w:tl2br w:val="nil"/>
                    <w:tr2bl w:val="nil"/>
                  </w:tcBorders>
                  <w:vAlign w:val="center"/>
                </w:tcPr>
                <w:p w14:paraId="2B648C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94.93</w:t>
                  </w:r>
                </w:p>
              </w:tc>
              <w:tc>
                <w:tcPr>
                  <w:tcW w:w="1035" w:type="dxa"/>
                  <w:tcBorders>
                    <w:tl2br w:val="nil"/>
                    <w:tr2bl w:val="nil"/>
                  </w:tcBorders>
                  <w:vAlign w:val="center"/>
                </w:tcPr>
                <w:p w14:paraId="34934E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38.5</w:t>
                  </w:r>
                </w:p>
              </w:tc>
              <w:tc>
                <w:tcPr>
                  <w:tcW w:w="900" w:type="dxa"/>
                  <w:tcBorders>
                    <w:tl2br w:val="nil"/>
                    <w:tr2bl w:val="nil"/>
                  </w:tcBorders>
                  <w:vAlign w:val="center"/>
                </w:tcPr>
                <w:p w14:paraId="745157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0.00096</w:t>
                  </w:r>
                </w:p>
              </w:tc>
              <w:tc>
                <w:tcPr>
                  <w:tcW w:w="1533" w:type="dxa"/>
                  <w:vMerge w:val="restart"/>
                  <w:tcBorders>
                    <w:tl2br w:val="nil"/>
                    <w:tr2bl w:val="nil"/>
                  </w:tcBorders>
                  <w:vAlign w:val="center"/>
                </w:tcPr>
                <w:p w14:paraId="406535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排放至市政污水管网后由磴口县中涵水务有限公司最终处理</w:t>
                  </w:r>
                </w:p>
              </w:tc>
            </w:tr>
            <w:tr w14:paraId="2C18B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828" w:type="dxa"/>
                  <w:vMerge w:val="continue"/>
                  <w:tcBorders>
                    <w:tl2br w:val="nil"/>
                    <w:tr2bl w:val="nil"/>
                  </w:tcBorders>
                  <w:vAlign w:val="center"/>
                </w:tcPr>
                <w:p w14:paraId="3E6B38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p>
              </w:tc>
              <w:tc>
                <w:tcPr>
                  <w:tcW w:w="816" w:type="dxa"/>
                  <w:tcBorders>
                    <w:tl2br w:val="nil"/>
                    <w:tr2bl w:val="nil"/>
                  </w:tcBorders>
                  <w:vAlign w:val="center"/>
                </w:tcPr>
                <w:p w14:paraId="5BEFCA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总磷</w:t>
                  </w:r>
                </w:p>
              </w:tc>
              <w:tc>
                <w:tcPr>
                  <w:tcW w:w="804" w:type="dxa"/>
                  <w:tcBorders>
                    <w:tl2br w:val="nil"/>
                    <w:tr2bl w:val="nil"/>
                  </w:tcBorders>
                  <w:vAlign w:val="center"/>
                </w:tcPr>
                <w:p w14:paraId="072125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6.4</w:t>
                  </w:r>
                </w:p>
              </w:tc>
              <w:tc>
                <w:tcPr>
                  <w:tcW w:w="842" w:type="dxa"/>
                  <w:tcBorders>
                    <w:tl2br w:val="nil"/>
                    <w:tr2bl w:val="nil"/>
                  </w:tcBorders>
                  <w:vAlign w:val="center"/>
                </w:tcPr>
                <w:p w14:paraId="57ABF9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0.00016</w:t>
                  </w:r>
                </w:p>
              </w:tc>
              <w:tc>
                <w:tcPr>
                  <w:tcW w:w="822" w:type="dxa"/>
                  <w:vMerge w:val="continue"/>
                  <w:tcBorders>
                    <w:tl2br w:val="nil"/>
                    <w:tr2bl w:val="nil"/>
                  </w:tcBorders>
                  <w:vAlign w:val="center"/>
                </w:tcPr>
                <w:p w14:paraId="18DD82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p>
              </w:tc>
              <w:tc>
                <w:tcPr>
                  <w:tcW w:w="796" w:type="dxa"/>
                  <w:tcBorders>
                    <w:tl2br w:val="nil"/>
                    <w:tr2bl w:val="nil"/>
                  </w:tcBorders>
                  <w:vAlign w:val="center"/>
                </w:tcPr>
                <w:p w14:paraId="627C0A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67.47</w:t>
                  </w:r>
                </w:p>
              </w:tc>
              <w:tc>
                <w:tcPr>
                  <w:tcW w:w="1035" w:type="dxa"/>
                  <w:tcBorders>
                    <w:tl2br w:val="nil"/>
                    <w:tr2bl w:val="nil"/>
                  </w:tcBorders>
                  <w:vAlign w:val="center"/>
                </w:tcPr>
                <w:p w14:paraId="7EF7F7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2.08</w:t>
                  </w:r>
                </w:p>
              </w:tc>
              <w:tc>
                <w:tcPr>
                  <w:tcW w:w="900" w:type="dxa"/>
                  <w:tcBorders>
                    <w:tl2br w:val="nil"/>
                    <w:tr2bl w:val="nil"/>
                  </w:tcBorders>
                  <w:vAlign w:val="center"/>
                </w:tcPr>
                <w:p w14:paraId="076ECF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0.000052</w:t>
                  </w:r>
                </w:p>
              </w:tc>
              <w:tc>
                <w:tcPr>
                  <w:tcW w:w="1533" w:type="dxa"/>
                  <w:vMerge w:val="continue"/>
                  <w:tcBorders>
                    <w:tl2br w:val="nil"/>
                    <w:tr2bl w:val="nil"/>
                  </w:tcBorders>
                  <w:vAlign w:val="center"/>
                </w:tcPr>
                <w:p w14:paraId="4EE579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z w:val="21"/>
                      <w:szCs w:val="21"/>
                      <w:highlight w:val="none"/>
                      <w:vertAlign w:val="baseline"/>
                      <w:lang w:val="en-US" w:eastAsia="zh-CN"/>
                    </w:rPr>
                  </w:pPr>
                </w:p>
              </w:tc>
            </w:tr>
            <w:tr w14:paraId="6639EF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828" w:type="dxa"/>
                  <w:vMerge w:val="continue"/>
                  <w:tcBorders>
                    <w:tl2br w:val="nil"/>
                    <w:tr2bl w:val="nil"/>
                  </w:tcBorders>
                  <w:vAlign w:val="center"/>
                </w:tcPr>
                <w:p w14:paraId="580BD6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p>
              </w:tc>
              <w:tc>
                <w:tcPr>
                  <w:tcW w:w="816" w:type="dxa"/>
                  <w:tcBorders>
                    <w:tl2br w:val="nil"/>
                    <w:tr2bl w:val="nil"/>
                  </w:tcBorders>
                  <w:vAlign w:val="center"/>
                </w:tcPr>
                <w:p w14:paraId="7B0ED7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动植物油</w:t>
                  </w:r>
                </w:p>
              </w:tc>
              <w:tc>
                <w:tcPr>
                  <w:tcW w:w="804" w:type="dxa"/>
                  <w:tcBorders>
                    <w:tl2br w:val="nil"/>
                    <w:tr2bl w:val="nil"/>
                  </w:tcBorders>
                  <w:vAlign w:val="center"/>
                </w:tcPr>
                <w:p w14:paraId="19CC14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37.6</w:t>
                  </w:r>
                </w:p>
              </w:tc>
              <w:tc>
                <w:tcPr>
                  <w:tcW w:w="842" w:type="dxa"/>
                  <w:tcBorders>
                    <w:tl2br w:val="nil"/>
                    <w:tr2bl w:val="nil"/>
                  </w:tcBorders>
                  <w:vAlign w:val="center"/>
                </w:tcPr>
                <w:p w14:paraId="053E6A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0.00094</w:t>
                  </w:r>
                </w:p>
              </w:tc>
              <w:tc>
                <w:tcPr>
                  <w:tcW w:w="822" w:type="dxa"/>
                  <w:vMerge w:val="continue"/>
                  <w:tcBorders>
                    <w:tl2br w:val="nil"/>
                    <w:tr2bl w:val="nil"/>
                  </w:tcBorders>
                  <w:vAlign w:val="center"/>
                </w:tcPr>
                <w:p w14:paraId="3E6A61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p>
              </w:tc>
              <w:tc>
                <w:tcPr>
                  <w:tcW w:w="796" w:type="dxa"/>
                  <w:tcBorders>
                    <w:tl2br w:val="nil"/>
                    <w:tr2bl w:val="nil"/>
                  </w:tcBorders>
                  <w:vAlign w:val="center"/>
                </w:tcPr>
                <w:p w14:paraId="22B96F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89.42</w:t>
                  </w:r>
                </w:p>
              </w:tc>
              <w:tc>
                <w:tcPr>
                  <w:tcW w:w="1035" w:type="dxa"/>
                  <w:tcBorders>
                    <w:tl2br w:val="nil"/>
                    <w:tr2bl w:val="nil"/>
                  </w:tcBorders>
                  <w:vAlign w:val="center"/>
                </w:tcPr>
                <w:p w14:paraId="17D57F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3.97</w:t>
                  </w:r>
                </w:p>
              </w:tc>
              <w:tc>
                <w:tcPr>
                  <w:tcW w:w="900" w:type="dxa"/>
                  <w:tcBorders>
                    <w:tl2br w:val="nil"/>
                    <w:tr2bl w:val="nil"/>
                  </w:tcBorders>
                  <w:vAlign w:val="center"/>
                </w:tcPr>
                <w:p w14:paraId="6B1E12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0.0086</w:t>
                  </w:r>
                </w:p>
              </w:tc>
              <w:tc>
                <w:tcPr>
                  <w:tcW w:w="1533" w:type="dxa"/>
                  <w:vMerge w:val="continue"/>
                  <w:tcBorders>
                    <w:tl2br w:val="nil"/>
                    <w:tr2bl w:val="nil"/>
                  </w:tcBorders>
                  <w:vAlign w:val="center"/>
                </w:tcPr>
                <w:p w14:paraId="0F76ED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z w:val="21"/>
                      <w:szCs w:val="21"/>
                      <w:highlight w:val="none"/>
                      <w:vertAlign w:val="baseline"/>
                      <w:lang w:val="en-US" w:eastAsia="zh-CN"/>
                    </w:rPr>
                  </w:pPr>
                </w:p>
              </w:tc>
            </w:tr>
          </w:tbl>
          <w:p w14:paraId="4E281776">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b/>
                <w:bCs/>
                <w:color w:val="auto"/>
                <w:sz w:val="24"/>
                <w:highlight w:val="none"/>
                <w:lang w:val="en-US" w:eastAsia="zh-CN"/>
              </w:rPr>
              <w:t>2.2污染处理措施可行性分析</w:t>
            </w:r>
          </w:p>
          <w:p w14:paraId="220E9DC2">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b/>
                <w:bCs/>
                <w:color w:val="auto"/>
                <w:sz w:val="24"/>
                <w:highlight w:val="none"/>
                <w:lang w:val="en-US" w:eastAsia="zh-CN"/>
              </w:rPr>
            </w:pPr>
            <w:r>
              <w:rPr>
                <w:rFonts w:hint="eastAsia"/>
                <w:b w:val="0"/>
                <w:bCs w:val="0"/>
                <w:color w:val="auto"/>
                <w:sz w:val="24"/>
                <w:szCs w:val="24"/>
                <w:highlight w:val="none"/>
                <w:lang w:val="en-US" w:eastAsia="zh-CN"/>
              </w:rPr>
              <w:t>本项目生产废水</w:t>
            </w:r>
            <w:r>
              <w:rPr>
                <w:rFonts w:hint="eastAsia" w:ascii="Times New Roman" w:hAnsi="Times New Roman" w:eastAsia="宋体" w:cs="Times New Roman"/>
                <w:b w:val="0"/>
                <w:bCs w:val="0"/>
                <w:color w:val="auto"/>
                <w:sz w:val="24"/>
                <w:szCs w:val="24"/>
                <w:highlight w:val="none"/>
                <w:vertAlign w:val="baseline"/>
                <w:lang w:val="en-US" w:eastAsia="zh-CN"/>
              </w:rPr>
              <w:t>经</w:t>
            </w:r>
            <w:r>
              <w:rPr>
                <w:rFonts w:hint="eastAsia" w:cs="Times New Roman"/>
                <w:b w:val="0"/>
                <w:bCs w:val="0"/>
                <w:color w:val="auto"/>
                <w:sz w:val="24"/>
                <w:szCs w:val="24"/>
                <w:highlight w:val="none"/>
                <w:vertAlign w:val="baseline"/>
                <w:lang w:val="en-US" w:eastAsia="zh-CN"/>
              </w:rPr>
              <w:t>厂区现有的</w:t>
            </w:r>
            <w:r>
              <w:rPr>
                <w:rFonts w:hint="eastAsia" w:ascii="Times New Roman" w:hAnsi="Times New Roman" w:eastAsia="宋体" w:cs="Times New Roman"/>
                <w:b w:val="0"/>
                <w:bCs w:val="0"/>
                <w:color w:val="auto"/>
                <w:sz w:val="24"/>
                <w:szCs w:val="24"/>
                <w:highlight w:val="none"/>
                <w:vertAlign w:val="baseline"/>
                <w:lang w:val="en-US" w:eastAsia="zh-CN"/>
              </w:rPr>
              <w:t>处理能力为</w:t>
            </w:r>
            <w:r>
              <w:rPr>
                <w:rFonts w:hint="eastAsia" w:cs="Times New Roman"/>
                <w:b w:val="0"/>
                <w:bCs w:val="0"/>
                <w:color w:val="auto"/>
                <w:sz w:val="24"/>
                <w:szCs w:val="24"/>
                <w:highlight w:val="none"/>
                <w:vertAlign w:val="baseline"/>
                <w:lang w:val="en-US" w:eastAsia="zh-CN"/>
              </w:rPr>
              <w:t>120</w:t>
            </w:r>
            <w:r>
              <w:rPr>
                <w:rFonts w:hint="eastAsia" w:ascii="Times New Roman" w:hAnsi="Times New Roman" w:eastAsia="宋体" w:cs="Times New Roman"/>
                <w:b w:val="0"/>
                <w:bCs w:val="0"/>
                <w:color w:val="auto"/>
                <w:sz w:val="24"/>
                <w:szCs w:val="24"/>
                <w:highlight w:val="none"/>
                <w:vertAlign w:val="baseline"/>
                <w:lang w:val="en-US" w:eastAsia="zh-CN"/>
              </w:rPr>
              <w:t>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/d</w:t>
            </w:r>
            <w:r>
              <w:rPr>
                <w:rFonts w:hint="eastAsia" w:cs="Times New Roman"/>
                <w:b w:val="0"/>
                <w:bCs w:val="0"/>
                <w:color w:val="auto"/>
                <w:sz w:val="24"/>
                <w:szCs w:val="24"/>
                <w:highlight w:val="none"/>
                <w:vertAlign w:val="baseline"/>
                <w:lang w:val="en-US" w:eastAsia="zh-CN"/>
              </w:rPr>
              <w:t>，处理工艺为水油分离池+SBR</w:t>
            </w:r>
            <w:r>
              <w:rPr>
                <w:rFonts w:hint="eastAsia" w:ascii="Times New Roman" w:hAnsi="Times New Roman" w:eastAsia="宋体" w:cs="Times New Roman"/>
                <w:b w:val="0"/>
                <w:bCs w:val="0"/>
                <w:color w:val="auto"/>
                <w:sz w:val="24"/>
                <w:szCs w:val="24"/>
                <w:highlight w:val="none"/>
                <w:vertAlign w:val="baseline"/>
                <w:lang w:val="en-US" w:eastAsia="zh-CN"/>
              </w:rPr>
              <w:t>的</w:t>
            </w:r>
            <w:r>
              <w:rPr>
                <w:rFonts w:hint="eastAsia" w:cs="Times New Roman"/>
                <w:b w:val="0"/>
                <w:bCs w:val="0"/>
                <w:color w:val="auto"/>
                <w:sz w:val="24"/>
                <w:szCs w:val="24"/>
                <w:highlight w:val="none"/>
                <w:vertAlign w:val="baseline"/>
                <w:lang w:val="en-US" w:eastAsia="zh-CN"/>
              </w:rPr>
              <w:t>污水处理站处理后排放至市政污水管网后由磴口县中涵水务有限公司最终处理</w:t>
            </w:r>
            <w:r>
              <w:rPr>
                <w:rFonts w:hint="eastAsia" w:ascii="Times New Roman" w:hAnsi="Times New Roman" w:eastAsia="宋体" w:cs="Times New Roman"/>
                <w:b w:val="0"/>
                <w:bCs w:val="0"/>
                <w:color w:val="auto"/>
                <w:sz w:val="24"/>
                <w:szCs w:val="24"/>
                <w:highlight w:val="none"/>
                <w:vertAlign w:val="baseline"/>
                <w:lang w:val="en-US" w:eastAsia="zh-CN"/>
              </w:rPr>
              <w:t>。</w:t>
            </w:r>
          </w:p>
          <w:p w14:paraId="1AC8350B">
            <w:pPr>
              <w:pStyle w:val="58"/>
              <w:keepNext w:val="0"/>
              <w:keepLines w:val="0"/>
              <w:pageBreakBefore w:val="0"/>
              <w:widowControl w:val="0"/>
              <w:kinsoku/>
              <w:wordWrap/>
              <w:overflowPunct/>
              <w:topLinePunct w:val="0"/>
              <w:autoSpaceDE/>
              <w:autoSpaceDN/>
              <w:bidi w:val="0"/>
              <w:spacing w:line="440" w:lineRule="exact"/>
              <w:textAlignment w:val="auto"/>
              <w:rPr>
                <w:rFonts w:hint="eastAsia" w:cs="Times New Roman"/>
                <w:b w:val="0"/>
                <w:bCs w:val="0"/>
                <w:color w:val="auto"/>
                <w:sz w:val="24"/>
                <w:highlight w:val="none"/>
                <w:lang w:val="en-US" w:eastAsia="zh-CN"/>
              </w:rPr>
            </w:pPr>
            <w:r>
              <w:rPr>
                <w:rFonts w:hint="default" w:cs="Times New Roman"/>
                <w:b w:val="0"/>
                <w:bCs w:val="0"/>
                <w:color w:val="auto"/>
                <w:sz w:val="24"/>
                <w:highlight w:val="none"/>
                <w:lang w:val="en-US" w:eastAsia="zh-CN"/>
              </w:rPr>
              <w:t>项目设备外部清洗过程中会产生废水，废水中含有以微细泥颗粒为主的悬浮物质（SS），本项目</w:t>
            </w:r>
            <w:r>
              <w:rPr>
                <w:rFonts w:hint="eastAsia" w:cs="Times New Roman"/>
                <w:b w:val="0"/>
                <w:bCs w:val="0"/>
                <w:color w:val="auto"/>
                <w:sz w:val="24"/>
                <w:highlight w:val="none"/>
                <w:lang w:val="en-US" w:eastAsia="zh-CN"/>
              </w:rPr>
              <w:t>利</w:t>
            </w:r>
            <w:r>
              <w:rPr>
                <w:rFonts w:hint="default" w:cs="Times New Roman"/>
                <w:b w:val="0"/>
                <w:bCs w:val="0"/>
                <w:color w:val="auto"/>
                <w:sz w:val="24"/>
                <w:highlight w:val="none"/>
                <w:lang w:val="en-US" w:eastAsia="zh-CN"/>
              </w:rPr>
              <w:t>用</w:t>
            </w:r>
            <w:r>
              <w:rPr>
                <w:rFonts w:hint="eastAsia" w:cs="Times New Roman"/>
                <w:b w:val="0"/>
                <w:bCs w:val="0"/>
                <w:color w:val="auto"/>
                <w:sz w:val="24"/>
                <w:highlight w:val="none"/>
                <w:lang w:val="en-US" w:eastAsia="zh-CN"/>
              </w:rPr>
              <w:t>厂区现有的污水处理站“油水分离池+</w:t>
            </w:r>
            <w:r>
              <w:rPr>
                <w:rFonts w:ascii="Helvetica" w:hAnsi="Helvetica" w:eastAsia="Helvetica" w:cs="Helvetica"/>
                <w:i w:val="0"/>
                <w:iCs w:val="0"/>
                <w:caps w:val="0"/>
                <w:color w:val="auto"/>
                <w:spacing w:val="0"/>
                <w:sz w:val="24"/>
                <w:szCs w:val="24"/>
                <w:highlight w:val="none"/>
                <w:shd w:val="clear" w:fill="FFFFFF"/>
              </w:rPr>
              <w:t>均化</w:t>
            </w:r>
            <w:r>
              <w:rPr>
                <w:rFonts w:hint="eastAsia" w:ascii="Helvetica" w:hAnsi="Helvetica" w:eastAsia="宋体" w:cs="Helvetica"/>
                <w:i w:val="0"/>
                <w:iCs w:val="0"/>
                <w:caps w:val="0"/>
                <w:color w:val="auto"/>
                <w:spacing w:val="0"/>
                <w:sz w:val="24"/>
                <w:szCs w:val="24"/>
                <w:highlight w:val="none"/>
                <w:shd w:val="clear" w:fill="FFFFFF"/>
                <w:lang w:val="en-US" w:eastAsia="zh-CN"/>
              </w:rPr>
              <w:t>+</w:t>
            </w:r>
            <w:r>
              <w:rPr>
                <w:rFonts w:ascii="Helvetica" w:hAnsi="Helvetica" w:eastAsia="Helvetica" w:cs="Helvetica"/>
                <w:i w:val="0"/>
                <w:iCs w:val="0"/>
                <w:caps w:val="0"/>
                <w:color w:val="auto"/>
                <w:spacing w:val="0"/>
                <w:sz w:val="24"/>
                <w:szCs w:val="24"/>
                <w:highlight w:val="none"/>
                <w:shd w:val="clear" w:fill="FFFFFF"/>
              </w:rPr>
              <w:t>初沉</w:t>
            </w:r>
            <w:r>
              <w:rPr>
                <w:rFonts w:hint="eastAsia" w:ascii="Helvetica" w:hAnsi="Helvetica" w:eastAsia="宋体" w:cs="Helvetica"/>
                <w:i w:val="0"/>
                <w:iCs w:val="0"/>
                <w:caps w:val="0"/>
                <w:color w:val="auto"/>
                <w:spacing w:val="0"/>
                <w:sz w:val="24"/>
                <w:szCs w:val="24"/>
                <w:highlight w:val="none"/>
                <w:shd w:val="clear" w:fill="FFFFFF"/>
                <w:lang w:val="en-US" w:eastAsia="zh-CN"/>
              </w:rPr>
              <w:t>+</w:t>
            </w:r>
            <w:r>
              <w:rPr>
                <w:rFonts w:ascii="Helvetica" w:hAnsi="Helvetica" w:eastAsia="Helvetica" w:cs="Helvetica"/>
                <w:i w:val="0"/>
                <w:iCs w:val="0"/>
                <w:caps w:val="0"/>
                <w:color w:val="auto"/>
                <w:spacing w:val="0"/>
                <w:sz w:val="24"/>
                <w:szCs w:val="24"/>
                <w:highlight w:val="none"/>
                <w:shd w:val="clear" w:fill="FFFFFF"/>
              </w:rPr>
              <w:t>生物降解</w:t>
            </w:r>
            <w:r>
              <w:rPr>
                <w:rFonts w:hint="eastAsia" w:ascii="Helvetica" w:hAnsi="Helvetica" w:eastAsia="宋体" w:cs="Helvetica"/>
                <w:i w:val="0"/>
                <w:iCs w:val="0"/>
                <w:caps w:val="0"/>
                <w:color w:val="auto"/>
                <w:spacing w:val="0"/>
                <w:sz w:val="24"/>
                <w:szCs w:val="24"/>
                <w:highlight w:val="none"/>
                <w:shd w:val="clear" w:fill="FFFFFF"/>
                <w:lang w:val="en-US" w:eastAsia="zh-CN"/>
              </w:rPr>
              <w:t>+</w:t>
            </w:r>
            <w:r>
              <w:rPr>
                <w:rFonts w:ascii="Helvetica" w:hAnsi="Helvetica" w:eastAsia="Helvetica" w:cs="Helvetica"/>
                <w:i w:val="0"/>
                <w:iCs w:val="0"/>
                <w:caps w:val="0"/>
                <w:color w:val="auto"/>
                <w:spacing w:val="0"/>
                <w:sz w:val="24"/>
                <w:szCs w:val="24"/>
                <w:highlight w:val="none"/>
                <w:shd w:val="clear" w:fill="FFFFFF"/>
              </w:rPr>
              <w:t>二沉</w:t>
            </w:r>
            <w:r>
              <w:rPr>
                <w:rFonts w:hint="eastAsia" w:cs="Times New Roman"/>
                <w:b w:val="0"/>
                <w:bCs w:val="0"/>
                <w:color w:val="auto"/>
                <w:sz w:val="24"/>
                <w:highlight w:val="none"/>
                <w:lang w:val="en-US" w:eastAsia="zh-CN"/>
              </w:rPr>
              <w:t>”</w:t>
            </w:r>
            <w:r>
              <w:rPr>
                <w:rFonts w:hint="default" w:cs="Times New Roman"/>
                <w:b w:val="0"/>
                <w:bCs w:val="0"/>
                <w:color w:val="auto"/>
                <w:sz w:val="24"/>
                <w:highlight w:val="none"/>
                <w:lang w:val="en-US" w:eastAsia="zh-CN"/>
              </w:rPr>
              <w:t>处理工艺对废水进行处理</w:t>
            </w:r>
            <w:r>
              <w:rPr>
                <w:rFonts w:hint="eastAsia" w:cs="Times New Roman"/>
                <w:b w:val="0"/>
                <w:bCs w:val="0"/>
                <w:color w:val="auto"/>
                <w:sz w:val="24"/>
                <w:highlight w:val="none"/>
                <w:lang w:val="en-US" w:eastAsia="zh-CN"/>
              </w:rPr>
              <w:t>，</w:t>
            </w:r>
            <w:r>
              <w:rPr>
                <w:rFonts w:hint="eastAsia" w:cs="Times New Roman"/>
                <w:b w:val="0"/>
                <w:bCs w:val="0"/>
                <w:color w:val="auto"/>
                <w:sz w:val="24"/>
                <w:szCs w:val="24"/>
                <w:highlight w:val="none"/>
                <w:vertAlign w:val="baseline"/>
                <w:lang w:val="en-US" w:eastAsia="zh-CN"/>
              </w:rPr>
              <w:t>依据《</w:t>
            </w:r>
            <w:r>
              <w:rPr>
                <w:rFonts w:hint="default" w:ascii="Times New Roman" w:hAnsi="Times New Roman" w:eastAsia="宋体" w:cs="Times New Roman"/>
                <w:i w:val="0"/>
                <w:iCs w:val="0"/>
                <w:caps w:val="0"/>
                <w:color w:val="auto"/>
                <w:spacing w:val="0"/>
                <w:sz w:val="24"/>
                <w:szCs w:val="24"/>
                <w:highlight w:val="none"/>
                <w:shd w:val="clear" w:fill="FFFFFF"/>
              </w:rPr>
              <w:t>排污许可证申请与核发技术规范 农副食品加工工业—饲料加工、植物油加工工业</w:t>
            </w:r>
            <w:r>
              <w:rPr>
                <w:rFonts w:hint="eastAsia"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（HJ1</w:t>
            </w:r>
            <w:r>
              <w:rPr>
                <w:rFonts w:hint="eastAsia" w:cs="Times New Roman"/>
                <w:i w:val="0"/>
                <w:iCs w:val="0"/>
                <w:caps w:val="0"/>
                <w:color w:val="auto"/>
                <w:spacing w:val="0"/>
                <w:sz w:val="24"/>
                <w:szCs w:val="24"/>
                <w:highlight w:val="none"/>
                <w:shd w:val="clear" w:fill="FFFFFF"/>
                <w:lang w:val="en-US" w:eastAsia="zh-CN"/>
              </w:rPr>
              <w:t>110</w:t>
            </w:r>
            <w:r>
              <w:rPr>
                <w:rFonts w:hint="default" w:ascii="Times New Roman" w:hAnsi="Times New Roman" w:eastAsia="宋体" w:cs="Times New Roman"/>
                <w:i w:val="0"/>
                <w:iCs w:val="0"/>
                <w:caps w:val="0"/>
                <w:color w:val="auto"/>
                <w:spacing w:val="0"/>
                <w:sz w:val="24"/>
                <w:szCs w:val="24"/>
                <w:highlight w:val="none"/>
                <w:shd w:val="clear" w:fill="FFFFFF"/>
              </w:rPr>
              <w:t>-20</w:t>
            </w:r>
            <w:r>
              <w:rPr>
                <w:rFonts w:hint="eastAsia" w:cs="Times New Roman"/>
                <w:i w:val="0"/>
                <w:iCs w:val="0"/>
                <w:caps w:val="0"/>
                <w:color w:val="auto"/>
                <w:spacing w:val="0"/>
                <w:sz w:val="24"/>
                <w:szCs w:val="24"/>
                <w:highlight w:val="none"/>
                <w:shd w:val="clear" w:fill="FFFFFF"/>
                <w:lang w:val="en-US" w:eastAsia="zh-CN"/>
              </w:rPr>
              <w:t>20</w:t>
            </w:r>
            <w:r>
              <w:rPr>
                <w:rFonts w:hint="default" w:ascii="Times New Roman" w:hAnsi="Times New Roman" w:eastAsia="宋体" w:cs="Times New Roman"/>
                <w:i w:val="0"/>
                <w:iCs w:val="0"/>
                <w:caps w:val="0"/>
                <w:color w:val="auto"/>
                <w:spacing w:val="0"/>
                <w:sz w:val="24"/>
                <w:szCs w:val="24"/>
                <w:highlight w:val="none"/>
                <w:shd w:val="clear" w:fill="FFFFFF"/>
              </w:rPr>
              <w:t>）</w:t>
            </w:r>
            <w:r>
              <w:rPr>
                <w:rFonts w:hint="eastAsia" w:ascii="Times New Roman" w:hAnsi="Times New Roman" w:eastAsia="宋体" w:cs="Times New Roman"/>
                <w:i w:val="0"/>
                <w:iCs w:val="0"/>
                <w:caps w:val="0"/>
                <w:color w:val="auto"/>
                <w:spacing w:val="0"/>
                <w:sz w:val="24"/>
                <w:szCs w:val="24"/>
                <w:highlight w:val="none"/>
                <w:shd w:val="clear" w:fill="FFFFFF"/>
                <w:lang w:val="en-US" w:eastAsia="zh-CN"/>
              </w:rPr>
              <w:t>中</w:t>
            </w:r>
            <w:r>
              <w:rPr>
                <w:rFonts w:hint="eastAsia" w:cs="Times New Roman"/>
                <w:i w:val="0"/>
                <w:iCs w:val="0"/>
                <w:caps w:val="0"/>
                <w:color w:val="auto"/>
                <w:spacing w:val="0"/>
                <w:sz w:val="24"/>
                <w:szCs w:val="24"/>
                <w:highlight w:val="none"/>
                <w:shd w:val="clear" w:fill="FFFFFF"/>
                <w:lang w:val="en-US" w:eastAsia="zh-CN"/>
              </w:rPr>
              <w:t>附录B</w:t>
            </w:r>
            <w:r>
              <w:rPr>
                <w:rFonts w:hint="eastAsia" w:ascii="Times New Roman" w:hAnsi="Times New Roman" w:eastAsia="宋体" w:cs="Times New Roman"/>
                <w:i w:val="0"/>
                <w:iCs w:val="0"/>
                <w:caps w:val="0"/>
                <w:color w:val="auto"/>
                <w:spacing w:val="0"/>
                <w:sz w:val="24"/>
                <w:szCs w:val="24"/>
                <w:highlight w:val="none"/>
                <w:shd w:val="clear" w:fill="FFFFFF"/>
                <w:lang w:val="en-US" w:eastAsia="zh-CN"/>
              </w:rPr>
              <w:t>废水污染防治可行性技术参考表，</w:t>
            </w:r>
            <w:r>
              <w:rPr>
                <w:rFonts w:hint="eastAsia" w:cs="Times New Roman"/>
                <w:i w:val="0"/>
                <w:iCs w:val="0"/>
                <w:caps w:val="0"/>
                <w:color w:val="auto"/>
                <w:spacing w:val="0"/>
                <w:sz w:val="24"/>
                <w:szCs w:val="24"/>
                <w:highlight w:val="none"/>
                <w:shd w:val="clear" w:fill="FFFFFF"/>
                <w:lang w:val="en-US" w:eastAsia="zh-CN"/>
              </w:rPr>
              <w:t>油水分离池+</w:t>
            </w:r>
            <w:r>
              <w:rPr>
                <w:rFonts w:hint="eastAsia" w:cs="Times New Roman"/>
                <w:b w:val="0"/>
                <w:bCs w:val="0"/>
                <w:color w:val="auto"/>
                <w:sz w:val="24"/>
                <w:szCs w:val="24"/>
                <w:highlight w:val="none"/>
                <w:vertAlign w:val="baseline"/>
                <w:lang w:val="en-US" w:eastAsia="zh-CN"/>
              </w:rPr>
              <w:t>SBR工艺</w:t>
            </w:r>
            <w:r>
              <w:rPr>
                <w:rFonts w:hint="eastAsia" w:cs="Times New Roman"/>
                <w:color w:val="auto"/>
                <w:kern w:val="0"/>
                <w:sz w:val="24"/>
                <w:szCs w:val="24"/>
                <w:highlight w:val="none"/>
                <w:lang w:val="en-US" w:eastAsia="zh-CN" w:bidi="ar"/>
              </w:rPr>
              <w:t>属于该规范中可行性技术，处理措施可行。</w:t>
            </w:r>
            <w:r>
              <w:rPr>
                <w:rFonts w:hint="eastAsia" w:cs="Times New Roman"/>
                <w:b w:val="0"/>
                <w:bCs w:val="0"/>
                <w:color w:val="auto"/>
                <w:sz w:val="24"/>
                <w:highlight w:val="none"/>
                <w:lang w:val="en-US" w:eastAsia="zh-CN"/>
              </w:rPr>
              <w:t>本项目生产废水经上述工艺流程处理后能满足《污水综合排放标准》（GB8978-1996）中三级标准限值。</w:t>
            </w:r>
          </w:p>
          <w:p w14:paraId="36BBF5D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eastAsia" w:cs="Times New Roman"/>
                <w:b w:val="0"/>
                <w:bCs w:val="0"/>
                <w:color w:val="auto"/>
                <w:sz w:val="24"/>
                <w:highlight w:val="none"/>
                <w:lang w:val="en-US" w:eastAsia="zh-CN"/>
              </w:rPr>
              <w:t>本项目生产的废水量</w:t>
            </w:r>
            <w:r>
              <w:rPr>
                <w:rFonts w:hint="eastAsia"/>
                <w:color w:val="auto"/>
                <w:sz w:val="24"/>
                <w:szCs w:val="21"/>
                <w:highlight w:val="none"/>
                <w:lang w:val="en-US" w:eastAsia="zh-CN"/>
              </w:rPr>
              <w:t>为25t/a</w:t>
            </w:r>
            <w:r>
              <w:rPr>
                <w:rFonts w:hint="eastAsia"/>
                <w:bCs/>
                <w:color w:val="auto"/>
                <w:sz w:val="24"/>
                <w:highlight w:val="none"/>
                <w:lang w:val="en-US" w:eastAsia="zh-CN"/>
              </w:rPr>
              <w:t>，厂区现有污水处理站处理能力为120</w:t>
            </w:r>
            <w:r>
              <w:rPr>
                <w:rFonts w:hint="eastAsia" w:ascii="Times New Roman" w:hAnsi="Times New Roman" w:eastAsia="宋体" w:cs="Times New Roman"/>
                <w:b w:val="0"/>
                <w:bCs w:val="0"/>
                <w:color w:val="auto"/>
                <w:sz w:val="24"/>
                <w:szCs w:val="24"/>
                <w:highlight w:val="none"/>
                <w:vertAlign w:val="baseline"/>
                <w:lang w:val="en-US" w:eastAsia="zh-CN"/>
              </w:rPr>
              <w:t>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vertAlign w:val="baseline"/>
                <w:lang w:val="en-US" w:eastAsia="zh-CN"/>
              </w:rPr>
              <w:t>/d， 根据建设单位提供的资料，目前厂区污水处理站处理日规模为90吨每天，25+90t/d＜120</w:t>
            </w:r>
            <w:r>
              <w:rPr>
                <w:rFonts w:hint="eastAsia" w:ascii="Times New Roman" w:hAnsi="Times New Roman" w:eastAsia="宋体" w:cs="Times New Roman"/>
                <w:b w:val="0"/>
                <w:bCs w:val="0"/>
                <w:color w:val="auto"/>
                <w:sz w:val="24"/>
                <w:szCs w:val="24"/>
                <w:highlight w:val="none"/>
                <w:vertAlign w:val="baseline"/>
                <w:lang w:val="en-US" w:eastAsia="zh-CN"/>
              </w:rPr>
              <w:t>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vertAlign w:val="baseline"/>
                <w:lang w:val="en-US" w:eastAsia="zh-CN"/>
              </w:rPr>
              <w:t>/d，故厂区污水处理站余量能够满足项目需求；</w:t>
            </w:r>
            <w:r>
              <w:rPr>
                <w:rFonts w:hint="eastAsia"/>
                <w:color w:val="auto"/>
                <w:sz w:val="24"/>
                <w:szCs w:val="24"/>
                <w:highlight w:val="none"/>
                <w:lang w:val="en-US" w:eastAsia="zh-CN"/>
              </w:rPr>
              <w:t>磴口县中涵水务有限公司污水处理厂处理规模达到30000</w:t>
            </w:r>
            <w:r>
              <w:rPr>
                <w:rFonts w:hint="eastAsia" w:ascii="Times New Roman" w:hAnsi="Times New Roman" w:eastAsia="宋体" w:cs="Times New Roman"/>
                <w:b w:val="0"/>
                <w:bCs w:val="0"/>
                <w:color w:val="auto"/>
                <w:sz w:val="24"/>
                <w:szCs w:val="24"/>
                <w:highlight w:val="none"/>
                <w:vertAlign w:val="baseline"/>
                <w:lang w:val="en-US" w:eastAsia="zh-CN"/>
              </w:rPr>
              <w:t>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vertAlign w:val="baseline"/>
                <w:lang w:val="en-US" w:eastAsia="zh-CN"/>
              </w:rPr>
              <w:t>/d，10950000</w:t>
            </w:r>
            <w:r>
              <w:rPr>
                <w:rFonts w:hint="eastAsia" w:ascii="Times New Roman" w:hAnsi="Times New Roman" w:eastAsia="宋体" w:cs="Times New Roman"/>
                <w:b w:val="0"/>
                <w:bCs w:val="0"/>
                <w:color w:val="auto"/>
                <w:sz w:val="24"/>
                <w:szCs w:val="24"/>
                <w:highlight w:val="none"/>
                <w:vertAlign w:val="baseline"/>
                <w:lang w:val="en-US" w:eastAsia="zh-CN"/>
              </w:rPr>
              <w:t>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vertAlign w:val="baseline"/>
                <w:lang w:val="en-US" w:eastAsia="zh-CN"/>
              </w:rPr>
              <w:t>/a，根据其</w:t>
            </w:r>
            <w:r>
              <w:rPr>
                <w:rFonts w:hint="eastAsia"/>
                <w:color w:val="auto"/>
                <w:sz w:val="24"/>
                <w:szCs w:val="24"/>
                <w:highlight w:val="none"/>
                <w:lang w:val="en-US" w:eastAsia="zh-CN"/>
              </w:rPr>
              <w:t>进出水统计报表，截止2023年12月对园区污水处理厂</w:t>
            </w:r>
            <w:r>
              <w:rPr>
                <w:rFonts w:hint="eastAsia" w:eastAsia="宋体" w:cs="Times New Roman"/>
                <w:i w:val="0"/>
                <w:iCs w:val="0"/>
                <w:color w:val="auto"/>
                <w:kern w:val="0"/>
                <w:sz w:val="24"/>
                <w:szCs w:val="24"/>
                <w:highlight w:val="none"/>
                <w:u w:val="none"/>
                <w:lang w:val="en-US" w:eastAsia="zh-CN" w:bidi="ar"/>
              </w:rPr>
              <w:t>20</w:t>
            </w:r>
            <w:r>
              <w:rPr>
                <w:rFonts w:hint="eastAsia" w:cs="Times New Roman"/>
                <w:i w:val="0"/>
                <w:iCs w:val="0"/>
                <w:color w:val="auto"/>
                <w:kern w:val="0"/>
                <w:sz w:val="24"/>
                <w:szCs w:val="24"/>
                <w:highlight w:val="none"/>
                <w:u w:val="none"/>
                <w:lang w:val="en-US" w:eastAsia="zh-CN" w:bidi="ar"/>
              </w:rPr>
              <w:t>22</w:t>
            </w:r>
            <w:r>
              <w:rPr>
                <w:rFonts w:hint="eastAsia" w:eastAsia="宋体" w:cs="Times New Roman"/>
                <w:i w:val="0"/>
                <w:iCs w:val="0"/>
                <w:color w:val="auto"/>
                <w:kern w:val="0"/>
                <w:sz w:val="24"/>
                <w:szCs w:val="24"/>
                <w:highlight w:val="none"/>
                <w:u w:val="none"/>
                <w:lang w:val="en-US" w:eastAsia="zh-CN" w:bidi="ar"/>
              </w:rPr>
              <w:t>年</w:t>
            </w:r>
            <w:r>
              <w:rPr>
                <w:rFonts w:hint="eastAsia" w:cs="Times New Roman"/>
                <w:i w:val="0"/>
                <w:iCs w:val="0"/>
                <w:color w:val="auto"/>
                <w:kern w:val="0"/>
                <w:sz w:val="24"/>
                <w:szCs w:val="24"/>
                <w:highlight w:val="none"/>
                <w:u w:val="none"/>
                <w:lang w:val="en-US" w:eastAsia="zh-CN" w:bidi="ar"/>
              </w:rPr>
              <w:t>全年</w:t>
            </w:r>
            <w:r>
              <w:rPr>
                <w:rFonts w:hint="eastAsia"/>
                <w:color w:val="auto"/>
                <w:sz w:val="24"/>
                <w:szCs w:val="24"/>
                <w:highlight w:val="none"/>
                <w:lang w:val="en-US" w:eastAsia="zh-CN"/>
              </w:rPr>
              <w:t>园区工业企业排水量进行统计，污水排放量为2953949.2m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/a（8094m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/d），本项目排放的污水为25+8094m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/d＜30000m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/d，故本项目排放的污水不会对磴口县中涵水务有限公司污水处理厂水量进行冲击。</w:t>
            </w:r>
          </w:p>
          <w:p w14:paraId="18D0C895">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cs="Times New Roman"/>
                <w:b/>
                <w:bCs/>
                <w:color w:val="auto"/>
                <w:sz w:val="24"/>
                <w:szCs w:val="24"/>
                <w:highlight w:val="none"/>
                <w:vertAlign w:val="baseline"/>
                <w:lang w:val="en-US" w:eastAsia="zh-CN"/>
              </w:rPr>
            </w:pPr>
            <w:r>
              <w:rPr>
                <w:rFonts w:hint="eastAsia" w:cs="Times New Roman"/>
                <w:b/>
                <w:bCs/>
                <w:color w:val="auto"/>
                <w:sz w:val="24"/>
                <w:szCs w:val="24"/>
                <w:highlight w:val="none"/>
                <w:vertAlign w:val="baseline"/>
                <w:lang w:val="en-US" w:eastAsia="zh-CN"/>
              </w:rPr>
              <w:t>2.3废水监测计划</w:t>
            </w:r>
          </w:p>
          <w:p w14:paraId="6210803C">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480" w:firstLineChars="200"/>
              <w:textAlignment w:val="auto"/>
              <w:rPr>
                <w:rFonts w:hint="eastAsia"/>
                <w:color w:val="auto"/>
                <w:sz w:val="24"/>
                <w:szCs w:val="24"/>
                <w:highlight w:val="none"/>
                <w:lang w:val="en-US" w:eastAsia="zh-CN"/>
              </w:rPr>
            </w:pPr>
            <w:r>
              <w:rPr>
                <w:rFonts w:hint="eastAsia" w:cs="Times New Roman"/>
                <w:b w:val="0"/>
                <w:bCs/>
                <w:color w:val="auto"/>
                <w:sz w:val="24"/>
                <w:highlight w:val="none"/>
                <w:lang w:val="en-US" w:eastAsia="zh-CN"/>
              </w:rPr>
              <w:t>根据《排污单位自行监测技术指南总则》（HJ819-2017）、《排污单位自行监测技术指南  农副食品加工》（HJ986-2018）中相关要求，结合本项目的自身特点，确定环境监测的主要工作内容，</w:t>
            </w:r>
            <w:r>
              <w:rPr>
                <w:rFonts w:hint="eastAsia"/>
                <w:color w:val="auto"/>
                <w:sz w:val="24"/>
                <w:szCs w:val="24"/>
                <w:highlight w:val="none"/>
                <w:lang w:val="en-US" w:eastAsia="zh-CN"/>
              </w:rPr>
              <w:t>本项目废水依托现有污水处理站，监测依托现有厂区监测计划。</w:t>
            </w:r>
          </w:p>
          <w:p w14:paraId="4595E9D6">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482" w:firstLineChars="200"/>
              <w:textAlignment w:val="auto"/>
              <w:rPr>
                <w:rFonts w:hint="eastAsia" w:ascii="Times New Roman" w:hAnsi="Times New Roman" w:eastAsia="宋体" w:cs="Times New Roman"/>
                <w:b/>
                <w:bCs/>
                <w:color w:val="auto"/>
                <w:sz w:val="24"/>
                <w:szCs w:val="21"/>
                <w:highlight w:val="none"/>
                <w:lang w:eastAsia="zh-CN"/>
              </w:rPr>
            </w:pPr>
            <w:r>
              <w:rPr>
                <w:rFonts w:hint="default" w:ascii="Times New Roman" w:hAnsi="Times New Roman" w:eastAsia="宋体" w:cs="Times New Roman"/>
                <w:b/>
                <w:bCs/>
                <w:color w:val="auto"/>
                <w:kern w:val="2"/>
                <w:sz w:val="24"/>
                <w:szCs w:val="21"/>
                <w:highlight w:val="none"/>
                <w:lang w:val="en-US" w:eastAsia="zh-CN" w:bidi="ar-SA"/>
              </w:rPr>
              <w:t>3、</w:t>
            </w:r>
            <w:r>
              <w:rPr>
                <w:rFonts w:hint="default" w:ascii="Times New Roman" w:hAnsi="Times New Roman" w:eastAsia="宋体" w:cs="Times New Roman"/>
                <w:b/>
                <w:bCs/>
                <w:color w:val="auto"/>
                <w:sz w:val="24"/>
                <w:szCs w:val="21"/>
                <w:highlight w:val="none"/>
              </w:rPr>
              <w:t>噪声</w:t>
            </w:r>
          </w:p>
          <w:p w14:paraId="6BEF199F">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2" w:firstLineChars="200"/>
              <w:textAlignment w:val="auto"/>
              <w:rPr>
                <w:rFonts w:hint="default" w:ascii="Times New Roman" w:hAnsi="Times New Roman" w:eastAsia="宋体" w:cs="Times New Roman"/>
                <w:b/>
                <w:bCs/>
                <w:color w:val="auto"/>
                <w:sz w:val="24"/>
                <w:szCs w:val="21"/>
                <w:highlight w:val="none"/>
                <w:lang w:val="en-US" w:eastAsia="zh-CN"/>
              </w:rPr>
            </w:pPr>
            <w:r>
              <w:rPr>
                <w:rFonts w:hint="default" w:ascii="Times New Roman" w:hAnsi="Times New Roman" w:eastAsia="宋体" w:cs="Times New Roman"/>
                <w:b/>
                <w:bCs/>
                <w:color w:val="auto"/>
                <w:sz w:val="24"/>
                <w:szCs w:val="21"/>
                <w:highlight w:val="none"/>
                <w:lang w:val="en-US" w:eastAsia="zh-CN"/>
              </w:rPr>
              <w:t>3.1噪声产生情况</w:t>
            </w:r>
          </w:p>
          <w:p w14:paraId="70E7CF5B">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1"/>
                <w:highlight w:val="none"/>
                <w:lang w:val="en-US" w:eastAsia="zh-CN"/>
              </w:rPr>
            </w:pPr>
            <w:r>
              <w:rPr>
                <w:rFonts w:hint="default" w:ascii="Times New Roman" w:hAnsi="Times New Roman" w:eastAsia="宋体" w:cs="Times New Roman"/>
                <w:b w:val="0"/>
                <w:bCs w:val="0"/>
                <w:color w:val="auto"/>
                <w:sz w:val="24"/>
                <w:szCs w:val="21"/>
                <w:highlight w:val="none"/>
                <w:lang w:val="en-US" w:eastAsia="zh-CN"/>
              </w:rPr>
              <w:t>（1）主要噪声源及源强分布</w:t>
            </w:r>
          </w:p>
          <w:p w14:paraId="7AB49700">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pacing w:val="-10"/>
                <w:szCs w:val="21"/>
                <w:highlight w:val="none"/>
              </w:rPr>
            </w:pPr>
            <w:r>
              <w:rPr>
                <w:rFonts w:hint="default" w:ascii="Times New Roman" w:hAnsi="Times New Roman" w:eastAsia="宋体" w:cs="Times New Roman"/>
                <w:bCs/>
                <w:color w:val="auto"/>
                <w:sz w:val="24"/>
                <w:szCs w:val="21"/>
                <w:highlight w:val="none"/>
              </w:rPr>
              <w:t>本项目厂界</w:t>
            </w:r>
            <w:r>
              <w:rPr>
                <w:rFonts w:hint="default" w:ascii="Times New Roman" w:hAnsi="Times New Roman" w:eastAsia="宋体" w:cs="Times New Roman"/>
                <w:bCs/>
                <w:color w:val="auto"/>
                <w:sz w:val="24"/>
                <w:szCs w:val="21"/>
                <w:highlight w:val="none"/>
                <w:lang w:val="en-US" w:eastAsia="zh-CN"/>
              </w:rPr>
              <w:t>50</w:t>
            </w:r>
            <w:r>
              <w:rPr>
                <w:rFonts w:hint="default" w:ascii="Times New Roman" w:hAnsi="Times New Roman" w:eastAsia="宋体" w:cs="Times New Roman"/>
                <w:bCs/>
                <w:color w:val="auto"/>
                <w:sz w:val="24"/>
                <w:szCs w:val="21"/>
                <w:highlight w:val="none"/>
              </w:rPr>
              <w:t>m范围内无噪声敏感点，营运期噪声本</w:t>
            </w:r>
            <w:r>
              <w:rPr>
                <w:rFonts w:hint="eastAsia" w:cs="Times New Roman"/>
                <w:bCs/>
                <w:color w:val="auto"/>
                <w:sz w:val="24"/>
                <w:szCs w:val="21"/>
                <w:highlight w:val="none"/>
                <w:lang w:eastAsia="zh-CN"/>
              </w:rPr>
              <w:t>项目</w:t>
            </w:r>
            <w:r>
              <w:rPr>
                <w:rFonts w:hint="default" w:ascii="Times New Roman" w:hAnsi="Times New Roman" w:eastAsia="宋体" w:cs="Times New Roman"/>
                <w:bCs/>
                <w:color w:val="auto"/>
                <w:sz w:val="24"/>
                <w:szCs w:val="21"/>
                <w:highlight w:val="none"/>
              </w:rPr>
              <w:t>噪声主要来源于</w:t>
            </w:r>
            <w:r>
              <w:rPr>
                <w:rFonts w:hint="default" w:ascii="Times New Roman" w:hAnsi="Times New Roman" w:eastAsia="宋体" w:cs="Times New Roman"/>
                <w:bCs/>
                <w:color w:val="auto"/>
                <w:sz w:val="24"/>
                <w:szCs w:val="21"/>
                <w:highlight w:val="none"/>
                <w:lang w:val="en-US" w:eastAsia="zh-CN"/>
              </w:rPr>
              <w:t>运输车辆、车间中</w:t>
            </w:r>
            <w:r>
              <w:rPr>
                <w:rFonts w:hint="eastAsia" w:cs="Times New Roman"/>
                <w:bCs/>
                <w:color w:val="auto"/>
                <w:sz w:val="24"/>
                <w:szCs w:val="21"/>
                <w:highlight w:val="none"/>
                <w:lang w:val="en-US" w:eastAsia="zh-CN"/>
              </w:rPr>
              <w:t>搅拌</w:t>
            </w:r>
            <w:r>
              <w:rPr>
                <w:rFonts w:hint="default" w:ascii="Times New Roman" w:hAnsi="Times New Roman" w:eastAsia="宋体" w:cs="Times New Roman"/>
                <w:bCs/>
                <w:color w:val="auto"/>
                <w:sz w:val="24"/>
                <w:szCs w:val="21"/>
                <w:highlight w:val="none"/>
                <w:lang w:val="en-US" w:eastAsia="zh-CN"/>
              </w:rPr>
              <w:t>机、破碎机、输送机</w:t>
            </w:r>
            <w:r>
              <w:rPr>
                <w:rFonts w:hint="default" w:ascii="Times New Roman" w:hAnsi="Times New Roman" w:eastAsia="宋体" w:cs="Times New Roman"/>
                <w:bCs/>
                <w:color w:val="auto"/>
                <w:sz w:val="24"/>
                <w:szCs w:val="21"/>
                <w:highlight w:val="none"/>
              </w:rPr>
              <w:t>等设备运行过程中产生的机械噪声以及车辆运输过程中产生的交通噪声，声压级约为</w:t>
            </w:r>
            <w:r>
              <w:rPr>
                <w:rFonts w:hint="eastAsia" w:cs="Times New Roman"/>
                <w:bCs/>
                <w:color w:val="auto"/>
                <w:sz w:val="24"/>
                <w:szCs w:val="21"/>
                <w:highlight w:val="none"/>
                <w:lang w:val="en-US" w:eastAsia="zh-CN"/>
              </w:rPr>
              <w:t>55~80</w:t>
            </w:r>
            <w:r>
              <w:rPr>
                <w:rFonts w:hint="default" w:ascii="Times New Roman" w:hAnsi="Times New Roman" w:eastAsia="宋体" w:cs="Times New Roman"/>
                <w:bCs/>
                <w:color w:val="auto"/>
                <w:sz w:val="24"/>
                <w:szCs w:val="21"/>
                <w:highlight w:val="none"/>
              </w:rPr>
              <w:t>dB(A</w:t>
            </w:r>
            <w:r>
              <w:rPr>
                <w:rFonts w:hint="eastAsia" w:cs="Times New Roman"/>
                <w:bCs/>
                <w:color w:val="auto"/>
                <w:sz w:val="24"/>
                <w:szCs w:val="21"/>
                <w:highlight w:val="none"/>
                <w:lang w:eastAsia="zh-CN"/>
              </w:rPr>
              <w:t>）</w:t>
            </w:r>
            <w:r>
              <w:rPr>
                <w:rFonts w:hint="default" w:ascii="Times New Roman" w:hAnsi="Times New Roman" w:eastAsia="宋体" w:cs="Times New Roman"/>
                <w:bCs/>
                <w:color w:val="auto"/>
                <w:sz w:val="24"/>
                <w:szCs w:val="21"/>
                <w:highlight w:val="none"/>
              </w:rPr>
              <w:t>。</w:t>
            </w:r>
            <w:r>
              <w:rPr>
                <w:rFonts w:hint="default" w:ascii="Times New Roman" w:hAnsi="Times New Roman" w:eastAsia="宋体" w:cs="Times New Roman"/>
                <w:bCs/>
                <w:color w:val="auto"/>
                <w:sz w:val="24"/>
                <w:szCs w:val="21"/>
                <w:highlight w:val="none"/>
                <w:lang w:val="en-US" w:eastAsia="zh-CN"/>
              </w:rPr>
              <w:t>采取类比方法核定噪声污染源强见下表。</w:t>
            </w:r>
          </w:p>
        </w:tc>
      </w:tr>
    </w:tbl>
    <w:p w14:paraId="0CAEB528">
      <w:pPr>
        <w:adjustRightInd w:val="0"/>
        <w:snapToGrid w:val="0"/>
        <w:spacing w:line="360" w:lineRule="auto"/>
        <w:rPr>
          <w:rFonts w:hint="eastAsia" w:ascii="宋体" w:hAnsi="宋体" w:eastAsia="宋体" w:cs="宋体"/>
          <w:b/>
          <w:color w:val="auto"/>
          <w:kern w:val="0"/>
          <w:sz w:val="28"/>
          <w:szCs w:val="28"/>
          <w:highlight w:val="none"/>
        </w:rPr>
        <w:sectPr>
          <w:pgSz w:w="11907" w:h="16840"/>
          <w:pgMar w:top="1701" w:right="1531" w:bottom="2127" w:left="1531" w:header="851" w:footer="1587" w:gutter="0"/>
          <w:pgBorders>
            <w:top w:val="none" w:sz="0" w:space="0"/>
            <w:left w:val="none" w:sz="0" w:space="0"/>
            <w:bottom w:val="none" w:sz="0" w:space="0"/>
            <w:right w:val="none" w:sz="0" w:space="0"/>
          </w:pgBorders>
          <w:cols w:space="720" w:num="1"/>
          <w:docGrid w:linePitch="312" w:charSpace="0"/>
        </w:sectPr>
      </w:pPr>
    </w:p>
    <w:p w14:paraId="47720594">
      <w:pPr>
        <w:adjustRightInd w:val="0"/>
        <w:snapToGrid w:val="0"/>
        <w:spacing w:line="360" w:lineRule="auto"/>
        <w:jc w:val="center"/>
        <w:rPr>
          <w:rFonts w:hint="default" w:ascii="Times New Roman" w:hAnsi="Times New Roman" w:cs="Times New Roman"/>
          <w:b/>
          <w:color w:val="auto"/>
          <w:kern w:val="0"/>
          <w:sz w:val="24"/>
          <w:szCs w:val="24"/>
          <w:highlight w:val="none"/>
          <w:lang w:val="en-US" w:eastAsia="zh-CN"/>
        </w:rPr>
      </w:pPr>
      <w:r>
        <w:rPr>
          <w:rFonts w:hint="default" w:ascii="Times New Roman" w:hAnsi="Times New Roman" w:cs="Times New Roman"/>
          <w:b/>
          <w:color w:val="auto"/>
          <w:kern w:val="0"/>
          <w:sz w:val="24"/>
          <w:szCs w:val="24"/>
          <w:highlight w:val="none"/>
          <w:lang w:val="en-US" w:eastAsia="zh-CN"/>
        </w:rPr>
        <w:t>表4-</w:t>
      </w:r>
      <w:r>
        <w:rPr>
          <w:rFonts w:hint="eastAsia" w:cs="Times New Roman"/>
          <w:b/>
          <w:color w:val="auto"/>
          <w:kern w:val="0"/>
          <w:sz w:val="24"/>
          <w:szCs w:val="24"/>
          <w:highlight w:val="none"/>
          <w:lang w:val="en-US" w:eastAsia="zh-CN"/>
        </w:rPr>
        <w:t>6</w:t>
      </w:r>
      <w:r>
        <w:rPr>
          <w:rFonts w:hint="default" w:ascii="Times New Roman" w:hAnsi="Times New Roman" w:cs="Times New Roman"/>
          <w:b/>
          <w:color w:val="auto"/>
          <w:kern w:val="0"/>
          <w:sz w:val="24"/>
          <w:szCs w:val="24"/>
          <w:highlight w:val="none"/>
          <w:lang w:val="en-US" w:eastAsia="zh-CN"/>
        </w:rPr>
        <w:t>项目噪声源强产排情况一览表</w:t>
      </w:r>
    </w:p>
    <w:tbl>
      <w:tblPr>
        <w:tblStyle w:val="21"/>
        <w:tblW w:w="1313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54"/>
        <w:gridCol w:w="323"/>
        <w:gridCol w:w="504"/>
        <w:gridCol w:w="468"/>
        <w:gridCol w:w="291"/>
        <w:gridCol w:w="1222"/>
        <w:gridCol w:w="876"/>
        <w:gridCol w:w="902"/>
        <w:gridCol w:w="468"/>
        <w:gridCol w:w="468"/>
        <w:gridCol w:w="468"/>
        <w:gridCol w:w="468"/>
        <w:gridCol w:w="468"/>
        <w:gridCol w:w="468"/>
        <w:gridCol w:w="468"/>
        <w:gridCol w:w="468"/>
        <w:gridCol w:w="325"/>
        <w:gridCol w:w="539"/>
        <w:gridCol w:w="468"/>
        <w:gridCol w:w="468"/>
        <w:gridCol w:w="468"/>
        <w:gridCol w:w="468"/>
        <w:gridCol w:w="329"/>
        <w:gridCol w:w="329"/>
        <w:gridCol w:w="329"/>
        <w:gridCol w:w="328"/>
      </w:tblGrid>
      <w:tr w14:paraId="490FE8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754" w:type="dxa"/>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17F1EB1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声源名称</w:t>
            </w:r>
          </w:p>
        </w:tc>
        <w:tc>
          <w:tcPr>
            <w:tcW w:w="323" w:type="dxa"/>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5F7D7B4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设备数量</w:t>
            </w:r>
          </w:p>
        </w:tc>
        <w:tc>
          <w:tcPr>
            <w:tcW w:w="1263" w:type="dxa"/>
            <w:gridSpan w:val="3"/>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19E9CA5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空间相对位置/m</w:t>
            </w:r>
          </w:p>
        </w:tc>
        <w:tc>
          <w:tcPr>
            <w:tcW w:w="1222" w:type="dxa"/>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695AAF5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声源控制措施</w:t>
            </w:r>
          </w:p>
        </w:tc>
        <w:tc>
          <w:tcPr>
            <w:tcW w:w="1778" w:type="dxa"/>
            <w:gridSpan w:val="2"/>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6A4DC99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声源源强</w:t>
            </w:r>
          </w:p>
        </w:tc>
        <w:tc>
          <w:tcPr>
            <w:tcW w:w="1872" w:type="dxa"/>
            <w:gridSpan w:val="4"/>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5BD49EE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距室内边界距离/m</w:t>
            </w:r>
          </w:p>
        </w:tc>
        <w:tc>
          <w:tcPr>
            <w:tcW w:w="1872" w:type="dxa"/>
            <w:gridSpan w:val="4"/>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44FAF1D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室内边界声级/dB(A)</w:t>
            </w:r>
          </w:p>
        </w:tc>
        <w:tc>
          <w:tcPr>
            <w:tcW w:w="325" w:type="dxa"/>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749B01D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运行时段</w:t>
            </w:r>
          </w:p>
        </w:tc>
        <w:tc>
          <w:tcPr>
            <w:tcW w:w="539" w:type="dxa"/>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BED2C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建筑物插入损失/dB(A)</w:t>
            </w:r>
          </w:p>
        </w:tc>
        <w:tc>
          <w:tcPr>
            <w:tcW w:w="3187" w:type="dxa"/>
            <w:gridSpan w:val="8"/>
            <w:tcBorders>
              <w:top w:val="single" w:color="000000" w:sz="8" w:space="0"/>
              <w:left w:val="single" w:color="000000" w:sz="8" w:space="0"/>
              <w:bottom w:val="single" w:color="000000" w:sz="8" w:space="0"/>
              <w:right w:val="single" w:color="000000" w:sz="8" w:space="0"/>
            </w:tcBorders>
            <w:shd w:val="clear" w:color="auto" w:fill="auto"/>
            <w:noWrap/>
            <w:vAlign w:val="center"/>
          </w:tcPr>
          <w:p w14:paraId="41FBCDE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建筑物外</w:t>
            </w:r>
            <w:r>
              <w:rPr>
                <w:rFonts w:hint="eastAsia" w:cs="Times New Roman"/>
                <w:b/>
                <w:bCs/>
                <w:i w:val="0"/>
                <w:iCs w:val="0"/>
                <w:color w:val="auto"/>
                <w:kern w:val="0"/>
                <w:sz w:val="21"/>
                <w:szCs w:val="21"/>
                <w:highlight w:val="none"/>
                <w:u w:val="none"/>
                <w:lang w:val="en-US" w:eastAsia="zh-CN" w:bidi="ar"/>
              </w:rPr>
              <w:t>噪声</w:t>
            </w:r>
          </w:p>
        </w:tc>
      </w:tr>
      <w:tr w14:paraId="7BF4BF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683F3690">
            <w:pPr>
              <w:jc w:val="center"/>
              <w:rPr>
                <w:rFonts w:hint="default" w:ascii="Times New Roman" w:hAnsi="Times New Roman" w:eastAsia="宋体" w:cs="Times New Roman"/>
                <w:b/>
                <w:bCs/>
                <w:i w:val="0"/>
                <w:iCs w:val="0"/>
                <w:color w:val="auto"/>
                <w:sz w:val="21"/>
                <w:szCs w:val="21"/>
                <w:highlight w:val="none"/>
                <w:u w:val="none"/>
              </w:rPr>
            </w:pPr>
          </w:p>
        </w:tc>
        <w:tc>
          <w:tcPr>
            <w:tcW w:w="323"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7243A98E">
            <w:pPr>
              <w:jc w:val="center"/>
              <w:rPr>
                <w:rFonts w:hint="default" w:ascii="Times New Roman" w:hAnsi="Times New Roman" w:eastAsia="宋体" w:cs="Times New Roman"/>
                <w:b/>
                <w:bCs/>
                <w:i w:val="0"/>
                <w:iCs w:val="0"/>
                <w:color w:val="auto"/>
                <w:sz w:val="21"/>
                <w:szCs w:val="21"/>
                <w:highlight w:val="none"/>
                <w:u w:val="none"/>
              </w:rPr>
            </w:pPr>
          </w:p>
        </w:tc>
        <w:tc>
          <w:tcPr>
            <w:tcW w:w="1263" w:type="dxa"/>
            <w:gridSpan w:val="3"/>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21608F68">
            <w:pPr>
              <w:jc w:val="center"/>
              <w:rPr>
                <w:rFonts w:hint="default" w:ascii="Times New Roman" w:hAnsi="Times New Roman" w:eastAsia="宋体" w:cs="Times New Roman"/>
                <w:b/>
                <w:bCs/>
                <w:i w:val="0"/>
                <w:iCs w:val="0"/>
                <w:color w:val="auto"/>
                <w:sz w:val="21"/>
                <w:szCs w:val="21"/>
                <w:highlight w:val="none"/>
                <w:u w:val="none"/>
              </w:rPr>
            </w:pPr>
          </w:p>
        </w:tc>
        <w:tc>
          <w:tcPr>
            <w:tcW w:w="1222"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34485AE5">
            <w:pPr>
              <w:jc w:val="center"/>
              <w:rPr>
                <w:rFonts w:hint="default" w:ascii="Times New Roman" w:hAnsi="Times New Roman" w:eastAsia="宋体" w:cs="Times New Roman"/>
                <w:b/>
                <w:bCs/>
                <w:i w:val="0"/>
                <w:iCs w:val="0"/>
                <w:color w:val="auto"/>
                <w:sz w:val="21"/>
                <w:szCs w:val="21"/>
                <w:highlight w:val="none"/>
                <w:u w:val="none"/>
              </w:rPr>
            </w:pPr>
          </w:p>
        </w:tc>
        <w:tc>
          <w:tcPr>
            <w:tcW w:w="1778" w:type="dxa"/>
            <w:gridSpan w:val="2"/>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6FD06F2D">
            <w:pPr>
              <w:jc w:val="center"/>
              <w:rPr>
                <w:rFonts w:hint="default" w:ascii="Times New Roman" w:hAnsi="Times New Roman" w:eastAsia="宋体" w:cs="Times New Roman"/>
                <w:b/>
                <w:bCs/>
                <w:i w:val="0"/>
                <w:iCs w:val="0"/>
                <w:color w:val="auto"/>
                <w:sz w:val="21"/>
                <w:szCs w:val="21"/>
                <w:highlight w:val="none"/>
                <w:u w:val="none"/>
              </w:rPr>
            </w:pPr>
          </w:p>
        </w:tc>
        <w:tc>
          <w:tcPr>
            <w:tcW w:w="1872" w:type="dxa"/>
            <w:gridSpan w:val="4"/>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338F7B25">
            <w:pPr>
              <w:jc w:val="center"/>
              <w:rPr>
                <w:rFonts w:hint="default" w:ascii="Times New Roman" w:hAnsi="Times New Roman" w:eastAsia="宋体" w:cs="Times New Roman"/>
                <w:b/>
                <w:bCs/>
                <w:i w:val="0"/>
                <w:iCs w:val="0"/>
                <w:color w:val="auto"/>
                <w:sz w:val="21"/>
                <w:szCs w:val="21"/>
                <w:highlight w:val="none"/>
                <w:u w:val="none"/>
              </w:rPr>
            </w:pPr>
          </w:p>
        </w:tc>
        <w:tc>
          <w:tcPr>
            <w:tcW w:w="1872" w:type="dxa"/>
            <w:gridSpan w:val="4"/>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1F9EA471">
            <w:pPr>
              <w:jc w:val="center"/>
              <w:rPr>
                <w:rFonts w:hint="default" w:ascii="Times New Roman" w:hAnsi="Times New Roman" w:eastAsia="宋体" w:cs="Times New Roman"/>
                <w:b/>
                <w:bCs/>
                <w:i w:val="0"/>
                <w:iCs w:val="0"/>
                <w:color w:val="auto"/>
                <w:sz w:val="21"/>
                <w:szCs w:val="21"/>
                <w:highlight w:val="none"/>
                <w:u w:val="none"/>
              </w:rPr>
            </w:pPr>
          </w:p>
        </w:tc>
        <w:tc>
          <w:tcPr>
            <w:tcW w:w="32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5F3E4299">
            <w:pPr>
              <w:jc w:val="center"/>
              <w:rPr>
                <w:rFonts w:hint="default" w:ascii="Times New Roman" w:hAnsi="Times New Roman" w:eastAsia="宋体" w:cs="Times New Roman"/>
                <w:b/>
                <w:bCs/>
                <w:i w:val="0"/>
                <w:iCs w:val="0"/>
                <w:color w:val="auto"/>
                <w:sz w:val="21"/>
                <w:szCs w:val="21"/>
                <w:highlight w:val="none"/>
                <w:u w:val="none"/>
              </w:rPr>
            </w:pPr>
          </w:p>
        </w:tc>
        <w:tc>
          <w:tcPr>
            <w:tcW w:w="539"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4DB863DA">
            <w:pPr>
              <w:jc w:val="center"/>
              <w:rPr>
                <w:rFonts w:hint="default" w:ascii="Times New Roman" w:hAnsi="Times New Roman" w:eastAsia="宋体" w:cs="Times New Roman"/>
                <w:b/>
                <w:bCs/>
                <w:i w:val="0"/>
                <w:iCs w:val="0"/>
                <w:color w:val="auto"/>
                <w:sz w:val="21"/>
                <w:szCs w:val="21"/>
                <w:highlight w:val="none"/>
                <w:u w:val="none"/>
              </w:rPr>
            </w:pPr>
          </w:p>
        </w:tc>
        <w:tc>
          <w:tcPr>
            <w:tcW w:w="1872" w:type="dxa"/>
            <w:gridSpan w:val="4"/>
            <w:tcBorders>
              <w:top w:val="single" w:color="000000" w:sz="8" w:space="0"/>
              <w:left w:val="single" w:color="000000" w:sz="8" w:space="0"/>
              <w:bottom w:val="single" w:color="000000" w:sz="8" w:space="0"/>
              <w:right w:val="single" w:color="000000" w:sz="8" w:space="0"/>
            </w:tcBorders>
            <w:shd w:val="clear" w:color="auto" w:fill="auto"/>
            <w:noWrap/>
            <w:vAlign w:val="center"/>
          </w:tcPr>
          <w:p w14:paraId="661C6B3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声压级/dB(A)</w:t>
            </w:r>
          </w:p>
        </w:tc>
        <w:tc>
          <w:tcPr>
            <w:tcW w:w="1315" w:type="dxa"/>
            <w:gridSpan w:val="4"/>
            <w:tcBorders>
              <w:top w:val="single" w:color="000000" w:sz="8" w:space="0"/>
              <w:left w:val="single" w:color="000000" w:sz="8" w:space="0"/>
              <w:bottom w:val="single" w:color="000000" w:sz="8" w:space="0"/>
              <w:right w:val="single" w:color="000000" w:sz="8" w:space="0"/>
            </w:tcBorders>
            <w:shd w:val="clear" w:color="auto" w:fill="auto"/>
            <w:noWrap/>
            <w:vAlign w:val="center"/>
          </w:tcPr>
          <w:p w14:paraId="078D448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建筑物外距离/m</w:t>
            </w:r>
          </w:p>
        </w:tc>
      </w:tr>
      <w:tr w14:paraId="363892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70849672">
            <w:pPr>
              <w:jc w:val="center"/>
              <w:rPr>
                <w:rFonts w:hint="default" w:ascii="Times New Roman" w:hAnsi="Times New Roman" w:eastAsia="宋体" w:cs="Times New Roman"/>
                <w:b/>
                <w:bCs/>
                <w:i w:val="0"/>
                <w:iCs w:val="0"/>
                <w:color w:val="auto"/>
                <w:sz w:val="21"/>
                <w:szCs w:val="21"/>
                <w:highlight w:val="none"/>
                <w:u w:val="none"/>
              </w:rPr>
            </w:pPr>
          </w:p>
        </w:tc>
        <w:tc>
          <w:tcPr>
            <w:tcW w:w="323"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767A454A">
            <w:pPr>
              <w:jc w:val="center"/>
              <w:rPr>
                <w:rFonts w:hint="default" w:ascii="Times New Roman" w:hAnsi="Times New Roman" w:eastAsia="宋体" w:cs="Times New Roman"/>
                <w:b/>
                <w:bCs/>
                <w:i w:val="0"/>
                <w:iCs w:val="0"/>
                <w:color w:val="auto"/>
                <w:sz w:val="21"/>
                <w:szCs w:val="21"/>
                <w:highlight w:val="none"/>
                <w:u w:val="none"/>
              </w:rPr>
            </w:pP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E90DC2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X</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A87F8F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Y</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2DE41F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Z</w:t>
            </w:r>
          </w:p>
        </w:tc>
        <w:tc>
          <w:tcPr>
            <w:tcW w:w="1222"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4A1CD30A">
            <w:pPr>
              <w:jc w:val="center"/>
              <w:rPr>
                <w:rFonts w:hint="default" w:ascii="Times New Roman" w:hAnsi="Times New Roman" w:eastAsia="宋体" w:cs="Times New Roman"/>
                <w:b/>
                <w:bCs/>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1503A7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声压级/dB(A)</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ACD38C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距声源距离/m</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E1A8B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BE5420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BED8E3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D17D76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FBDA4C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991B16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18B655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15E6D9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c>
          <w:tcPr>
            <w:tcW w:w="32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38EBE36B">
            <w:pPr>
              <w:jc w:val="center"/>
              <w:rPr>
                <w:rFonts w:hint="default" w:ascii="Times New Roman" w:hAnsi="Times New Roman" w:eastAsia="宋体" w:cs="Times New Roman"/>
                <w:b/>
                <w:bCs/>
                <w:i w:val="0"/>
                <w:iCs w:val="0"/>
                <w:color w:val="auto"/>
                <w:sz w:val="21"/>
                <w:szCs w:val="21"/>
                <w:highlight w:val="none"/>
                <w:u w:val="none"/>
              </w:rPr>
            </w:pPr>
          </w:p>
        </w:tc>
        <w:tc>
          <w:tcPr>
            <w:tcW w:w="539"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6D4AB80C">
            <w:pPr>
              <w:jc w:val="center"/>
              <w:rPr>
                <w:rFonts w:hint="default" w:ascii="Times New Roman" w:hAnsi="Times New Roman" w:eastAsia="宋体" w:cs="Times New Roman"/>
                <w:b/>
                <w:bCs/>
                <w:i w:val="0"/>
                <w:iCs w:val="0"/>
                <w:color w:val="auto"/>
                <w:sz w:val="21"/>
                <w:szCs w:val="21"/>
                <w:highlight w:val="none"/>
                <w:u w:val="none"/>
              </w:rPr>
            </w:pP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C5016F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ABD397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CBACD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BBAB8F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A28BAA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B17802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233F3E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3CDEF5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r>
      <w:tr w14:paraId="4D8C06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CDAFC3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提升机2</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A6EE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85FE5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2.59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BB6B5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2.53</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73A624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restart"/>
            <w:tcBorders>
              <w:top w:val="single" w:color="000000" w:sz="8" w:space="0"/>
              <w:left w:val="single" w:color="000000" w:sz="8" w:space="0"/>
              <w:right w:val="single" w:color="000000" w:sz="8" w:space="0"/>
            </w:tcBorders>
            <w:shd w:val="clear" w:color="auto" w:fill="auto"/>
            <w:noWrap/>
            <w:vAlign w:val="center"/>
          </w:tcPr>
          <w:p w14:paraId="3D1B5DD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距离衰减、减震措施</w:t>
            </w:r>
            <w:r>
              <w:rPr>
                <w:rFonts w:hint="eastAsia" w:cs="Times New Roman"/>
                <w:i w:val="0"/>
                <w:iCs w:val="0"/>
                <w:color w:val="auto"/>
                <w:kern w:val="0"/>
                <w:sz w:val="21"/>
                <w:szCs w:val="21"/>
                <w:highlight w:val="none"/>
                <w:u w:val="none"/>
                <w:lang w:val="en-US" w:eastAsia="zh-CN" w:bidi="ar"/>
              </w:rPr>
              <w:t>、</w:t>
            </w:r>
            <w:r>
              <w:rPr>
                <w:rFonts w:hint="eastAsia" w:cs="Times New Roman"/>
                <w:color w:val="auto"/>
                <w:kern w:val="0"/>
                <w:sz w:val="21"/>
                <w:szCs w:val="21"/>
                <w:highlight w:val="none"/>
                <w:lang w:val="en-US" w:eastAsia="zh-CN" w:bidi="ar"/>
              </w:rPr>
              <w:t>车间封闭隔声处理</w:t>
            </w: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AFA5B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60.00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F4EDD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CA6DD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23.17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BC224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13.07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CB77F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46.76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E08F59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3.48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2E5EDA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32.70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FEC648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37.67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6906CF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26.60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383379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49.17</w:t>
            </w:r>
          </w:p>
        </w:tc>
        <w:tc>
          <w:tcPr>
            <w:tcW w:w="325" w:type="dxa"/>
            <w:vMerge w:val="restart"/>
            <w:tcBorders>
              <w:top w:val="single" w:color="000000" w:sz="8" w:space="0"/>
              <w:left w:val="single" w:color="000000" w:sz="8" w:space="0"/>
              <w:right w:val="single" w:color="000000" w:sz="8" w:space="0"/>
            </w:tcBorders>
            <w:shd w:val="clear" w:color="auto" w:fill="auto"/>
            <w:noWrap/>
            <w:vAlign w:val="center"/>
          </w:tcPr>
          <w:p w14:paraId="64A1E7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连续运行</w:t>
            </w: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477B3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4893C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12.70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79363E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17.67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A57B36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6.60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0C220C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29.17</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3BAF5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7E5B71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AEA192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DFF63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386B63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049B24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冷却换热器</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52C0D4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FA66AC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52298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2.29</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87F3DA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3D666E3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26FA65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70.00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24311A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79B933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27.86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805F72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12.89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3A460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42.07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08CFF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3.69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6456D3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41.10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56A8E7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47.80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449A8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37.52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FCC24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58.66</w:t>
            </w:r>
          </w:p>
        </w:tc>
        <w:tc>
          <w:tcPr>
            <w:tcW w:w="325" w:type="dxa"/>
            <w:vMerge w:val="continue"/>
            <w:tcBorders>
              <w:left w:val="single" w:color="000000" w:sz="8" w:space="0"/>
              <w:right w:val="single" w:color="000000" w:sz="8" w:space="0"/>
            </w:tcBorders>
            <w:shd w:val="clear" w:color="auto" w:fill="auto"/>
            <w:noWrap/>
            <w:vAlign w:val="center"/>
          </w:tcPr>
          <w:p w14:paraId="6498AF1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CC69D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11AF0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21.10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E23038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27.80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D1824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17.52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33CA26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38.66</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D2FD89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946E5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57FE10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0EA195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35BBD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68B16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冷却循环泵</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99B951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DC05FE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F1419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0.78</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3F484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6BE720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3A3705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70.00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22C916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3D670F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27.95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6FA1A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11.38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61B26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41.97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7A481E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824F3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41.07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90030E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48.88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6EF962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37.54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311B12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55.68</w:t>
            </w:r>
          </w:p>
        </w:tc>
        <w:tc>
          <w:tcPr>
            <w:tcW w:w="325" w:type="dxa"/>
            <w:vMerge w:val="continue"/>
            <w:tcBorders>
              <w:left w:val="single" w:color="000000" w:sz="8" w:space="0"/>
              <w:right w:val="single" w:color="000000" w:sz="8" w:space="0"/>
            </w:tcBorders>
            <w:shd w:val="clear" w:color="auto" w:fill="auto"/>
            <w:noWrap/>
            <w:vAlign w:val="center"/>
          </w:tcPr>
          <w:p w14:paraId="2EE0ECF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DEB886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321D3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21.07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B4F74B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28.88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B754BC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17.54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42035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35.68</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793C6B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7EA48C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01F7B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F3E72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6A95E9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A819EA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冷却出油泵</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86E51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C707E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-5.26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40C36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1.15</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693B9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032460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73744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70.00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437DD1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1FBD25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31.10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1891FF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11.78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468A60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38.82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8AD643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4.82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21FAC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40.14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EE2D6B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48.57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9A21D9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38.22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5BDF3B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56.35</w:t>
            </w:r>
          </w:p>
        </w:tc>
        <w:tc>
          <w:tcPr>
            <w:tcW w:w="325" w:type="dxa"/>
            <w:vMerge w:val="continue"/>
            <w:tcBorders>
              <w:left w:val="single" w:color="000000" w:sz="8" w:space="0"/>
              <w:right w:val="single" w:color="000000" w:sz="8" w:space="0"/>
            </w:tcBorders>
            <w:shd w:val="clear" w:color="auto" w:fill="auto"/>
            <w:noWrap/>
            <w:vAlign w:val="center"/>
          </w:tcPr>
          <w:p w14:paraId="34A931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F1D93C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969CD2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20.14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7211B8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28.57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70249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18.22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2CAFD9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36.35</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C4C9A1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DA120F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7208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E866DB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3B0010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F90F19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升温出油泵</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4CCE5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8BAC5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-7.24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904AC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1.14</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C9450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3463AE4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58456B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70.00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DAF21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91DBE3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33.08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9B612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11.79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674287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36.84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C7287C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4.82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DA787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39.61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8EA8E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48.57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8381E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38.67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945E1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56.34</w:t>
            </w:r>
          </w:p>
        </w:tc>
        <w:tc>
          <w:tcPr>
            <w:tcW w:w="325" w:type="dxa"/>
            <w:vMerge w:val="continue"/>
            <w:tcBorders>
              <w:left w:val="single" w:color="000000" w:sz="8" w:space="0"/>
              <w:right w:val="single" w:color="000000" w:sz="8" w:space="0"/>
            </w:tcBorders>
            <w:shd w:val="clear" w:color="auto" w:fill="auto"/>
            <w:noWrap/>
            <w:vAlign w:val="center"/>
          </w:tcPr>
          <w:p w14:paraId="53F6E84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8CDB7E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39692A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19.61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C4081D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28.57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581BBD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18.67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939141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36.34</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F7A602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72876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69C09A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6AF50C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346CB7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0FD968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Calibri" w:hAnsi="Calibri" w:eastAsia="宋体" w:cs="Calibri"/>
                <w:i w:val="0"/>
                <w:iCs w:val="0"/>
                <w:color w:val="auto"/>
                <w:kern w:val="0"/>
                <w:sz w:val="22"/>
                <w:szCs w:val="22"/>
                <w:highlight w:val="none"/>
                <w:u w:val="none"/>
                <w:lang w:val="en-US" w:eastAsia="zh-CN" w:bidi="ar"/>
              </w:rPr>
              <w:t>螺杆泵1</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0147B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1B2F60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-10.16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7877D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1.36</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3468F3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49901D5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8D0A31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70.00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22C91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F51220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36.00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5DC84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12.05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E1F672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33.92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093F67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4.58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C1751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38.87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8A837B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48.38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5011B3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39.39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C6D69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56.78</w:t>
            </w:r>
          </w:p>
        </w:tc>
        <w:tc>
          <w:tcPr>
            <w:tcW w:w="325" w:type="dxa"/>
            <w:vMerge w:val="continue"/>
            <w:tcBorders>
              <w:left w:val="single" w:color="000000" w:sz="8" w:space="0"/>
              <w:right w:val="single" w:color="000000" w:sz="8" w:space="0"/>
            </w:tcBorders>
            <w:shd w:val="clear" w:color="auto" w:fill="auto"/>
            <w:noWrap/>
            <w:vAlign w:val="center"/>
          </w:tcPr>
          <w:p w14:paraId="67B3CF2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1F1625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01AB1D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18.87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13BDC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28.38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80BD58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19.39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8368AF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36.78</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10827F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DA490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5DB52E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A33115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59DA9C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761C5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Calibri" w:hAnsi="Calibri" w:eastAsia="宋体" w:cs="Calibri"/>
                <w:i w:val="0"/>
                <w:iCs w:val="0"/>
                <w:color w:val="auto"/>
                <w:kern w:val="0"/>
                <w:sz w:val="22"/>
                <w:szCs w:val="22"/>
                <w:highlight w:val="none"/>
                <w:u w:val="none"/>
                <w:lang w:val="en-US" w:eastAsia="zh-CN" w:bidi="ar"/>
              </w:rPr>
              <w:t>螺杆泵2</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65CCA2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CBA84D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-12.7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6FAF7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2.4</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A39681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bottom w:val="single" w:color="000000" w:sz="8" w:space="0"/>
              <w:right w:val="single" w:color="000000" w:sz="8" w:space="0"/>
            </w:tcBorders>
            <w:shd w:val="clear" w:color="auto" w:fill="auto"/>
            <w:noWrap/>
            <w:vAlign w:val="center"/>
          </w:tcPr>
          <w:p w14:paraId="7F364E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66EFFF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70.00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7456EB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E8EAD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38.48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5AAECE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13.12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E016C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31.44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A130C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3.52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816DE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38.29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38408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47.64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E562C5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40.05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AD3F4C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59.06</w:t>
            </w:r>
          </w:p>
        </w:tc>
        <w:tc>
          <w:tcPr>
            <w:tcW w:w="325" w:type="dxa"/>
            <w:vMerge w:val="continue"/>
            <w:tcBorders>
              <w:left w:val="single" w:color="000000" w:sz="8" w:space="0"/>
              <w:right w:val="single" w:color="000000" w:sz="8" w:space="0"/>
            </w:tcBorders>
            <w:shd w:val="clear" w:color="auto" w:fill="auto"/>
            <w:noWrap/>
            <w:vAlign w:val="center"/>
          </w:tcPr>
          <w:p w14:paraId="43C2FB6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4449B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350C6E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18.29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BE076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27.64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B2B3C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20.05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C69703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39.06</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A1483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19698E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C5C2B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8F36E0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6E73D2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BE232F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Calibri" w:hAnsi="Calibri" w:eastAsia="宋体" w:cs="Calibri"/>
                <w:i w:val="0"/>
                <w:iCs w:val="0"/>
                <w:color w:val="auto"/>
                <w:kern w:val="0"/>
                <w:sz w:val="22"/>
                <w:szCs w:val="22"/>
                <w:highlight w:val="none"/>
                <w:u w:val="none"/>
                <w:lang w:val="en-US" w:eastAsia="zh-CN" w:bidi="ar"/>
              </w:rPr>
              <w:t>电导热油泵</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651A6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BB6F9B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-17.15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9EE3F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0.9</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A9CC3A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61F31C1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FDADB3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73.00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86B372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F8FF7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43.02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53ABE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11.67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6B74D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26.90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5BBEA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5.00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83603E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40.33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A1F1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51.66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255F47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44.41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E0120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59.02</w:t>
            </w:r>
          </w:p>
        </w:tc>
        <w:tc>
          <w:tcPr>
            <w:tcW w:w="325" w:type="dxa"/>
            <w:vMerge w:val="continue"/>
            <w:tcBorders>
              <w:left w:val="single" w:color="000000" w:sz="8" w:space="0"/>
              <w:right w:val="single" w:color="000000" w:sz="8" w:space="0"/>
            </w:tcBorders>
            <w:shd w:val="clear" w:color="auto" w:fill="auto"/>
            <w:noWrap/>
            <w:vAlign w:val="center"/>
          </w:tcPr>
          <w:p w14:paraId="25233E8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1CBE53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2422E5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20.33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9B7F7A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31.66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9CE233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24.41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5F1222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39.02</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C21536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36409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4690DB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1680D3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6DD717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EEE6EC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Calibri" w:hAnsi="Calibri" w:eastAsia="宋体" w:cs="Calibri"/>
                <w:i w:val="0"/>
                <w:iCs w:val="0"/>
                <w:color w:val="auto"/>
                <w:kern w:val="0"/>
                <w:sz w:val="22"/>
                <w:szCs w:val="22"/>
                <w:highlight w:val="none"/>
                <w:u w:val="none"/>
                <w:lang w:val="en-US" w:eastAsia="zh-CN" w:bidi="ar"/>
              </w:rPr>
              <w:t>提升机</w:t>
            </w:r>
            <w:r>
              <w:rPr>
                <w:rFonts w:hint="eastAsia" w:ascii="Calibri" w:hAnsi="Calibri" w:cs="Calibri"/>
                <w:i w:val="0"/>
                <w:iCs w:val="0"/>
                <w:color w:val="auto"/>
                <w:kern w:val="0"/>
                <w:sz w:val="22"/>
                <w:szCs w:val="22"/>
                <w:highlight w:val="none"/>
                <w:u w:val="none"/>
                <w:lang w:val="en-US" w:eastAsia="zh-CN" w:bidi="ar"/>
              </w:rPr>
              <w:t>1</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7DBDB4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D97292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0.19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07DC58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-3.62</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71A89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5BF7F81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E7109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60.00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FE498F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1BE72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25.89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45B4B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6.96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9D655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44.01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8613C5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9.61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9C36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31.74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730E0F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43.15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E57E4B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27.13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5BA78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40.35</w:t>
            </w:r>
          </w:p>
        </w:tc>
        <w:tc>
          <w:tcPr>
            <w:tcW w:w="325" w:type="dxa"/>
            <w:vMerge w:val="continue"/>
            <w:tcBorders>
              <w:left w:val="single" w:color="000000" w:sz="8" w:space="0"/>
              <w:right w:val="single" w:color="000000" w:sz="8" w:space="0"/>
            </w:tcBorders>
            <w:shd w:val="clear" w:color="auto" w:fill="auto"/>
            <w:noWrap/>
            <w:vAlign w:val="center"/>
          </w:tcPr>
          <w:p w14:paraId="7F96EBE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DCF9A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ED5DF0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11.74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F6F181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23.15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325DFF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7.13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2968D42">
            <w:pPr>
              <w:keepNext w:val="0"/>
              <w:keepLines w:val="0"/>
              <w:widowControl/>
              <w:suppressLineNumbers w:val="0"/>
              <w:jc w:val="center"/>
              <w:textAlignment w:val="center"/>
              <w:rPr>
                <w:rFonts w:hint="eastAsia" w:ascii="Calibri" w:hAnsi="Calibri" w:cs="Calibri"/>
                <w:i w:val="0"/>
                <w:iCs w:val="0"/>
                <w:color w:val="auto"/>
                <w:kern w:val="0"/>
                <w:sz w:val="22"/>
                <w:szCs w:val="22"/>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20</w:t>
            </w:r>
          </w:p>
          <w:p w14:paraId="18AE41D0">
            <w:pPr>
              <w:keepNext w:val="0"/>
              <w:keepLines w:val="0"/>
              <w:widowControl/>
              <w:suppressLineNumbers w:val="0"/>
              <w:jc w:val="center"/>
              <w:textAlignment w:val="center"/>
              <w:rPr>
                <w:rFonts w:hint="default" w:ascii="Calibri" w:hAnsi="Calibri" w:cs="Calibri"/>
                <w:i w:val="0"/>
                <w:iCs w:val="0"/>
                <w:color w:val="auto"/>
                <w:kern w:val="0"/>
                <w:sz w:val="22"/>
                <w:szCs w:val="22"/>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35</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031C28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47DCCD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F5A3C7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64570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3F364D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AB4605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Calibri" w:hAnsi="Calibri" w:eastAsia="宋体" w:cs="Calibri"/>
                <w:i w:val="0"/>
                <w:iCs w:val="0"/>
                <w:color w:val="auto"/>
                <w:kern w:val="0"/>
                <w:sz w:val="22"/>
                <w:szCs w:val="22"/>
                <w:highlight w:val="none"/>
                <w:u w:val="none"/>
                <w:lang w:val="en-US" w:eastAsia="zh-CN" w:bidi="ar"/>
              </w:rPr>
              <w:t>榨机</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4C8C7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C5FD1A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-0.11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AAE7F7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-5.13</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95E82A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05AD5A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78E85B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67.00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DF2555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CED7D7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26.26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F384D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5.46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9E0C78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43.63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B7851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11.11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57885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38.61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917D5E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52.25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19A73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34.21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32C3A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46.09</w:t>
            </w:r>
          </w:p>
        </w:tc>
        <w:tc>
          <w:tcPr>
            <w:tcW w:w="325" w:type="dxa"/>
            <w:vMerge w:val="continue"/>
            <w:tcBorders>
              <w:left w:val="single" w:color="000000" w:sz="8" w:space="0"/>
              <w:right w:val="single" w:color="000000" w:sz="8" w:space="0"/>
            </w:tcBorders>
            <w:shd w:val="clear" w:color="auto" w:fill="auto"/>
            <w:noWrap/>
            <w:vAlign w:val="center"/>
          </w:tcPr>
          <w:p w14:paraId="676981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62129F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18AE1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18.61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6C9B53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32.25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085571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14.21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EEE52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26.09</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B6EBA9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4BA317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39B3C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708B38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34EBE3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19D8D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Calibri" w:hAnsi="Calibri" w:eastAsia="宋体" w:cs="Calibri"/>
                <w:i w:val="0"/>
                <w:iCs w:val="0"/>
                <w:color w:val="auto"/>
                <w:kern w:val="0"/>
                <w:sz w:val="22"/>
                <w:szCs w:val="22"/>
                <w:highlight w:val="none"/>
                <w:u w:val="none"/>
                <w:lang w:val="en-US" w:eastAsia="zh-CN" w:bidi="ar"/>
              </w:rPr>
              <w:t>搅拌输送机</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A6A9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3EC811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2.45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7D08D3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-4.94</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127DA0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140260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5400D2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71.00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A422C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3851F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23.69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D4051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5.62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F4855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46.21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607E3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10.94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F5236D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43.51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FAC526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56.01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2ED1C2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37.71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3B61BA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50.22</w:t>
            </w:r>
          </w:p>
        </w:tc>
        <w:tc>
          <w:tcPr>
            <w:tcW w:w="325" w:type="dxa"/>
            <w:vMerge w:val="continue"/>
            <w:tcBorders>
              <w:left w:val="single" w:color="000000" w:sz="8" w:space="0"/>
              <w:right w:val="single" w:color="000000" w:sz="8" w:space="0"/>
            </w:tcBorders>
            <w:shd w:val="clear" w:color="auto" w:fill="auto"/>
            <w:noWrap/>
            <w:vAlign w:val="center"/>
          </w:tcPr>
          <w:p w14:paraId="5A2AAE5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B735D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EABAA4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23.51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CE34F9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36.01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24BF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37.71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15184B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30.22</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1A083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1FF21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A192A5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F2F11C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4B6699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B26003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Calibri" w:hAnsi="Calibri" w:eastAsia="宋体" w:cs="Calibri"/>
                <w:i w:val="0"/>
                <w:iCs w:val="0"/>
                <w:color w:val="auto"/>
                <w:kern w:val="0"/>
                <w:sz w:val="22"/>
                <w:szCs w:val="22"/>
                <w:highlight w:val="none"/>
                <w:u w:val="none"/>
                <w:lang w:val="en-US" w:eastAsia="zh-CN" w:bidi="ar"/>
              </w:rPr>
              <w:t>空压机</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56A78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4A3580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5E812D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-5.68</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7510A2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7081D55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F5BC8D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F70B8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D9CEF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29.38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943F9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4.95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65E37A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40.51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D5D90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11.64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78CFC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20.64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513C8E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36.11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708D9C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17.85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B80474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28.68</w:t>
            </w:r>
          </w:p>
        </w:tc>
        <w:tc>
          <w:tcPr>
            <w:tcW w:w="325" w:type="dxa"/>
            <w:vMerge w:val="continue"/>
            <w:tcBorders>
              <w:left w:val="single" w:color="000000" w:sz="8" w:space="0"/>
              <w:right w:val="single" w:color="000000" w:sz="8" w:space="0"/>
            </w:tcBorders>
            <w:shd w:val="clear" w:color="auto" w:fill="auto"/>
            <w:noWrap/>
            <w:vAlign w:val="center"/>
          </w:tcPr>
          <w:p w14:paraId="44779D4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5FC31C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66426F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0.64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7CE29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16.11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EF4420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Calibri" w:hAnsi="Calibri" w:eastAsia="宋体" w:cs="Calibri"/>
                <w:i w:val="0"/>
                <w:iCs w:val="0"/>
                <w:color w:val="auto"/>
                <w:kern w:val="0"/>
                <w:sz w:val="22"/>
                <w:szCs w:val="22"/>
                <w:highlight w:val="none"/>
                <w:u w:val="none"/>
                <w:lang w:val="en-US" w:eastAsia="zh-CN" w:bidi="ar"/>
              </w:rPr>
              <w:t>-</w:t>
            </w:r>
            <w:r>
              <w:rPr>
                <w:rFonts w:hint="eastAsia" w:ascii="Calibri" w:hAnsi="Calibri" w:cs="Calibri"/>
                <w:i w:val="0"/>
                <w:iCs w:val="0"/>
                <w:color w:val="auto"/>
                <w:kern w:val="0"/>
                <w:sz w:val="22"/>
                <w:szCs w:val="22"/>
                <w:highlight w:val="none"/>
                <w:u w:val="none"/>
                <w:lang w:val="en-US" w:eastAsia="zh-CN" w:bidi="ar"/>
              </w:rPr>
              <w:t>2.51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5C8276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8.68</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767202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5E06F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4DE4C6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1596AD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1D5236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58D192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Calibri" w:hAnsi="Calibri" w:eastAsia="宋体" w:cs="Calibri"/>
                <w:i w:val="0"/>
                <w:iCs w:val="0"/>
                <w:color w:val="auto"/>
                <w:kern w:val="0"/>
                <w:sz w:val="22"/>
                <w:szCs w:val="22"/>
                <w:highlight w:val="none"/>
                <w:u w:val="none"/>
                <w:lang w:val="en-US" w:eastAsia="zh-CN" w:bidi="ar"/>
              </w:rPr>
              <w:t>干冷机</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584D0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FF7CF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-4.19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BA1711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-4.71</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9DA994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0E50A63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44A39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48.00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4B9C6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72A82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30.33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8FD0BF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5.93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B8778A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39.56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B7AF6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10.66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AB3C1F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18.36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4069E8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32.54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FA98D9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16.05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0913C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27.44</w:t>
            </w:r>
          </w:p>
        </w:tc>
        <w:tc>
          <w:tcPr>
            <w:tcW w:w="325" w:type="dxa"/>
            <w:vMerge w:val="continue"/>
            <w:tcBorders>
              <w:left w:val="single" w:color="000000" w:sz="8" w:space="0"/>
              <w:right w:val="single" w:color="000000" w:sz="8" w:space="0"/>
            </w:tcBorders>
            <w:shd w:val="clear" w:color="auto" w:fill="auto"/>
            <w:noWrap/>
            <w:vAlign w:val="center"/>
          </w:tcPr>
          <w:p w14:paraId="0CAF215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0FC2D4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8E8D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-1.64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3ED4B6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12.54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440DD2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-3.95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6C3E50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7.44</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A5D13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8764BE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6D7A40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9F1AFC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0604E2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EBE22E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Calibri" w:hAnsi="Calibri" w:eastAsia="宋体" w:cs="Calibri"/>
                <w:i w:val="0"/>
                <w:iCs w:val="0"/>
                <w:color w:val="auto"/>
                <w:kern w:val="0"/>
                <w:sz w:val="22"/>
                <w:szCs w:val="22"/>
                <w:highlight w:val="none"/>
                <w:u w:val="none"/>
                <w:lang w:val="en-US" w:eastAsia="zh-CN" w:bidi="ar"/>
              </w:rPr>
              <w:t>过滤器</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1CFF25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EF3ABF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-3.15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1C6B4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-3.58</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B716C3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69E5F2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F9574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63.00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A14DA2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BF3EB3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29.22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59330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7.04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A93F71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40.67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F472A3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9.55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1E019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33.69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22B851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46.05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C0CC70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30.81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1A8C3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43.40</w:t>
            </w:r>
          </w:p>
        </w:tc>
        <w:tc>
          <w:tcPr>
            <w:tcW w:w="325" w:type="dxa"/>
            <w:vMerge w:val="continue"/>
            <w:tcBorders>
              <w:left w:val="single" w:color="000000" w:sz="8" w:space="0"/>
              <w:right w:val="single" w:color="000000" w:sz="8" w:space="0"/>
            </w:tcBorders>
            <w:shd w:val="clear" w:color="auto" w:fill="auto"/>
            <w:noWrap/>
            <w:vAlign w:val="center"/>
          </w:tcPr>
          <w:p w14:paraId="3F5617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624A8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6C3C1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13.69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2E5AA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26.05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53A193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10.81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DEB218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Calibri" w:hAnsi="Calibri" w:cs="Calibri"/>
                <w:i w:val="0"/>
                <w:iCs w:val="0"/>
                <w:color w:val="auto"/>
                <w:kern w:val="0"/>
                <w:sz w:val="22"/>
                <w:szCs w:val="22"/>
                <w:highlight w:val="none"/>
                <w:u w:val="none"/>
                <w:lang w:val="en-US" w:eastAsia="zh-CN" w:bidi="ar"/>
              </w:rPr>
              <w:t>23.40</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E3624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E0F983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7C2768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2E7DEA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Calibri" w:hAnsi="Calibri" w:eastAsia="宋体" w:cs="Calibri"/>
                <w:i w:val="0"/>
                <w:iCs w:val="0"/>
                <w:color w:val="auto"/>
                <w:kern w:val="0"/>
                <w:sz w:val="22"/>
                <w:szCs w:val="22"/>
                <w:highlight w:val="none"/>
                <w:u w:val="none"/>
                <w:lang w:val="en-US" w:eastAsia="zh-CN" w:bidi="ar"/>
              </w:rPr>
              <w:t>1</w:t>
            </w:r>
          </w:p>
        </w:tc>
      </w:tr>
      <w:tr w14:paraId="654737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C79B7C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预涂布油泵</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91171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177B8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03776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-6.98</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C0154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bottom w:val="single" w:color="000000" w:sz="8" w:space="0"/>
              <w:right w:val="single" w:color="000000" w:sz="8" w:space="0"/>
            </w:tcBorders>
            <w:shd w:val="clear" w:color="auto" w:fill="auto"/>
            <w:noWrap/>
            <w:vAlign w:val="center"/>
          </w:tcPr>
          <w:p w14:paraId="222FA7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F2C692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912F30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E4527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34.30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2D26A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3.70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D9867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35.58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1E38B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12.91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AAF71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39.29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3F7C2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58.63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E015E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38.98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95874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47.78</w:t>
            </w:r>
          </w:p>
        </w:tc>
        <w:tc>
          <w:tcPr>
            <w:tcW w:w="325" w:type="dxa"/>
            <w:tcBorders>
              <w:left w:val="single" w:color="000000" w:sz="8" w:space="0"/>
              <w:right w:val="single" w:color="000000" w:sz="8" w:space="0"/>
            </w:tcBorders>
            <w:shd w:val="clear" w:color="auto" w:fill="auto"/>
            <w:noWrap/>
            <w:vAlign w:val="center"/>
          </w:tcPr>
          <w:p w14:paraId="1B20210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F0C4A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8378F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19.29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0BA12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38.63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6D1DF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18.98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E37B4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27.78</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797D7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88B88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90918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D4FFD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48F817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01FA8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预混油泵</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30823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B93F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-7.92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F601A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-3.64</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44011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restart"/>
            <w:tcBorders>
              <w:top w:val="single" w:color="000000" w:sz="8" w:space="0"/>
              <w:left w:val="single" w:color="000000" w:sz="8" w:space="0"/>
              <w:right w:val="single" w:color="000000" w:sz="8" w:space="0"/>
            </w:tcBorders>
            <w:shd w:val="clear" w:color="auto" w:fill="auto"/>
            <w:noWrap/>
            <w:vAlign w:val="center"/>
          </w:tcPr>
          <w:p w14:paraId="395558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距离衰减、减震措施</w:t>
            </w:r>
            <w:r>
              <w:rPr>
                <w:rFonts w:hint="eastAsia" w:cs="Times New Roman"/>
                <w:i w:val="0"/>
                <w:iCs w:val="0"/>
                <w:color w:val="auto"/>
                <w:kern w:val="0"/>
                <w:sz w:val="21"/>
                <w:szCs w:val="21"/>
                <w:highlight w:val="none"/>
                <w:u w:val="none"/>
                <w:lang w:val="en-US" w:eastAsia="zh-CN" w:bidi="ar"/>
              </w:rPr>
              <w:t>、</w:t>
            </w:r>
            <w:r>
              <w:rPr>
                <w:rFonts w:hint="eastAsia" w:cs="Times New Roman"/>
                <w:color w:val="auto"/>
                <w:kern w:val="0"/>
                <w:sz w:val="21"/>
                <w:szCs w:val="21"/>
                <w:highlight w:val="none"/>
                <w:lang w:val="en-US" w:eastAsia="zh-CN" w:bidi="ar"/>
              </w:rPr>
              <w:t>车间封闭隔声处理</w:t>
            </w: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4611A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008D73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C3537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34.01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B503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7.04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D8202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35.89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ECF90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9.58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D9A55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39.37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713E3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53.05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6003C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38.90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07746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50.38</w:t>
            </w:r>
          </w:p>
        </w:tc>
        <w:tc>
          <w:tcPr>
            <w:tcW w:w="325" w:type="dxa"/>
            <w:tcBorders>
              <w:left w:val="single" w:color="000000" w:sz="8" w:space="0"/>
              <w:right w:val="single" w:color="000000" w:sz="8" w:space="0"/>
            </w:tcBorders>
            <w:shd w:val="clear" w:color="auto" w:fill="auto"/>
            <w:noWrap/>
            <w:vAlign w:val="center"/>
          </w:tcPr>
          <w:p w14:paraId="647FECD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754BD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99119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19.37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BC815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33.05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D0A5D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18.90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6E3BF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30.38</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FDCB1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EE47D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3BB28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E8833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5CC296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09D6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初滤油泵</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DF3AA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92139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57829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-6.39</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712EF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2D2E24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914C7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35F34D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86EE5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46.29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ADF9D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4.44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0AB29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23.60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6D707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12.24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2F893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36.69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EAFA2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57.05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34435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42.54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EBF6B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48.24</w:t>
            </w:r>
          </w:p>
        </w:tc>
        <w:tc>
          <w:tcPr>
            <w:tcW w:w="325" w:type="dxa"/>
            <w:tcBorders>
              <w:left w:val="single" w:color="000000" w:sz="8" w:space="0"/>
              <w:right w:val="single" w:color="000000" w:sz="8" w:space="0"/>
            </w:tcBorders>
            <w:shd w:val="clear" w:color="auto" w:fill="auto"/>
            <w:noWrap/>
            <w:vAlign w:val="center"/>
          </w:tcPr>
          <w:p w14:paraId="2CCD3F9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DA029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1E1C0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16.69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7C716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37.05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C8832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22.54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5EE9D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28.24</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9FFA9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FAFC8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F6B72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6979F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1DE36C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F80F5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脱蜡油泵</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C49D3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C1339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-21.44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AC538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-7.11</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99B15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6CF973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C89F6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65.00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73C73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797C4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47.72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3D88B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3.73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A56DA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22.16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64345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12.96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17915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31.43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BC70C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53.56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23F5D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38.09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2D8E4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42.75</w:t>
            </w:r>
          </w:p>
        </w:tc>
        <w:tc>
          <w:tcPr>
            <w:tcW w:w="325" w:type="dxa"/>
            <w:tcBorders>
              <w:left w:val="single" w:color="000000" w:sz="8" w:space="0"/>
              <w:right w:val="single" w:color="000000" w:sz="8" w:space="0"/>
            </w:tcBorders>
            <w:shd w:val="clear" w:color="auto" w:fill="auto"/>
            <w:noWrap/>
            <w:vAlign w:val="center"/>
          </w:tcPr>
          <w:p w14:paraId="72AF303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015F0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FF90B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11.43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3F1CF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33.56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757AA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18.09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71F6E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22.75</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76736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AC362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601CA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95C51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33C55B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5006D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布袋过滤器</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4642C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29DCE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-23.51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123C2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-6.04</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A11A1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279F86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A50C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63.00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C8C8A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34AB5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49.74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E90DC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4.83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E439F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20.15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4CFB9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11.87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C8554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29.07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0D91B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49.32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11F05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36.92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F6491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41.51</w:t>
            </w:r>
          </w:p>
        </w:tc>
        <w:tc>
          <w:tcPr>
            <w:tcW w:w="325" w:type="dxa"/>
            <w:tcBorders>
              <w:left w:val="single" w:color="000000" w:sz="8" w:space="0"/>
              <w:right w:val="single" w:color="000000" w:sz="8" w:space="0"/>
            </w:tcBorders>
            <w:shd w:val="clear" w:color="auto" w:fill="auto"/>
            <w:noWrap/>
            <w:vAlign w:val="center"/>
          </w:tcPr>
          <w:p w14:paraId="7F05700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6777E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C325C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9.07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935A3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29.</w:t>
            </w:r>
            <w:r>
              <w:rPr>
                <w:rFonts w:hint="eastAsia" w:ascii="Calibri" w:hAnsi="Calibri" w:cs="Calibri"/>
                <w:i w:val="0"/>
                <w:iCs w:val="0"/>
                <w:color w:val="auto"/>
                <w:kern w:val="0"/>
                <w:sz w:val="22"/>
                <w:szCs w:val="22"/>
                <w:highlight w:val="none"/>
                <w:u w:val="none"/>
                <w:lang w:val="en-US" w:eastAsia="zh-CN" w:bidi="ar"/>
              </w:rPr>
              <w:t>32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34420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16.92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AF29A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21.51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83B0E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A364D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510FC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4FFA4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64B207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53743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成品油齿轮泵</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B3CDA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8791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-28.44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40F85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-5.77</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33BA5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2CFCB5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1CFBC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07D3A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E321C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54.66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CE91D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5.16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59453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15.23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6BE65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11.58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76230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35.25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8AAAF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55.75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4A635E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46.35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DDBC6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48.73</w:t>
            </w:r>
          </w:p>
        </w:tc>
        <w:tc>
          <w:tcPr>
            <w:tcW w:w="325" w:type="dxa"/>
            <w:tcBorders>
              <w:left w:val="single" w:color="000000" w:sz="8" w:space="0"/>
              <w:right w:val="single" w:color="000000" w:sz="8" w:space="0"/>
            </w:tcBorders>
            <w:shd w:val="clear" w:color="auto" w:fill="auto"/>
            <w:noWrap/>
            <w:vAlign w:val="center"/>
          </w:tcPr>
          <w:p w14:paraId="0F53F94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E69B7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8DE53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15.25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9306E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35.75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C2581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26.35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48A19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28.73</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07B80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74CD3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0DCA1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54135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74CC6C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033B1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一级油出油泵</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C5084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0CD7E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-31.45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D3512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-7.29</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746DF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bottom w:val="single" w:color="000000" w:sz="8" w:space="0"/>
              <w:right w:val="single" w:color="000000" w:sz="8" w:space="0"/>
            </w:tcBorders>
            <w:shd w:val="clear" w:color="auto" w:fill="auto"/>
            <w:noWrap/>
            <w:vAlign w:val="center"/>
          </w:tcPr>
          <w:p w14:paraId="019537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2765A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E72E0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C6970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57.75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88EC5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3.67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C8D74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12.13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CB80D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13.08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85DC12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16.79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9A083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40.71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7F72B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30.34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E3402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29.69</w:t>
            </w:r>
          </w:p>
        </w:tc>
        <w:tc>
          <w:tcPr>
            <w:tcW w:w="325" w:type="dxa"/>
            <w:tcBorders>
              <w:left w:val="single" w:color="000000" w:sz="8" w:space="0"/>
              <w:right w:val="single" w:color="000000" w:sz="8" w:space="0"/>
            </w:tcBorders>
            <w:shd w:val="clear" w:color="auto" w:fill="auto"/>
            <w:noWrap/>
            <w:vAlign w:val="center"/>
          </w:tcPr>
          <w:p w14:paraId="132C722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49598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BE580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3.21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91270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20.71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B8457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10.34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AC046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9.69</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F6159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AC0D8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5FA29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33EB4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1780B1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924EC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一级油入油泵</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78803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2F067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-34.45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C1A24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-7.43</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F2817C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restart"/>
            <w:tcBorders>
              <w:top w:val="single" w:color="000000" w:sz="8" w:space="0"/>
              <w:left w:val="single" w:color="000000" w:sz="8" w:space="0"/>
              <w:right w:val="single" w:color="000000" w:sz="8" w:space="0"/>
            </w:tcBorders>
            <w:shd w:val="clear" w:color="auto" w:fill="auto"/>
            <w:noWrap/>
            <w:vAlign w:val="center"/>
          </w:tcPr>
          <w:p w14:paraId="625B7B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距离衰减、减震措施</w:t>
            </w:r>
            <w:r>
              <w:rPr>
                <w:rFonts w:hint="eastAsia" w:cs="Times New Roman"/>
                <w:i w:val="0"/>
                <w:iCs w:val="0"/>
                <w:color w:val="auto"/>
                <w:kern w:val="0"/>
                <w:sz w:val="21"/>
                <w:szCs w:val="21"/>
                <w:highlight w:val="none"/>
                <w:u w:val="none"/>
                <w:lang w:val="en-US" w:eastAsia="zh-CN" w:bidi="ar"/>
              </w:rPr>
              <w:t>、</w:t>
            </w:r>
            <w:r>
              <w:rPr>
                <w:rFonts w:hint="eastAsia" w:cs="Times New Roman"/>
                <w:color w:val="auto"/>
                <w:kern w:val="0"/>
                <w:sz w:val="21"/>
                <w:szCs w:val="21"/>
                <w:highlight w:val="none"/>
                <w:lang w:val="en-US" w:eastAsia="zh-CN" w:bidi="ar"/>
              </w:rPr>
              <w:t>车间封闭隔声处理</w:t>
            </w: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D906B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6B318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ABB49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60.77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57EA8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3.57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FB0A0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9.11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BBB07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13.20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66073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24.33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A72328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48.95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C330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40.81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B4ADE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37.59</w:t>
            </w:r>
          </w:p>
        </w:tc>
        <w:tc>
          <w:tcPr>
            <w:tcW w:w="325" w:type="dxa"/>
            <w:tcBorders>
              <w:left w:val="single" w:color="000000" w:sz="8" w:space="0"/>
              <w:right w:val="single" w:color="000000" w:sz="8" w:space="0"/>
            </w:tcBorders>
            <w:shd w:val="clear" w:color="auto" w:fill="auto"/>
            <w:noWrap/>
            <w:vAlign w:val="center"/>
          </w:tcPr>
          <w:p w14:paraId="367E7ED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180A4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ED9A0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4.33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327893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28.95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0CD19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20.81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9D534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17.59</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EA390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A31D9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7A387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4BBE3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3F544B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24725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粉碎机</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0AD0C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32831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9.14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DB51B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1.3</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62282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0480440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0756A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0FC65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FBEED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16.68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74C74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11.77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6D3BF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53.24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A5F38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4.75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DAD08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55.56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E549D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58.59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6FCEE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45.47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83DEB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66.47</w:t>
            </w:r>
          </w:p>
        </w:tc>
        <w:tc>
          <w:tcPr>
            <w:tcW w:w="325" w:type="dxa"/>
            <w:tcBorders>
              <w:left w:val="single" w:color="000000" w:sz="8" w:space="0"/>
              <w:right w:val="single" w:color="000000" w:sz="8" w:space="0"/>
            </w:tcBorders>
            <w:shd w:val="clear" w:color="auto" w:fill="auto"/>
            <w:noWrap/>
            <w:vAlign w:val="center"/>
          </w:tcPr>
          <w:p w14:paraId="0BBB7B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40A58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212CE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35.56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49646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38.59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E57DE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25.47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33BF1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46.47</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AFC23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BA5F8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E819E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02C1D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5B9011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5B195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提升机3</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DE73E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E959B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7.58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8E930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0.55</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EA62F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7B4B4E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AB77E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FDACE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D304E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18.27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7E071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11.04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ED5E2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51.65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2D147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5.48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78986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34.77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7F1CEC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39.14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DF93D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25.74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30F89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45.22</w:t>
            </w:r>
          </w:p>
        </w:tc>
        <w:tc>
          <w:tcPr>
            <w:tcW w:w="325" w:type="dxa"/>
            <w:tcBorders>
              <w:left w:val="single" w:color="000000" w:sz="8" w:space="0"/>
              <w:right w:val="single" w:color="000000" w:sz="8" w:space="0"/>
            </w:tcBorders>
            <w:shd w:val="clear" w:color="auto" w:fill="auto"/>
            <w:noWrap/>
            <w:vAlign w:val="center"/>
          </w:tcPr>
          <w:p w14:paraId="40FD89C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9F01E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9C18E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14.71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39364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19.14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BDA45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5.74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2F194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25.22</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93F7A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5FCB1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04443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27A88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19CEBF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C92C6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提升机4</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54947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A44E1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7.82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05AEC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-3.71</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AB444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7C09AD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AC84D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45F35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8772B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18.25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E19FD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6.78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C7B4F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51.65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1B5B9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9.74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4CBE5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34.77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A699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43.38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18A1D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25.74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7AB25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40.23</w:t>
            </w:r>
          </w:p>
        </w:tc>
        <w:tc>
          <w:tcPr>
            <w:tcW w:w="325" w:type="dxa"/>
            <w:tcBorders>
              <w:left w:val="single" w:color="000000" w:sz="8" w:space="0"/>
              <w:right w:val="single" w:color="000000" w:sz="8" w:space="0"/>
            </w:tcBorders>
            <w:shd w:val="clear" w:color="auto" w:fill="auto"/>
            <w:noWrap/>
            <w:vAlign w:val="center"/>
          </w:tcPr>
          <w:p w14:paraId="43F0AA8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48A22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27002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13.77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3582E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23.38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39FD2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5.74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C1D62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20.23</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52657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E2B0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2CDEA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D4F71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071D88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26744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剥壳机</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9EB91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EED17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9.89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24E297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-4.33</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8A92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66F8EA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9D416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83.00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79CE6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2B08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16.21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1593A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6.14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11A16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53.68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2E9C6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10.37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46F67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58.80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4879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67.24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1C9A5E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48.40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1404E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62.68</w:t>
            </w:r>
          </w:p>
        </w:tc>
        <w:tc>
          <w:tcPr>
            <w:tcW w:w="325" w:type="dxa"/>
            <w:tcBorders>
              <w:left w:val="single" w:color="000000" w:sz="8" w:space="0"/>
              <w:right w:val="single" w:color="000000" w:sz="8" w:space="0"/>
            </w:tcBorders>
            <w:shd w:val="clear" w:color="auto" w:fill="auto"/>
            <w:noWrap/>
            <w:vAlign w:val="center"/>
          </w:tcPr>
          <w:p w14:paraId="167DAA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B8637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2808A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38.80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B00CA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47.24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721EE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28.40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2EB72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42.68</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294A1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9FCC2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03CC7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67BA2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57646D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3B5F9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除杂去石组合机</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1A5BC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4390E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10.64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5BCDA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-2.99</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2853A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73C3D04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C8A3E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85.00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01517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30A4D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15.39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D013A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7.47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B5049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54.51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306ABC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9.04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14C51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61.25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003D6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67.54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E7CE8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50.27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35860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65.88</w:t>
            </w:r>
          </w:p>
        </w:tc>
        <w:tc>
          <w:tcPr>
            <w:tcW w:w="325" w:type="dxa"/>
            <w:tcBorders>
              <w:left w:val="single" w:color="000000" w:sz="8" w:space="0"/>
              <w:right w:val="single" w:color="000000" w:sz="8" w:space="0"/>
            </w:tcBorders>
            <w:shd w:val="clear" w:color="auto" w:fill="auto"/>
            <w:noWrap/>
            <w:vAlign w:val="center"/>
          </w:tcPr>
          <w:p w14:paraId="76C712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1CD4D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15D1E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41.25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FB814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47.54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C2FF4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30.27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F5139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45.88</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634872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EEE8D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09E62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0FE7C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6BB708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C1FFF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组合清理机</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6678C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31770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10.89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0C786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-4.47</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E7AA3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176BC4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911BFF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83.00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895F4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F5339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15.21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8DFC2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5.99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7E4E5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54.68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A6E2A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10.52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B0764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59.36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55A56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67.45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E09A6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48.24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DE1A1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62.56</w:t>
            </w:r>
          </w:p>
        </w:tc>
        <w:tc>
          <w:tcPr>
            <w:tcW w:w="325" w:type="dxa"/>
            <w:tcBorders>
              <w:left w:val="single" w:color="000000" w:sz="8" w:space="0"/>
              <w:right w:val="single" w:color="000000" w:sz="8" w:space="0"/>
            </w:tcBorders>
            <w:shd w:val="clear" w:color="auto" w:fill="auto"/>
            <w:noWrap/>
            <w:vAlign w:val="center"/>
          </w:tcPr>
          <w:p w14:paraId="214543E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EBEC3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7F128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39.36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18416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47.45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31C24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28.42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D9BE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42.56</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ABC6E4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76BE3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F588D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E45D5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1A80C2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E8AAA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提升机5</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4A1AE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5B82F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14.07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E3F3B2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-2.29</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039AB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w:t>
            </w:r>
          </w:p>
        </w:tc>
        <w:tc>
          <w:tcPr>
            <w:tcW w:w="1222" w:type="dxa"/>
            <w:vMerge w:val="continue"/>
            <w:tcBorders>
              <w:left w:val="single" w:color="000000" w:sz="8" w:space="0"/>
              <w:right w:val="single" w:color="000000" w:sz="8" w:space="0"/>
            </w:tcBorders>
            <w:shd w:val="clear" w:color="auto" w:fill="auto"/>
            <w:noWrap/>
            <w:vAlign w:val="center"/>
          </w:tcPr>
          <w:p w14:paraId="48C102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2E4DE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55.00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1CE6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39FE5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11.91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1CA1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8.13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7CD2FE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57.99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6DCAD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8.36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DBAF4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33.48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FC441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36.80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16C0A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19.73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A469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36.56</w:t>
            </w:r>
          </w:p>
        </w:tc>
        <w:tc>
          <w:tcPr>
            <w:tcW w:w="325" w:type="dxa"/>
            <w:tcBorders>
              <w:left w:val="single" w:color="000000" w:sz="8" w:space="0"/>
              <w:right w:val="single" w:color="000000" w:sz="8" w:space="0"/>
            </w:tcBorders>
            <w:shd w:val="clear" w:color="auto" w:fill="auto"/>
            <w:noWrap/>
            <w:vAlign w:val="center"/>
          </w:tcPr>
          <w:p w14:paraId="6860907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35312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26E3E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13.48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51251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16.80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A86A4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-0.27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3D54E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16.56</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E4B22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3E9D7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04CDD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1C2E4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52BA91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95F97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吸风分离器</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DD02F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FD3C3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15.42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93994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-2.23</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6112E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w:t>
            </w:r>
          </w:p>
        </w:tc>
        <w:tc>
          <w:tcPr>
            <w:tcW w:w="1222" w:type="dxa"/>
            <w:vMerge w:val="continue"/>
            <w:tcBorders>
              <w:left w:val="single" w:color="000000" w:sz="8" w:space="0"/>
              <w:right w:val="single" w:color="000000" w:sz="8" w:space="0"/>
            </w:tcBorders>
            <w:shd w:val="clear" w:color="auto" w:fill="auto"/>
            <w:noWrap/>
            <w:vAlign w:val="center"/>
          </w:tcPr>
          <w:p w14:paraId="6F9785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0EF40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53.00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11DD0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66BB4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10.56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4E43F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8.16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00E34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59.34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0AA91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8.31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1B49A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32.52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DC925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34.76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40E12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17.53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6F419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34.61</w:t>
            </w:r>
          </w:p>
        </w:tc>
        <w:tc>
          <w:tcPr>
            <w:tcW w:w="325" w:type="dxa"/>
            <w:tcBorders>
              <w:left w:val="single" w:color="000000" w:sz="8" w:space="0"/>
              <w:right w:val="single" w:color="000000" w:sz="8" w:space="0"/>
            </w:tcBorders>
            <w:shd w:val="clear" w:color="auto" w:fill="auto"/>
            <w:noWrap/>
            <w:vAlign w:val="center"/>
          </w:tcPr>
          <w:p w14:paraId="40F670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5A155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F6E4F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12.52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12A01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14.76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E21F6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-2.47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3D10F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14.61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A8542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5ABF6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69873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90268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0DF5FB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E0140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初清筛</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5AECB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E8C64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15.11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481F2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-3.27</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80B01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w:t>
            </w:r>
          </w:p>
        </w:tc>
        <w:tc>
          <w:tcPr>
            <w:tcW w:w="1222" w:type="dxa"/>
            <w:vMerge w:val="continue"/>
            <w:tcBorders>
              <w:left w:val="single" w:color="000000" w:sz="8" w:space="0"/>
              <w:bottom w:val="single" w:color="000000" w:sz="8" w:space="0"/>
              <w:right w:val="single" w:color="000000" w:sz="8" w:space="0"/>
            </w:tcBorders>
            <w:shd w:val="clear" w:color="auto" w:fill="auto"/>
            <w:noWrap/>
            <w:vAlign w:val="center"/>
          </w:tcPr>
          <w:p w14:paraId="3DF823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4257C2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65.00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326EB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EF451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10.93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57F8F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7.14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A4D28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58.97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21B60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9.34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E3E43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44.23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4B69C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47.93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1E2BD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29.59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8D79BF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45.59</w:t>
            </w:r>
          </w:p>
        </w:tc>
        <w:tc>
          <w:tcPr>
            <w:tcW w:w="325" w:type="dxa"/>
            <w:tcBorders>
              <w:left w:val="single" w:color="000000" w:sz="8" w:space="0"/>
              <w:right w:val="single" w:color="000000" w:sz="8" w:space="0"/>
            </w:tcBorders>
            <w:shd w:val="clear" w:color="auto" w:fill="auto"/>
            <w:noWrap/>
            <w:vAlign w:val="center"/>
          </w:tcPr>
          <w:p w14:paraId="4D85371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1A480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2B77A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24.23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F647B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27.93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E4E42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9.59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55B43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25.59</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8DF67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3725B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704EB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99E0B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5F622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D6C4E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提升机6</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BDADE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82283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14.1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5BF72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-3.91</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193E5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w:t>
            </w:r>
          </w:p>
        </w:tc>
        <w:tc>
          <w:tcPr>
            <w:tcW w:w="1222" w:type="dxa"/>
            <w:vMerge w:val="restart"/>
            <w:tcBorders>
              <w:top w:val="single" w:color="000000" w:sz="8" w:space="0"/>
              <w:left w:val="single" w:color="000000" w:sz="8" w:space="0"/>
              <w:right w:val="single" w:color="000000" w:sz="8" w:space="0"/>
            </w:tcBorders>
            <w:shd w:val="clear" w:color="auto" w:fill="auto"/>
            <w:noWrap/>
            <w:vAlign w:val="center"/>
          </w:tcPr>
          <w:p w14:paraId="59C9D8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距离衰减、减震措施</w:t>
            </w:r>
            <w:r>
              <w:rPr>
                <w:rFonts w:hint="eastAsia" w:cs="Times New Roman"/>
                <w:i w:val="0"/>
                <w:iCs w:val="0"/>
                <w:color w:val="auto"/>
                <w:kern w:val="0"/>
                <w:sz w:val="21"/>
                <w:szCs w:val="21"/>
                <w:highlight w:val="none"/>
                <w:u w:val="none"/>
                <w:lang w:val="en-US" w:eastAsia="zh-CN" w:bidi="ar"/>
              </w:rPr>
              <w:t>、</w:t>
            </w:r>
            <w:r>
              <w:rPr>
                <w:rFonts w:hint="eastAsia" w:cs="Times New Roman"/>
                <w:color w:val="auto"/>
                <w:kern w:val="0"/>
                <w:sz w:val="21"/>
                <w:szCs w:val="21"/>
                <w:highlight w:val="none"/>
                <w:lang w:val="en-US" w:eastAsia="zh-CN" w:bidi="ar"/>
              </w:rPr>
              <w:t>车间封闭隔声处理</w:t>
            </w: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4546B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55.00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094F8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F106C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11.97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9CC8B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6.50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D56E7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57.93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526AA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9.98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69ED1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33.44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840FD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38.74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5F7CA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19.74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CC025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35.02</w:t>
            </w:r>
          </w:p>
        </w:tc>
        <w:tc>
          <w:tcPr>
            <w:tcW w:w="325" w:type="dxa"/>
            <w:tcBorders>
              <w:left w:val="single" w:color="000000" w:sz="8" w:space="0"/>
              <w:right w:val="single" w:color="000000" w:sz="8" w:space="0"/>
            </w:tcBorders>
            <w:shd w:val="clear" w:color="auto" w:fill="auto"/>
            <w:noWrap/>
            <w:vAlign w:val="center"/>
          </w:tcPr>
          <w:p w14:paraId="2169F9E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EBA51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3F169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13.44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4A3D1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18.74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B8E45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-0.26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6BDB49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15.02</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54ECE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6F5F8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AF448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0D78C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0896B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9EBC1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旋风除尘器</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65EFFB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90AA7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16.63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EB8EC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-4.97</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7FA54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3B37EC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AB65B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86C83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DEF0EB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9.49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BF881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5.42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652BB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60.41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27FD8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11.05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29061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60.46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DE094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65.33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7DF87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44.38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C98F3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59.13</w:t>
            </w:r>
          </w:p>
        </w:tc>
        <w:tc>
          <w:tcPr>
            <w:tcW w:w="325" w:type="dxa"/>
            <w:tcBorders>
              <w:left w:val="single" w:color="000000" w:sz="8" w:space="0"/>
              <w:right w:val="single" w:color="000000" w:sz="8" w:space="0"/>
            </w:tcBorders>
            <w:shd w:val="clear" w:color="auto" w:fill="auto"/>
            <w:noWrap/>
            <w:vAlign w:val="center"/>
          </w:tcPr>
          <w:p w14:paraId="5639782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EA708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EFEA0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40.46</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79BC4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45.33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0A442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24.38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7E386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39.13</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4BCA4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4603B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29687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A1E56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2B05D6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BF5FF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布袋除尘器</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CEC60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1D6D0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15.78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3F5BB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-4.95</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15B4D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w:t>
            </w:r>
          </w:p>
        </w:tc>
        <w:tc>
          <w:tcPr>
            <w:tcW w:w="1222" w:type="dxa"/>
            <w:vMerge w:val="continue"/>
            <w:tcBorders>
              <w:left w:val="single" w:color="000000" w:sz="8" w:space="0"/>
              <w:right w:val="single" w:color="000000" w:sz="8" w:space="0"/>
            </w:tcBorders>
            <w:shd w:val="clear" w:color="auto" w:fill="auto"/>
            <w:noWrap/>
            <w:vAlign w:val="center"/>
          </w:tcPr>
          <w:p w14:paraId="2966F1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C69BA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7D8AD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86A15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10.34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C13FA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5.45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E5862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59.55</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76391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11.02</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3DE43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59.71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5B63F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65.27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1FF3D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44.50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5A376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59.15</w:t>
            </w:r>
          </w:p>
        </w:tc>
        <w:tc>
          <w:tcPr>
            <w:tcW w:w="325" w:type="dxa"/>
            <w:tcBorders>
              <w:left w:val="single" w:color="000000" w:sz="8" w:space="0"/>
              <w:right w:val="single" w:color="000000" w:sz="8" w:space="0"/>
            </w:tcBorders>
            <w:shd w:val="clear" w:color="auto" w:fill="auto"/>
            <w:noWrap/>
            <w:vAlign w:val="center"/>
          </w:tcPr>
          <w:p w14:paraId="781AC7A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BDF05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4B152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39.71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BBB6EE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45.27</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5CAAE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24.50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D434B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39.15</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D44A6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3AAA7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8849E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1DDC0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r w14:paraId="02238C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75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FBB7D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水平皮带输送机</w:t>
            </w:r>
          </w:p>
        </w:tc>
        <w:tc>
          <w:tcPr>
            <w:tcW w:w="323"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2C970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504"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010C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8.58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0884F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-1.54</w:t>
            </w:r>
          </w:p>
        </w:tc>
        <w:tc>
          <w:tcPr>
            <w:tcW w:w="2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D2011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1222" w:type="dxa"/>
            <w:vMerge w:val="continue"/>
            <w:tcBorders>
              <w:left w:val="single" w:color="000000" w:sz="8" w:space="0"/>
              <w:right w:val="single" w:color="000000" w:sz="8" w:space="0"/>
            </w:tcBorders>
            <w:shd w:val="clear" w:color="auto" w:fill="auto"/>
            <w:noWrap/>
            <w:vAlign w:val="center"/>
          </w:tcPr>
          <w:p w14:paraId="7408AC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7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9E1F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70.00</w:t>
            </w:r>
          </w:p>
        </w:tc>
        <w:tc>
          <w:tcPr>
            <w:tcW w:w="90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B2910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FC1A4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17.38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D4494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8.94</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C963E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52.53</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2AF7F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7.58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0905E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45.20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F79AC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50.98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D35BB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35.59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D11FE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52.41</w:t>
            </w:r>
          </w:p>
        </w:tc>
        <w:tc>
          <w:tcPr>
            <w:tcW w:w="325" w:type="dxa"/>
            <w:tcBorders>
              <w:left w:val="single" w:color="000000" w:sz="8" w:space="0"/>
              <w:right w:val="single" w:color="000000" w:sz="8" w:space="0"/>
            </w:tcBorders>
            <w:shd w:val="clear" w:color="auto" w:fill="auto"/>
            <w:noWrap/>
            <w:vAlign w:val="center"/>
          </w:tcPr>
          <w:p w14:paraId="2784E72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53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97D2F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B707C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25.20</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705A5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30.98</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F8CE5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15.59</w:t>
            </w:r>
          </w:p>
        </w:tc>
        <w:tc>
          <w:tcPr>
            <w:tcW w:w="46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0154DB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32.41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97C70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84CE7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2DE5A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c>
          <w:tcPr>
            <w:tcW w:w="328"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A31EF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1</w:t>
            </w:r>
          </w:p>
        </w:tc>
      </w:tr>
    </w:tbl>
    <w:p w14:paraId="16CF75BA">
      <w:pPr>
        <w:adjustRightInd w:val="0"/>
        <w:snapToGrid w:val="0"/>
        <w:spacing w:line="360" w:lineRule="auto"/>
        <w:jc w:val="center"/>
        <w:rPr>
          <w:rFonts w:hint="eastAsia" w:ascii="宋体" w:hAnsi="宋体" w:cs="宋体"/>
          <w:b/>
          <w:color w:val="auto"/>
          <w:kern w:val="0"/>
          <w:sz w:val="24"/>
          <w:szCs w:val="24"/>
          <w:highlight w:val="none"/>
          <w:lang w:val="en-US" w:eastAsia="zh-CN"/>
        </w:rPr>
      </w:pPr>
    </w:p>
    <w:p w14:paraId="7F1C1D00">
      <w:pPr>
        <w:adjustRightInd w:val="0"/>
        <w:snapToGrid w:val="0"/>
        <w:spacing w:line="360" w:lineRule="auto"/>
        <w:jc w:val="center"/>
        <w:rPr>
          <w:rFonts w:hint="default" w:ascii="宋体" w:hAnsi="宋体" w:cs="宋体"/>
          <w:b/>
          <w:color w:val="auto"/>
          <w:kern w:val="0"/>
          <w:sz w:val="24"/>
          <w:szCs w:val="24"/>
          <w:highlight w:val="none"/>
          <w:lang w:val="en-US" w:eastAsia="zh-CN"/>
        </w:rPr>
        <w:sectPr>
          <w:pgSz w:w="16840" w:h="11907" w:orient="landscape"/>
          <w:pgMar w:top="1531" w:right="1701" w:bottom="1531" w:left="2127" w:header="851" w:footer="1587" w:gutter="0"/>
          <w:pgBorders>
            <w:top w:val="none" w:sz="0" w:space="0"/>
            <w:left w:val="none" w:sz="0" w:space="0"/>
            <w:bottom w:val="none" w:sz="0" w:space="0"/>
            <w:right w:val="none" w:sz="0" w:space="0"/>
          </w:pgBorders>
          <w:cols w:space="720" w:num="1"/>
          <w:docGrid w:linePitch="312" w:charSpace="0"/>
        </w:sectPr>
      </w:pP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7"/>
        <w:gridCol w:w="8604"/>
      </w:tblGrid>
      <w:tr w14:paraId="65A3E0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02" w:hRule="atLeast"/>
          <w:jc w:val="center"/>
        </w:trPr>
        <w:tc>
          <w:tcPr>
            <w:tcW w:w="457" w:type="dxa"/>
            <w:vAlign w:val="center"/>
          </w:tcPr>
          <w:p w14:paraId="5903FF95">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b/>
                <w:bCs w:val="0"/>
                <w:color w:val="auto"/>
                <w:sz w:val="24"/>
                <w:highlight w:val="none"/>
              </w:rPr>
              <w:t>运营期环境影响和保护措施</w:t>
            </w:r>
          </w:p>
        </w:tc>
        <w:tc>
          <w:tcPr>
            <w:tcW w:w="8604" w:type="dxa"/>
            <w:vAlign w:val="center"/>
          </w:tcPr>
          <w:p w14:paraId="0D0841D9">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Cs/>
                <w:color w:val="auto"/>
                <w:sz w:val="24"/>
                <w:szCs w:val="21"/>
                <w:highlight w:val="none"/>
                <w:lang w:val="en-US" w:eastAsia="zh-CN"/>
              </w:rPr>
            </w:pPr>
            <w:r>
              <w:rPr>
                <w:rFonts w:hint="default" w:ascii="Times New Roman" w:hAnsi="Times New Roman" w:eastAsia="宋体" w:cs="Times New Roman"/>
                <w:bCs/>
                <w:color w:val="auto"/>
                <w:sz w:val="24"/>
                <w:szCs w:val="21"/>
                <w:highlight w:val="none"/>
                <w:lang w:eastAsia="zh-CN"/>
              </w:rPr>
              <w:t>（</w:t>
            </w:r>
            <w:r>
              <w:rPr>
                <w:rFonts w:hint="default" w:ascii="Times New Roman" w:hAnsi="Times New Roman" w:eastAsia="宋体" w:cs="Times New Roman"/>
                <w:bCs/>
                <w:color w:val="auto"/>
                <w:sz w:val="24"/>
                <w:szCs w:val="21"/>
                <w:highlight w:val="none"/>
                <w:lang w:val="en-US" w:eastAsia="zh-CN"/>
              </w:rPr>
              <w:t>2</w:t>
            </w:r>
            <w:r>
              <w:rPr>
                <w:rFonts w:hint="default" w:ascii="Times New Roman" w:hAnsi="Times New Roman" w:eastAsia="宋体" w:cs="Times New Roman"/>
                <w:bCs/>
                <w:color w:val="auto"/>
                <w:sz w:val="24"/>
                <w:szCs w:val="21"/>
                <w:highlight w:val="none"/>
                <w:lang w:eastAsia="zh-CN"/>
              </w:rPr>
              <w:t>）</w:t>
            </w:r>
            <w:r>
              <w:rPr>
                <w:rFonts w:hint="default" w:ascii="Times New Roman" w:hAnsi="Times New Roman" w:eastAsia="宋体" w:cs="Times New Roman"/>
                <w:bCs/>
                <w:color w:val="auto"/>
                <w:sz w:val="24"/>
                <w:szCs w:val="21"/>
                <w:highlight w:val="none"/>
                <w:lang w:val="en-US" w:eastAsia="zh-CN"/>
              </w:rPr>
              <w:t>厂界噪声环境影响评价</w:t>
            </w:r>
          </w:p>
          <w:p w14:paraId="5819EFAD">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项目采用《环境噪声评价技术导则-声环境》</w:t>
            </w:r>
            <w:r>
              <w:rPr>
                <w:rFonts w:hint="eastAsia" w:cs="Times New Roman"/>
                <w:bCs/>
                <w:color w:val="auto"/>
                <w:sz w:val="24"/>
                <w:szCs w:val="21"/>
                <w:highlight w:val="none"/>
                <w:lang w:eastAsia="zh-CN"/>
              </w:rPr>
              <w:t>（</w:t>
            </w:r>
            <w:r>
              <w:rPr>
                <w:rFonts w:hint="default" w:ascii="Times New Roman" w:hAnsi="Times New Roman" w:eastAsia="宋体" w:cs="Times New Roman"/>
                <w:bCs/>
                <w:color w:val="auto"/>
                <w:sz w:val="24"/>
                <w:szCs w:val="21"/>
                <w:highlight w:val="none"/>
              </w:rPr>
              <w:t>HJ2.4-2021</w:t>
            </w:r>
            <w:r>
              <w:rPr>
                <w:rFonts w:hint="eastAsia" w:cs="Times New Roman"/>
                <w:bCs/>
                <w:color w:val="auto"/>
                <w:sz w:val="24"/>
                <w:szCs w:val="21"/>
                <w:highlight w:val="none"/>
                <w:lang w:eastAsia="zh-CN"/>
              </w:rPr>
              <w:t>）</w:t>
            </w:r>
            <w:r>
              <w:rPr>
                <w:rFonts w:hint="default" w:ascii="Times New Roman" w:hAnsi="Times New Roman" w:eastAsia="宋体" w:cs="Times New Roman"/>
                <w:bCs/>
                <w:color w:val="auto"/>
                <w:sz w:val="24"/>
                <w:szCs w:val="21"/>
                <w:highlight w:val="none"/>
              </w:rPr>
              <w:t>中推荐模式进行预测，噪声从声源发出后向外辐射，在传播过程中经距离衰减、地面构筑物屏蔽反射、空气吸收等阶段后到达受声点，本次评价采用A声级计算，模式如下：</w:t>
            </w:r>
          </w:p>
          <w:p w14:paraId="45E3E5F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①单个声源到达受声点的声压级</w:t>
            </w:r>
          </w:p>
          <w:p w14:paraId="03894EAF">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LA(r)=LAref(ro)-(Adiv+Abar+Aatm+Aexc)</w:t>
            </w:r>
          </w:p>
          <w:p w14:paraId="3E65417D">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式中：LA(r)——距声源r处的A声级，dB(A</w:t>
            </w:r>
            <w:r>
              <w:rPr>
                <w:rFonts w:hint="eastAsia" w:cs="Times New Roman"/>
                <w:bCs/>
                <w:color w:val="auto"/>
                <w:sz w:val="24"/>
                <w:szCs w:val="21"/>
                <w:highlight w:val="none"/>
                <w:lang w:eastAsia="zh-CN"/>
              </w:rPr>
              <w:t>）</w:t>
            </w:r>
            <w:r>
              <w:rPr>
                <w:rFonts w:hint="default" w:ascii="Times New Roman" w:hAnsi="Times New Roman" w:eastAsia="宋体" w:cs="Times New Roman"/>
                <w:bCs/>
                <w:color w:val="auto"/>
                <w:sz w:val="24"/>
                <w:szCs w:val="21"/>
                <w:highlight w:val="none"/>
              </w:rPr>
              <w:t>；</w:t>
            </w:r>
          </w:p>
          <w:p w14:paraId="74FA261C">
            <w:pPr>
              <w:keepNext w:val="0"/>
              <w:keepLines w:val="0"/>
              <w:pageBreakBefore w:val="0"/>
              <w:widowControl w:val="0"/>
              <w:kinsoku/>
              <w:wordWrap/>
              <w:overflowPunct/>
              <w:topLinePunct w:val="0"/>
              <w:autoSpaceDE/>
              <w:autoSpaceDN/>
              <w:bidi w:val="0"/>
              <w:adjustRightInd/>
              <w:snapToGrid/>
              <w:spacing w:line="440" w:lineRule="exact"/>
              <w:ind w:firstLine="1200" w:firstLineChars="5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LAref(ro)——参考位置ro处A声级，dB(A</w:t>
            </w:r>
            <w:r>
              <w:rPr>
                <w:rFonts w:hint="eastAsia" w:cs="Times New Roman"/>
                <w:bCs/>
                <w:color w:val="auto"/>
                <w:sz w:val="24"/>
                <w:szCs w:val="21"/>
                <w:highlight w:val="none"/>
                <w:lang w:eastAsia="zh-CN"/>
              </w:rPr>
              <w:t>）</w:t>
            </w:r>
            <w:r>
              <w:rPr>
                <w:rFonts w:hint="default" w:ascii="Times New Roman" w:hAnsi="Times New Roman" w:eastAsia="宋体" w:cs="Times New Roman"/>
                <w:bCs/>
                <w:color w:val="auto"/>
                <w:sz w:val="24"/>
                <w:szCs w:val="21"/>
                <w:highlight w:val="none"/>
              </w:rPr>
              <w:t>；</w:t>
            </w:r>
          </w:p>
          <w:p w14:paraId="09189199">
            <w:pPr>
              <w:keepNext w:val="0"/>
              <w:keepLines w:val="0"/>
              <w:pageBreakBefore w:val="0"/>
              <w:widowControl w:val="0"/>
              <w:kinsoku/>
              <w:wordWrap/>
              <w:overflowPunct/>
              <w:topLinePunct w:val="0"/>
              <w:autoSpaceDE/>
              <w:autoSpaceDN/>
              <w:bidi w:val="0"/>
              <w:adjustRightInd/>
              <w:snapToGrid/>
              <w:spacing w:line="440" w:lineRule="exact"/>
              <w:ind w:firstLine="1200" w:firstLineChars="5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Adiv——声波几何发散引起的A声级衰减量，dB(A</w:t>
            </w:r>
            <w:r>
              <w:rPr>
                <w:rFonts w:hint="eastAsia" w:cs="Times New Roman"/>
                <w:bCs/>
                <w:color w:val="auto"/>
                <w:sz w:val="24"/>
                <w:szCs w:val="21"/>
                <w:highlight w:val="none"/>
                <w:lang w:eastAsia="zh-CN"/>
              </w:rPr>
              <w:t>）</w:t>
            </w:r>
            <w:r>
              <w:rPr>
                <w:rFonts w:hint="default" w:ascii="Times New Roman" w:hAnsi="Times New Roman" w:eastAsia="宋体" w:cs="Times New Roman"/>
                <w:bCs/>
                <w:color w:val="auto"/>
                <w:sz w:val="24"/>
                <w:szCs w:val="21"/>
                <w:highlight w:val="none"/>
              </w:rPr>
              <w:t>；</w:t>
            </w:r>
          </w:p>
          <w:p w14:paraId="66D83C98">
            <w:pPr>
              <w:keepNext w:val="0"/>
              <w:keepLines w:val="0"/>
              <w:pageBreakBefore w:val="0"/>
              <w:widowControl w:val="0"/>
              <w:kinsoku/>
              <w:wordWrap/>
              <w:overflowPunct/>
              <w:topLinePunct w:val="0"/>
              <w:autoSpaceDE/>
              <w:autoSpaceDN/>
              <w:bidi w:val="0"/>
              <w:adjustRightInd/>
              <w:snapToGrid/>
              <w:spacing w:line="440" w:lineRule="exact"/>
              <w:ind w:firstLine="1200" w:firstLineChars="5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Abar——遮挡物引起的声级衰减量，dB(A</w:t>
            </w:r>
            <w:r>
              <w:rPr>
                <w:rFonts w:hint="eastAsia" w:cs="Times New Roman"/>
                <w:bCs/>
                <w:color w:val="auto"/>
                <w:sz w:val="24"/>
                <w:szCs w:val="21"/>
                <w:highlight w:val="none"/>
                <w:lang w:eastAsia="zh-CN"/>
              </w:rPr>
              <w:t>）</w:t>
            </w:r>
            <w:r>
              <w:rPr>
                <w:rFonts w:hint="default" w:ascii="Times New Roman" w:hAnsi="Times New Roman" w:eastAsia="宋体" w:cs="Times New Roman"/>
                <w:bCs/>
                <w:color w:val="auto"/>
                <w:sz w:val="24"/>
                <w:szCs w:val="21"/>
                <w:highlight w:val="none"/>
              </w:rPr>
              <w:t>；</w:t>
            </w:r>
          </w:p>
          <w:p w14:paraId="219B3ED7">
            <w:pPr>
              <w:keepNext w:val="0"/>
              <w:keepLines w:val="0"/>
              <w:pageBreakBefore w:val="0"/>
              <w:widowControl w:val="0"/>
              <w:kinsoku/>
              <w:wordWrap/>
              <w:overflowPunct/>
              <w:topLinePunct w:val="0"/>
              <w:autoSpaceDE/>
              <w:autoSpaceDN/>
              <w:bidi w:val="0"/>
              <w:adjustRightInd/>
              <w:snapToGrid/>
              <w:spacing w:line="440" w:lineRule="exact"/>
              <w:ind w:firstLine="1200" w:firstLineChars="5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Aatm——空气吸收衰减量，dB(A</w:t>
            </w:r>
            <w:r>
              <w:rPr>
                <w:rFonts w:hint="eastAsia" w:cs="Times New Roman"/>
                <w:bCs/>
                <w:color w:val="auto"/>
                <w:sz w:val="24"/>
                <w:szCs w:val="21"/>
                <w:highlight w:val="none"/>
                <w:lang w:eastAsia="zh-CN"/>
              </w:rPr>
              <w:t>）</w:t>
            </w:r>
            <w:r>
              <w:rPr>
                <w:rFonts w:hint="default" w:ascii="Times New Roman" w:hAnsi="Times New Roman" w:eastAsia="宋体" w:cs="Times New Roman"/>
                <w:bCs/>
                <w:color w:val="auto"/>
                <w:sz w:val="24"/>
                <w:szCs w:val="21"/>
                <w:highlight w:val="none"/>
              </w:rPr>
              <w:t>；</w:t>
            </w:r>
          </w:p>
          <w:p w14:paraId="7E9AA100">
            <w:pPr>
              <w:keepNext w:val="0"/>
              <w:keepLines w:val="0"/>
              <w:pageBreakBefore w:val="0"/>
              <w:widowControl w:val="0"/>
              <w:kinsoku/>
              <w:wordWrap/>
              <w:overflowPunct/>
              <w:topLinePunct w:val="0"/>
              <w:autoSpaceDE/>
              <w:autoSpaceDN/>
              <w:bidi w:val="0"/>
              <w:adjustRightInd/>
              <w:snapToGrid/>
              <w:spacing w:line="440" w:lineRule="exact"/>
              <w:ind w:firstLine="1200" w:firstLineChars="5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Aexc——附加衰减量，dB(A</w:t>
            </w:r>
            <w:r>
              <w:rPr>
                <w:rFonts w:hint="eastAsia" w:cs="Times New Roman"/>
                <w:bCs/>
                <w:color w:val="auto"/>
                <w:sz w:val="24"/>
                <w:szCs w:val="21"/>
                <w:highlight w:val="none"/>
                <w:lang w:eastAsia="zh-CN"/>
              </w:rPr>
              <w:t>）</w:t>
            </w:r>
            <w:r>
              <w:rPr>
                <w:rFonts w:hint="default" w:ascii="Times New Roman" w:hAnsi="Times New Roman" w:eastAsia="宋体" w:cs="Times New Roman"/>
                <w:bCs/>
                <w:color w:val="auto"/>
                <w:sz w:val="24"/>
                <w:szCs w:val="21"/>
                <w:highlight w:val="none"/>
              </w:rPr>
              <w:t>。</w:t>
            </w:r>
          </w:p>
          <w:p w14:paraId="70398A40">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②多个声源发出的噪声在同一受声点的共同影响，其公式为：</w:t>
            </w:r>
          </w:p>
          <w:p w14:paraId="7C1CC0CB">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color w:val="auto"/>
                <w:highlight w:val="none"/>
              </w:rPr>
              <w:drawing>
                <wp:inline distT="0" distB="0" distL="0" distR="0">
                  <wp:extent cx="2057400" cy="495300"/>
                  <wp:effectExtent l="0" t="0" r="0" b="0"/>
                  <wp:docPr id="5427659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65962" name="图片 1"/>
                          <pic:cNvPicPr>
                            <a:picLocks noChangeAspect="1"/>
                          </pic:cNvPicPr>
                        </pic:nvPicPr>
                        <pic:blipFill>
                          <a:blip r:embed="rId12"/>
                          <a:stretch>
                            <a:fillRect/>
                          </a:stretch>
                        </pic:blipFill>
                        <pic:spPr>
                          <a:xfrm>
                            <a:off x="0" y="0"/>
                            <a:ext cx="2057687" cy="495369"/>
                          </a:xfrm>
                          <a:prstGeom prst="rect">
                            <a:avLst/>
                          </a:prstGeom>
                        </pic:spPr>
                      </pic:pic>
                    </a:graphicData>
                  </a:graphic>
                </wp:inline>
              </w:drawing>
            </w:r>
          </w:p>
          <w:p w14:paraId="57C530E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其中：Lp——预测点处的声级叠加值，dB(A</w:t>
            </w:r>
            <w:r>
              <w:rPr>
                <w:rFonts w:hint="eastAsia" w:cs="Times New Roman"/>
                <w:bCs/>
                <w:color w:val="auto"/>
                <w:sz w:val="24"/>
                <w:szCs w:val="21"/>
                <w:highlight w:val="none"/>
                <w:lang w:eastAsia="zh-CN"/>
              </w:rPr>
              <w:t>）</w:t>
            </w:r>
            <w:r>
              <w:rPr>
                <w:rFonts w:hint="default" w:ascii="Times New Roman" w:hAnsi="Times New Roman" w:eastAsia="宋体" w:cs="Times New Roman"/>
                <w:bCs/>
                <w:color w:val="auto"/>
                <w:sz w:val="24"/>
                <w:szCs w:val="21"/>
                <w:highlight w:val="none"/>
              </w:rPr>
              <w:t>；</w:t>
            </w:r>
          </w:p>
          <w:p w14:paraId="2D7A9461">
            <w:pPr>
              <w:keepNext w:val="0"/>
              <w:keepLines w:val="0"/>
              <w:pageBreakBefore w:val="0"/>
              <w:widowControl w:val="0"/>
              <w:kinsoku/>
              <w:wordWrap/>
              <w:overflowPunct/>
              <w:topLinePunct w:val="0"/>
              <w:autoSpaceDE/>
              <w:autoSpaceDN/>
              <w:bidi w:val="0"/>
              <w:adjustRightInd/>
              <w:snapToGrid/>
              <w:spacing w:line="440" w:lineRule="exact"/>
              <w:ind w:firstLine="1200" w:firstLineChars="5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n——噪声源个数。</w:t>
            </w:r>
          </w:p>
          <w:p w14:paraId="0AC2580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③预测结果</w:t>
            </w:r>
          </w:p>
          <w:p w14:paraId="6FCBC3F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宋体" w:cs="Times New Roman"/>
                <w:bCs/>
                <w:color w:val="auto"/>
                <w:sz w:val="24"/>
                <w:szCs w:val="21"/>
                <w:highlight w:val="none"/>
                <w:lang w:eastAsia="zh-CN"/>
              </w:rPr>
            </w:pPr>
            <w:r>
              <w:rPr>
                <w:rFonts w:hint="default" w:ascii="Times New Roman" w:hAnsi="Times New Roman" w:eastAsia="宋体" w:cs="Times New Roman"/>
                <w:bCs/>
                <w:color w:val="auto"/>
                <w:sz w:val="24"/>
                <w:szCs w:val="21"/>
                <w:highlight w:val="none"/>
              </w:rPr>
              <w:t>采用上述噪声预测模式进行预测计算，主要产噪设备运行过程中产生的噪声经封闭隔声和距离衰减后，对厂界的噪声影响详见下表</w:t>
            </w:r>
            <w:r>
              <w:rPr>
                <w:rFonts w:hint="eastAsia" w:cs="Times New Roman"/>
                <w:bCs/>
                <w:color w:val="auto"/>
                <w:sz w:val="24"/>
                <w:szCs w:val="21"/>
                <w:highlight w:val="none"/>
                <w:lang w:eastAsia="zh-CN"/>
              </w:rPr>
              <w:t>。</w:t>
            </w:r>
          </w:p>
          <w:p w14:paraId="4E9F4394">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bCs/>
                <w:color w:val="auto"/>
                <w:sz w:val="24"/>
                <w:highlight w:val="none"/>
              </w:rPr>
              <w:t>表4-</w:t>
            </w:r>
            <w:r>
              <w:rPr>
                <w:rFonts w:hint="eastAsia"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color w:val="auto"/>
                <w:sz w:val="24"/>
                <w:highlight w:val="none"/>
              </w:rPr>
              <w:t>厂界噪声预测结果一览表</w:t>
            </w:r>
          </w:p>
          <w:tbl>
            <w:tblPr>
              <w:tblStyle w:val="21"/>
              <w:tblW w:w="8256" w:type="dxa"/>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Layout w:type="fixed"/>
              <w:tblCellMar>
                <w:top w:w="0" w:type="dxa"/>
                <w:left w:w="108" w:type="dxa"/>
                <w:bottom w:w="0" w:type="dxa"/>
                <w:right w:w="108" w:type="dxa"/>
              </w:tblCellMar>
            </w:tblPr>
            <w:tblGrid>
              <w:gridCol w:w="826"/>
              <w:gridCol w:w="633"/>
              <w:gridCol w:w="652"/>
              <w:gridCol w:w="628"/>
              <w:gridCol w:w="643"/>
              <w:gridCol w:w="681"/>
              <w:gridCol w:w="676"/>
              <w:gridCol w:w="675"/>
              <w:gridCol w:w="637"/>
              <w:gridCol w:w="534"/>
              <w:gridCol w:w="606"/>
              <w:gridCol w:w="541"/>
              <w:gridCol w:w="524"/>
            </w:tblGrid>
            <w:tr w14:paraId="474E8FF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90" w:hRule="atLeast"/>
                <w:jc w:val="center"/>
              </w:trPr>
              <w:tc>
                <w:tcPr>
                  <w:tcW w:w="826" w:type="dxa"/>
                  <w:vMerge w:val="restart"/>
                  <w:tcBorders>
                    <w:tl2br w:val="nil"/>
                    <w:tr2bl w:val="nil"/>
                  </w:tcBorders>
                  <w:shd w:val="clear" w:color="auto" w:fill="auto"/>
                  <w:noWrap/>
                  <w:vAlign w:val="center"/>
                </w:tcPr>
                <w:p w14:paraId="324B6355">
                  <w:pPr>
                    <w:keepNext w:val="0"/>
                    <w:keepLines w:val="0"/>
                    <w:widowControl/>
                    <w:suppressLineNumbers w:val="0"/>
                    <w:jc w:val="center"/>
                    <w:textAlignment w:val="center"/>
                    <w:rPr>
                      <w:rFonts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声环境保护目标名称</w:t>
                  </w:r>
                </w:p>
              </w:tc>
              <w:tc>
                <w:tcPr>
                  <w:tcW w:w="1285" w:type="dxa"/>
                  <w:gridSpan w:val="2"/>
                  <w:tcBorders>
                    <w:tl2br w:val="nil"/>
                    <w:tr2bl w:val="nil"/>
                  </w:tcBorders>
                  <w:shd w:val="clear" w:color="auto" w:fill="auto"/>
                  <w:noWrap/>
                  <w:vAlign w:val="center"/>
                </w:tcPr>
                <w:p w14:paraId="6A9EB35E">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噪声现状值/dB(A)</w:t>
                  </w:r>
                </w:p>
              </w:tc>
              <w:tc>
                <w:tcPr>
                  <w:tcW w:w="1271" w:type="dxa"/>
                  <w:gridSpan w:val="2"/>
                  <w:tcBorders>
                    <w:tl2br w:val="nil"/>
                    <w:tr2bl w:val="nil"/>
                  </w:tcBorders>
                  <w:shd w:val="clear" w:color="auto" w:fill="auto"/>
                  <w:noWrap/>
                  <w:vAlign w:val="center"/>
                </w:tcPr>
                <w:p w14:paraId="0A337C10">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噪声贡献值/dB(A)</w:t>
                  </w:r>
                </w:p>
              </w:tc>
              <w:tc>
                <w:tcPr>
                  <w:tcW w:w="1357" w:type="dxa"/>
                  <w:gridSpan w:val="2"/>
                  <w:tcBorders>
                    <w:tl2br w:val="nil"/>
                    <w:tr2bl w:val="nil"/>
                  </w:tcBorders>
                  <w:shd w:val="clear" w:color="auto" w:fill="auto"/>
                  <w:noWrap/>
                  <w:vAlign w:val="center"/>
                </w:tcPr>
                <w:p w14:paraId="279B05BA">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噪声预测值/dB(A)</w:t>
                  </w:r>
                </w:p>
              </w:tc>
              <w:tc>
                <w:tcPr>
                  <w:tcW w:w="1312" w:type="dxa"/>
                  <w:gridSpan w:val="2"/>
                  <w:tcBorders>
                    <w:tl2br w:val="nil"/>
                    <w:tr2bl w:val="nil"/>
                  </w:tcBorders>
                  <w:shd w:val="clear" w:color="auto" w:fill="auto"/>
                  <w:noWrap/>
                  <w:vAlign w:val="center"/>
                </w:tcPr>
                <w:p w14:paraId="5FF16566">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较现状增量/dB(A)</w:t>
                  </w:r>
                </w:p>
              </w:tc>
              <w:tc>
                <w:tcPr>
                  <w:tcW w:w="1140" w:type="dxa"/>
                  <w:gridSpan w:val="2"/>
                  <w:tcBorders>
                    <w:tl2br w:val="nil"/>
                    <w:tr2bl w:val="nil"/>
                  </w:tcBorders>
                  <w:shd w:val="clear" w:color="auto" w:fill="auto"/>
                  <w:noWrap/>
                  <w:vAlign w:val="center"/>
                </w:tcPr>
                <w:p w14:paraId="7F54861E">
                  <w:pPr>
                    <w:keepNext w:val="0"/>
                    <w:keepLines w:val="0"/>
                    <w:widowControl/>
                    <w:suppressLineNumbers w:val="0"/>
                    <w:jc w:val="center"/>
                    <w:textAlignment w:val="center"/>
                    <w:rPr>
                      <w:rFonts w:hint="default" w:ascii="Calibri" w:hAnsi="Calibri" w:eastAsia="宋体" w:cs="Calibri"/>
                      <w:b/>
                      <w:bCs/>
                      <w:i w:val="0"/>
                      <w:iCs w:val="0"/>
                      <w:color w:val="auto"/>
                      <w:kern w:val="0"/>
                      <w:sz w:val="22"/>
                      <w:szCs w:val="22"/>
                      <w:highlight w:val="none"/>
                      <w:u w:val="none"/>
                      <w:lang w:val="en-US" w:eastAsia="zh-CN" w:bidi="ar"/>
                    </w:rPr>
                  </w:pPr>
                  <w:r>
                    <w:rPr>
                      <w:rFonts w:hint="default" w:ascii="Calibri" w:hAnsi="Calibri" w:eastAsia="宋体" w:cs="Calibri"/>
                      <w:b/>
                      <w:bCs/>
                      <w:i w:val="0"/>
                      <w:iCs w:val="0"/>
                      <w:color w:val="auto"/>
                      <w:kern w:val="0"/>
                      <w:sz w:val="22"/>
                      <w:szCs w:val="22"/>
                      <w:highlight w:val="none"/>
                      <w:u w:val="none"/>
                      <w:lang w:val="en-US" w:eastAsia="zh-CN" w:bidi="ar"/>
                    </w:rPr>
                    <w:t>噪声标准/dB(A)</w:t>
                  </w:r>
                </w:p>
              </w:tc>
              <w:tc>
                <w:tcPr>
                  <w:tcW w:w="1065" w:type="dxa"/>
                  <w:gridSpan w:val="2"/>
                  <w:tcBorders>
                    <w:tl2br w:val="nil"/>
                    <w:tr2bl w:val="nil"/>
                  </w:tcBorders>
                  <w:shd w:val="clear" w:color="auto" w:fill="auto"/>
                  <w:noWrap/>
                  <w:vAlign w:val="center"/>
                </w:tcPr>
                <w:p w14:paraId="50CBEE0F">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超标和达标情况</w:t>
                  </w:r>
                </w:p>
              </w:tc>
            </w:tr>
            <w:tr w14:paraId="1E5E33D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90" w:hRule="atLeast"/>
                <w:jc w:val="center"/>
              </w:trPr>
              <w:tc>
                <w:tcPr>
                  <w:tcW w:w="826" w:type="dxa"/>
                  <w:vMerge w:val="continue"/>
                  <w:tcBorders>
                    <w:tl2br w:val="nil"/>
                    <w:tr2bl w:val="nil"/>
                  </w:tcBorders>
                  <w:shd w:val="clear" w:color="auto" w:fill="auto"/>
                  <w:noWrap/>
                  <w:vAlign w:val="center"/>
                </w:tcPr>
                <w:p w14:paraId="6AEEDA93">
                  <w:pPr>
                    <w:jc w:val="center"/>
                    <w:rPr>
                      <w:rFonts w:hint="default" w:ascii="Calibri" w:hAnsi="Calibri" w:cs="Calibri"/>
                      <w:b/>
                      <w:bCs/>
                      <w:i w:val="0"/>
                      <w:iCs w:val="0"/>
                      <w:color w:val="auto"/>
                      <w:sz w:val="22"/>
                      <w:szCs w:val="22"/>
                      <w:highlight w:val="none"/>
                      <w:u w:val="none"/>
                    </w:rPr>
                  </w:pPr>
                </w:p>
              </w:tc>
              <w:tc>
                <w:tcPr>
                  <w:tcW w:w="633" w:type="dxa"/>
                  <w:tcBorders>
                    <w:tl2br w:val="nil"/>
                    <w:tr2bl w:val="nil"/>
                  </w:tcBorders>
                  <w:shd w:val="clear" w:color="auto" w:fill="auto"/>
                  <w:noWrap/>
                  <w:vAlign w:val="center"/>
                </w:tcPr>
                <w:p w14:paraId="5EA7D540">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昼间</w:t>
                  </w:r>
                </w:p>
              </w:tc>
              <w:tc>
                <w:tcPr>
                  <w:tcW w:w="652" w:type="dxa"/>
                  <w:tcBorders>
                    <w:tl2br w:val="nil"/>
                    <w:tr2bl w:val="nil"/>
                  </w:tcBorders>
                  <w:shd w:val="clear" w:color="auto" w:fill="auto"/>
                  <w:noWrap/>
                  <w:vAlign w:val="center"/>
                </w:tcPr>
                <w:p w14:paraId="5E69B0AB">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夜间</w:t>
                  </w:r>
                </w:p>
              </w:tc>
              <w:tc>
                <w:tcPr>
                  <w:tcW w:w="628" w:type="dxa"/>
                  <w:tcBorders>
                    <w:tl2br w:val="nil"/>
                    <w:tr2bl w:val="nil"/>
                  </w:tcBorders>
                  <w:shd w:val="clear" w:color="auto" w:fill="auto"/>
                  <w:noWrap/>
                  <w:vAlign w:val="center"/>
                </w:tcPr>
                <w:p w14:paraId="2EDEDC23">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昼间</w:t>
                  </w:r>
                </w:p>
              </w:tc>
              <w:tc>
                <w:tcPr>
                  <w:tcW w:w="643" w:type="dxa"/>
                  <w:tcBorders>
                    <w:tl2br w:val="nil"/>
                    <w:tr2bl w:val="nil"/>
                  </w:tcBorders>
                  <w:shd w:val="clear" w:color="auto" w:fill="auto"/>
                  <w:noWrap/>
                  <w:vAlign w:val="center"/>
                </w:tcPr>
                <w:p w14:paraId="78829037">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夜间</w:t>
                  </w:r>
                </w:p>
              </w:tc>
              <w:tc>
                <w:tcPr>
                  <w:tcW w:w="681" w:type="dxa"/>
                  <w:tcBorders>
                    <w:tl2br w:val="nil"/>
                    <w:tr2bl w:val="nil"/>
                  </w:tcBorders>
                  <w:shd w:val="clear" w:color="auto" w:fill="auto"/>
                  <w:noWrap/>
                  <w:vAlign w:val="center"/>
                </w:tcPr>
                <w:p w14:paraId="31AB7A30">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昼间</w:t>
                  </w:r>
                </w:p>
              </w:tc>
              <w:tc>
                <w:tcPr>
                  <w:tcW w:w="676" w:type="dxa"/>
                  <w:tcBorders>
                    <w:tl2br w:val="nil"/>
                    <w:tr2bl w:val="nil"/>
                  </w:tcBorders>
                  <w:shd w:val="clear" w:color="auto" w:fill="auto"/>
                  <w:noWrap/>
                  <w:vAlign w:val="center"/>
                </w:tcPr>
                <w:p w14:paraId="4591F8B4">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夜间</w:t>
                  </w:r>
                </w:p>
              </w:tc>
              <w:tc>
                <w:tcPr>
                  <w:tcW w:w="675" w:type="dxa"/>
                  <w:tcBorders>
                    <w:tl2br w:val="nil"/>
                    <w:tr2bl w:val="nil"/>
                  </w:tcBorders>
                  <w:shd w:val="clear" w:color="auto" w:fill="auto"/>
                  <w:noWrap/>
                  <w:vAlign w:val="center"/>
                </w:tcPr>
                <w:p w14:paraId="794E7BF0">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昼间</w:t>
                  </w:r>
                </w:p>
              </w:tc>
              <w:tc>
                <w:tcPr>
                  <w:tcW w:w="637" w:type="dxa"/>
                  <w:tcBorders>
                    <w:tl2br w:val="nil"/>
                    <w:tr2bl w:val="nil"/>
                  </w:tcBorders>
                  <w:shd w:val="clear" w:color="auto" w:fill="auto"/>
                  <w:noWrap/>
                  <w:vAlign w:val="center"/>
                </w:tcPr>
                <w:p w14:paraId="1227717B">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夜间</w:t>
                  </w:r>
                </w:p>
              </w:tc>
              <w:tc>
                <w:tcPr>
                  <w:tcW w:w="534" w:type="dxa"/>
                  <w:tcBorders>
                    <w:tl2br w:val="nil"/>
                    <w:tr2bl w:val="nil"/>
                  </w:tcBorders>
                  <w:shd w:val="clear" w:color="auto" w:fill="auto"/>
                  <w:noWrap/>
                  <w:vAlign w:val="center"/>
                </w:tcPr>
                <w:p w14:paraId="6439103B">
                  <w:pPr>
                    <w:keepNext w:val="0"/>
                    <w:keepLines w:val="0"/>
                    <w:widowControl/>
                    <w:suppressLineNumbers w:val="0"/>
                    <w:jc w:val="center"/>
                    <w:textAlignment w:val="center"/>
                    <w:rPr>
                      <w:rFonts w:hint="default" w:ascii="Calibri" w:hAnsi="Calibri" w:eastAsia="宋体" w:cs="Calibri"/>
                      <w:b/>
                      <w:bCs/>
                      <w:i w:val="0"/>
                      <w:iCs w:val="0"/>
                      <w:color w:val="auto"/>
                      <w:kern w:val="0"/>
                      <w:sz w:val="22"/>
                      <w:szCs w:val="22"/>
                      <w:highlight w:val="none"/>
                      <w:u w:val="none"/>
                      <w:lang w:val="en-US" w:eastAsia="zh-CN" w:bidi="ar"/>
                    </w:rPr>
                  </w:pPr>
                  <w:r>
                    <w:rPr>
                      <w:rFonts w:hint="default" w:ascii="Calibri" w:hAnsi="Calibri" w:eastAsia="宋体" w:cs="Calibri"/>
                      <w:b/>
                      <w:bCs/>
                      <w:i w:val="0"/>
                      <w:iCs w:val="0"/>
                      <w:color w:val="auto"/>
                      <w:kern w:val="0"/>
                      <w:sz w:val="22"/>
                      <w:szCs w:val="22"/>
                      <w:highlight w:val="none"/>
                      <w:u w:val="none"/>
                      <w:lang w:val="en-US" w:eastAsia="zh-CN" w:bidi="ar"/>
                    </w:rPr>
                    <w:t>昼间</w:t>
                  </w:r>
                </w:p>
              </w:tc>
              <w:tc>
                <w:tcPr>
                  <w:tcW w:w="606" w:type="dxa"/>
                  <w:tcBorders>
                    <w:tl2br w:val="nil"/>
                    <w:tr2bl w:val="nil"/>
                  </w:tcBorders>
                  <w:shd w:val="clear" w:color="auto" w:fill="auto"/>
                  <w:noWrap/>
                  <w:vAlign w:val="center"/>
                </w:tcPr>
                <w:p w14:paraId="798B3E19">
                  <w:pPr>
                    <w:keepNext w:val="0"/>
                    <w:keepLines w:val="0"/>
                    <w:widowControl/>
                    <w:suppressLineNumbers w:val="0"/>
                    <w:jc w:val="center"/>
                    <w:textAlignment w:val="center"/>
                    <w:rPr>
                      <w:b/>
                      <w:bCs/>
                      <w:color w:val="auto"/>
                      <w:highlight w:val="none"/>
                    </w:rPr>
                  </w:pPr>
                  <w:r>
                    <w:rPr>
                      <w:rFonts w:hint="default" w:ascii="Calibri" w:hAnsi="Calibri" w:eastAsia="宋体" w:cs="Calibri"/>
                      <w:b/>
                      <w:bCs/>
                      <w:i w:val="0"/>
                      <w:iCs w:val="0"/>
                      <w:color w:val="auto"/>
                      <w:kern w:val="0"/>
                      <w:sz w:val="22"/>
                      <w:szCs w:val="22"/>
                      <w:highlight w:val="none"/>
                      <w:u w:val="none"/>
                      <w:lang w:val="en-US" w:eastAsia="zh-CN" w:bidi="ar"/>
                    </w:rPr>
                    <w:t>夜间</w:t>
                  </w:r>
                </w:p>
              </w:tc>
              <w:tc>
                <w:tcPr>
                  <w:tcW w:w="541" w:type="dxa"/>
                  <w:tcBorders>
                    <w:tl2br w:val="nil"/>
                    <w:tr2bl w:val="nil"/>
                  </w:tcBorders>
                  <w:shd w:val="clear" w:color="auto" w:fill="auto"/>
                  <w:noWrap/>
                  <w:vAlign w:val="center"/>
                </w:tcPr>
                <w:p w14:paraId="19A90BC3">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昼间</w:t>
                  </w:r>
                </w:p>
              </w:tc>
              <w:tc>
                <w:tcPr>
                  <w:tcW w:w="524" w:type="dxa"/>
                  <w:tcBorders>
                    <w:tl2br w:val="nil"/>
                    <w:tr2bl w:val="nil"/>
                  </w:tcBorders>
                  <w:shd w:val="clear" w:color="auto" w:fill="auto"/>
                  <w:noWrap/>
                  <w:vAlign w:val="center"/>
                </w:tcPr>
                <w:p w14:paraId="53C60525">
                  <w:pPr>
                    <w:keepNext w:val="0"/>
                    <w:keepLines w:val="0"/>
                    <w:widowControl/>
                    <w:suppressLineNumbers w:val="0"/>
                    <w:jc w:val="center"/>
                    <w:textAlignment w:val="center"/>
                    <w:rPr>
                      <w:rFonts w:hint="default" w:ascii="Calibri" w:hAnsi="Calibri" w:cs="Calibri"/>
                      <w:b/>
                      <w:bCs/>
                      <w:i w:val="0"/>
                      <w:iCs w:val="0"/>
                      <w:color w:val="auto"/>
                      <w:sz w:val="22"/>
                      <w:szCs w:val="22"/>
                      <w:highlight w:val="none"/>
                      <w:u w:val="none"/>
                    </w:rPr>
                  </w:pPr>
                  <w:r>
                    <w:rPr>
                      <w:rFonts w:hint="default" w:ascii="Calibri" w:hAnsi="Calibri" w:eastAsia="宋体" w:cs="Calibri"/>
                      <w:b/>
                      <w:bCs/>
                      <w:i w:val="0"/>
                      <w:iCs w:val="0"/>
                      <w:color w:val="auto"/>
                      <w:kern w:val="0"/>
                      <w:sz w:val="22"/>
                      <w:szCs w:val="22"/>
                      <w:highlight w:val="none"/>
                      <w:u w:val="none"/>
                      <w:lang w:val="en-US" w:eastAsia="zh-CN" w:bidi="ar"/>
                    </w:rPr>
                    <w:t>夜间</w:t>
                  </w:r>
                </w:p>
              </w:tc>
            </w:tr>
            <w:tr w14:paraId="103EFA9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PrEx>
              <w:trPr>
                <w:trHeight w:val="90" w:hRule="atLeast"/>
                <w:jc w:val="center"/>
              </w:trPr>
              <w:tc>
                <w:tcPr>
                  <w:tcW w:w="826" w:type="dxa"/>
                  <w:tcBorders>
                    <w:tl2br w:val="nil"/>
                    <w:tr2bl w:val="nil"/>
                  </w:tcBorders>
                  <w:shd w:val="clear" w:color="auto" w:fill="auto"/>
                  <w:noWrap/>
                  <w:vAlign w:val="center"/>
                </w:tcPr>
                <w:p w14:paraId="7B721FF7">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Calibri" w:hAnsi="Calibri" w:eastAsia="宋体" w:cs="Calibri"/>
                      <w:i w:val="0"/>
                      <w:iCs w:val="0"/>
                      <w:color w:val="auto"/>
                      <w:kern w:val="0"/>
                      <w:sz w:val="22"/>
                      <w:szCs w:val="22"/>
                      <w:highlight w:val="none"/>
                      <w:u w:val="none"/>
                      <w:lang w:val="en-US" w:eastAsia="zh-CN" w:bidi="ar"/>
                    </w:rPr>
                    <w:t>厂界北</w:t>
                  </w:r>
                </w:p>
              </w:tc>
              <w:tc>
                <w:tcPr>
                  <w:tcW w:w="633" w:type="dxa"/>
                  <w:tcBorders>
                    <w:tl2br w:val="nil"/>
                    <w:tr2bl w:val="nil"/>
                  </w:tcBorders>
                  <w:shd w:val="clear" w:color="auto" w:fill="auto"/>
                  <w:noWrap/>
                  <w:vAlign w:val="center"/>
                </w:tcPr>
                <w:p w14:paraId="26B931DF">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54.7</w:t>
                  </w:r>
                </w:p>
              </w:tc>
              <w:tc>
                <w:tcPr>
                  <w:tcW w:w="652" w:type="dxa"/>
                  <w:tcBorders>
                    <w:tl2br w:val="nil"/>
                    <w:tr2bl w:val="nil"/>
                  </w:tcBorders>
                  <w:shd w:val="clear" w:color="auto" w:fill="auto"/>
                  <w:noWrap/>
                  <w:vAlign w:val="center"/>
                </w:tcPr>
                <w:p w14:paraId="03E4D809">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44.9</w:t>
                  </w:r>
                </w:p>
              </w:tc>
              <w:tc>
                <w:tcPr>
                  <w:tcW w:w="628" w:type="dxa"/>
                  <w:tcBorders>
                    <w:tl2br w:val="nil"/>
                    <w:tr2bl w:val="nil"/>
                  </w:tcBorders>
                  <w:shd w:val="clear" w:color="auto" w:fill="auto"/>
                  <w:noWrap/>
                  <w:vAlign w:val="center"/>
                </w:tcPr>
                <w:p w14:paraId="15D49DDC">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default" w:ascii="Times New Roman" w:hAnsi="Times New Roman" w:eastAsia="宋体" w:cs="Times New Roman"/>
                      <w:i w:val="0"/>
                      <w:iCs w:val="0"/>
                      <w:color w:val="auto"/>
                      <w:kern w:val="0"/>
                      <w:sz w:val="22"/>
                      <w:szCs w:val="22"/>
                      <w:highlight w:val="none"/>
                      <w:u w:val="none"/>
                      <w:lang w:val="en-US" w:eastAsia="zh-CN" w:bidi="ar"/>
                    </w:rPr>
                    <w:t>38.95</w:t>
                  </w:r>
                </w:p>
              </w:tc>
              <w:tc>
                <w:tcPr>
                  <w:tcW w:w="643" w:type="dxa"/>
                  <w:tcBorders>
                    <w:tl2br w:val="nil"/>
                    <w:tr2bl w:val="nil"/>
                  </w:tcBorders>
                  <w:shd w:val="clear" w:color="auto" w:fill="auto"/>
                  <w:noWrap/>
                  <w:vAlign w:val="center"/>
                </w:tcPr>
                <w:p w14:paraId="1AF4CA6B">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default" w:ascii="Times New Roman" w:hAnsi="Times New Roman" w:eastAsia="宋体" w:cs="Times New Roman"/>
                      <w:i w:val="0"/>
                      <w:iCs w:val="0"/>
                      <w:color w:val="auto"/>
                      <w:kern w:val="0"/>
                      <w:sz w:val="22"/>
                      <w:szCs w:val="22"/>
                      <w:highlight w:val="none"/>
                      <w:u w:val="none"/>
                      <w:lang w:val="en-US" w:eastAsia="zh-CN" w:bidi="ar"/>
                    </w:rPr>
                    <w:t>38.95</w:t>
                  </w:r>
                </w:p>
              </w:tc>
              <w:tc>
                <w:tcPr>
                  <w:tcW w:w="681" w:type="dxa"/>
                  <w:tcBorders>
                    <w:tl2br w:val="nil"/>
                    <w:tr2bl w:val="nil"/>
                  </w:tcBorders>
                  <w:shd w:val="clear" w:color="auto" w:fill="auto"/>
                  <w:noWrap/>
                  <w:vAlign w:val="center"/>
                </w:tcPr>
                <w:p w14:paraId="5D72E6AC">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5</w:t>
                  </w:r>
                  <w:r>
                    <w:rPr>
                      <w:rFonts w:hint="eastAsia" w:ascii="Calibri" w:hAnsi="Calibri" w:cs="Calibri"/>
                      <w:i w:val="0"/>
                      <w:iCs w:val="0"/>
                      <w:color w:val="auto"/>
                      <w:kern w:val="0"/>
                      <w:sz w:val="22"/>
                      <w:szCs w:val="22"/>
                      <w:highlight w:val="none"/>
                      <w:u w:val="none"/>
                      <w:lang w:val="en-US" w:eastAsia="zh-CN" w:bidi="ar"/>
                    </w:rPr>
                    <w:t>6.3</w:t>
                  </w:r>
                </w:p>
              </w:tc>
              <w:tc>
                <w:tcPr>
                  <w:tcW w:w="676" w:type="dxa"/>
                  <w:tcBorders>
                    <w:tl2br w:val="nil"/>
                    <w:tr2bl w:val="nil"/>
                  </w:tcBorders>
                  <w:shd w:val="clear" w:color="auto" w:fill="auto"/>
                  <w:noWrap/>
                  <w:vAlign w:val="center"/>
                </w:tcPr>
                <w:p w14:paraId="6519217A">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eastAsia" w:ascii="Calibri" w:hAnsi="Calibri" w:eastAsia="宋体" w:cs="Calibri"/>
                      <w:i w:val="0"/>
                      <w:iCs w:val="0"/>
                      <w:color w:val="auto"/>
                      <w:kern w:val="0"/>
                      <w:sz w:val="22"/>
                      <w:szCs w:val="22"/>
                      <w:highlight w:val="none"/>
                      <w:u w:val="none"/>
                      <w:lang w:val="en-US" w:eastAsia="zh-CN" w:bidi="ar"/>
                    </w:rPr>
                    <w:t>46.</w:t>
                  </w:r>
                  <w:r>
                    <w:rPr>
                      <w:rFonts w:hint="eastAsia" w:ascii="Calibri" w:hAnsi="Calibri" w:cs="Calibri"/>
                      <w:i w:val="0"/>
                      <w:iCs w:val="0"/>
                      <w:color w:val="auto"/>
                      <w:kern w:val="0"/>
                      <w:sz w:val="22"/>
                      <w:szCs w:val="22"/>
                      <w:highlight w:val="none"/>
                      <w:u w:val="none"/>
                      <w:lang w:val="en-US" w:eastAsia="zh-CN" w:bidi="ar"/>
                    </w:rPr>
                    <w:t>5</w:t>
                  </w:r>
                </w:p>
              </w:tc>
              <w:tc>
                <w:tcPr>
                  <w:tcW w:w="675" w:type="dxa"/>
                  <w:tcBorders>
                    <w:tl2br w:val="nil"/>
                    <w:tr2bl w:val="nil"/>
                  </w:tcBorders>
                  <w:shd w:val="clear" w:color="auto" w:fill="auto"/>
                  <w:noWrap/>
                  <w:vAlign w:val="center"/>
                </w:tcPr>
                <w:p w14:paraId="5F6B942A">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+1.6</w:t>
                  </w:r>
                </w:p>
              </w:tc>
              <w:tc>
                <w:tcPr>
                  <w:tcW w:w="637" w:type="dxa"/>
                  <w:tcBorders>
                    <w:tl2br w:val="nil"/>
                    <w:tr2bl w:val="nil"/>
                  </w:tcBorders>
                  <w:shd w:val="clear" w:color="auto" w:fill="auto"/>
                  <w:noWrap/>
                  <w:vAlign w:val="center"/>
                </w:tcPr>
                <w:p w14:paraId="7530B24A">
                  <w:pPr>
                    <w:keepNext w:val="0"/>
                    <w:keepLines w:val="0"/>
                    <w:widowControl/>
                    <w:suppressLineNumbers w:val="0"/>
                    <w:jc w:val="center"/>
                    <w:textAlignment w:val="center"/>
                    <w:rPr>
                      <w:rFonts w:hint="default" w:ascii="Calibri" w:hAnsi="Calibri" w:cs="Calibri" w:eastAsiaTheme="minorEastAsia"/>
                      <w:i w:val="0"/>
                      <w:iCs w:val="0"/>
                      <w:color w:val="auto"/>
                      <w:sz w:val="22"/>
                      <w:szCs w:val="22"/>
                      <w:highlight w:val="none"/>
                      <w:u w:val="none"/>
                      <w:lang w:val="en-US" w:eastAsia="zh-CN"/>
                    </w:rPr>
                  </w:pPr>
                  <w:r>
                    <w:rPr>
                      <w:rFonts w:hint="eastAsia" w:ascii="Calibri" w:hAnsi="Calibri" w:cs="Calibri"/>
                      <w:i w:val="0"/>
                      <w:iCs w:val="0"/>
                      <w:color w:val="auto"/>
                      <w:sz w:val="22"/>
                      <w:szCs w:val="22"/>
                      <w:highlight w:val="none"/>
                      <w:u w:val="none"/>
                      <w:lang w:val="en-US" w:eastAsia="zh-CN"/>
                    </w:rPr>
                    <w:t>+1.6</w:t>
                  </w:r>
                </w:p>
              </w:tc>
              <w:tc>
                <w:tcPr>
                  <w:tcW w:w="534" w:type="dxa"/>
                  <w:tcBorders>
                    <w:tl2br w:val="nil"/>
                    <w:tr2bl w:val="nil"/>
                  </w:tcBorders>
                  <w:shd w:val="clear" w:color="auto" w:fill="auto"/>
                  <w:noWrap/>
                  <w:vAlign w:val="center"/>
                </w:tcPr>
                <w:p w14:paraId="0157EA9E">
                  <w:pPr>
                    <w:keepNext w:val="0"/>
                    <w:keepLines w:val="0"/>
                    <w:widowControl/>
                    <w:suppressLineNumbers w:val="0"/>
                    <w:jc w:val="center"/>
                    <w:textAlignment w:val="center"/>
                    <w:rPr>
                      <w:rFonts w:hint="default" w:ascii="Calibri" w:hAnsi="Calibri" w:eastAsia="宋体" w:cs="Calibri"/>
                      <w:i w:val="0"/>
                      <w:iCs w:val="0"/>
                      <w:color w:val="auto"/>
                      <w:kern w:val="0"/>
                      <w:sz w:val="22"/>
                      <w:szCs w:val="22"/>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60</w:t>
                  </w:r>
                </w:p>
              </w:tc>
              <w:tc>
                <w:tcPr>
                  <w:tcW w:w="606" w:type="dxa"/>
                  <w:tcBorders>
                    <w:tl2br w:val="nil"/>
                    <w:tr2bl w:val="nil"/>
                  </w:tcBorders>
                  <w:shd w:val="clear" w:color="auto" w:fill="auto"/>
                  <w:noWrap/>
                  <w:vAlign w:val="center"/>
                </w:tcPr>
                <w:p w14:paraId="7DC9DB26">
                  <w:pPr>
                    <w:keepNext w:val="0"/>
                    <w:keepLines w:val="0"/>
                    <w:widowControl/>
                    <w:suppressLineNumbers w:val="0"/>
                    <w:jc w:val="center"/>
                    <w:textAlignment w:val="center"/>
                    <w:rPr>
                      <w:rFonts w:hint="default"/>
                      <w:color w:val="auto"/>
                      <w:highlight w:val="none"/>
                      <w:lang w:val="en-US"/>
                    </w:rPr>
                  </w:pPr>
                  <w:r>
                    <w:rPr>
                      <w:rFonts w:hint="eastAsia" w:ascii="Calibri" w:hAnsi="Calibri" w:cs="Calibri"/>
                      <w:i w:val="0"/>
                      <w:iCs w:val="0"/>
                      <w:color w:val="auto"/>
                      <w:kern w:val="0"/>
                      <w:sz w:val="22"/>
                      <w:szCs w:val="22"/>
                      <w:highlight w:val="none"/>
                      <w:u w:val="none"/>
                      <w:lang w:val="en-US" w:eastAsia="zh-CN" w:bidi="ar"/>
                    </w:rPr>
                    <w:t>50</w:t>
                  </w:r>
                </w:p>
              </w:tc>
              <w:tc>
                <w:tcPr>
                  <w:tcW w:w="541" w:type="dxa"/>
                  <w:tcBorders>
                    <w:tl2br w:val="nil"/>
                    <w:tr2bl w:val="nil"/>
                  </w:tcBorders>
                  <w:shd w:val="clear" w:color="auto" w:fill="auto"/>
                  <w:noWrap/>
                  <w:vAlign w:val="center"/>
                </w:tcPr>
                <w:p w14:paraId="51BE6889">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Calibri" w:hAnsi="Calibri" w:eastAsia="宋体" w:cs="Calibri"/>
                      <w:i w:val="0"/>
                      <w:iCs w:val="0"/>
                      <w:color w:val="auto"/>
                      <w:kern w:val="0"/>
                      <w:sz w:val="22"/>
                      <w:szCs w:val="22"/>
                      <w:highlight w:val="none"/>
                      <w:u w:val="none"/>
                      <w:lang w:val="en-US" w:eastAsia="zh-CN" w:bidi="ar"/>
                    </w:rPr>
                    <w:t>达标</w:t>
                  </w:r>
                </w:p>
              </w:tc>
              <w:tc>
                <w:tcPr>
                  <w:tcW w:w="524" w:type="dxa"/>
                  <w:tcBorders>
                    <w:tl2br w:val="nil"/>
                    <w:tr2bl w:val="nil"/>
                  </w:tcBorders>
                  <w:shd w:val="clear" w:color="auto" w:fill="auto"/>
                  <w:noWrap/>
                  <w:vAlign w:val="center"/>
                </w:tcPr>
                <w:p w14:paraId="4413187C">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Calibri" w:hAnsi="Calibri" w:eastAsia="宋体" w:cs="Calibri"/>
                      <w:i w:val="0"/>
                      <w:iCs w:val="0"/>
                      <w:color w:val="auto"/>
                      <w:kern w:val="0"/>
                      <w:sz w:val="22"/>
                      <w:szCs w:val="22"/>
                      <w:highlight w:val="none"/>
                      <w:u w:val="none"/>
                      <w:lang w:val="en-US" w:eastAsia="zh-CN" w:bidi="ar"/>
                    </w:rPr>
                    <w:t>达标</w:t>
                  </w:r>
                </w:p>
              </w:tc>
            </w:tr>
            <w:tr w14:paraId="0D5B0CB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90" w:hRule="atLeast"/>
                <w:jc w:val="center"/>
              </w:trPr>
              <w:tc>
                <w:tcPr>
                  <w:tcW w:w="826" w:type="dxa"/>
                  <w:tcBorders>
                    <w:tl2br w:val="nil"/>
                    <w:tr2bl w:val="nil"/>
                  </w:tcBorders>
                  <w:shd w:val="clear" w:color="auto" w:fill="auto"/>
                  <w:noWrap/>
                  <w:vAlign w:val="center"/>
                </w:tcPr>
                <w:p w14:paraId="57F2EC47">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Calibri" w:hAnsi="Calibri" w:eastAsia="宋体" w:cs="Calibri"/>
                      <w:i w:val="0"/>
                      <w:iCs w:val="0"/>
                      <w:color w:val="auto"/>
                      <w:kern w:val="0"/>
                      <w:sz w:val="22"/>
                      <w:szCs w:val="22"/>
                      <w:highlight w:val="none"/>
                      <w:u w:val="none"/>
                      <w:lang w:val="en-US" w:eastAsia="zh-CN" w:bidi="ar"/>
                    </w:rPr>
                    <w:t>厂界南</w:t>
                  </w:r>
                </w:p>
              </w:tc>
              <w:tc>
                <w:tcPr>
                  <w:tcW w:w="633" w:type="dxa"/>
                  <w:tcBorders>
                    <w:tl2br w:val="nil"/>
                    <w:tr2bl w:val="nil"/>
                  </w:tcBorders>
                  <w:shd w:val="clear" w:color="auto" w:fill="auto"/>
                  <w:noWrap/>
                  <w:vAlign w:val="center"/>
                </w:tcPr>
                <w:p w14:paraId="5E93CDE4">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51.7</w:t>
                  </w:r>
                </w:p>
              </w:tc>
              <w:tc>
                <w:tcPr>
                  <w:tcW w:w="652" w:type="dxa"/>
                  <w:tcBorders>
                    <w:tl2br w:val="nil"/>
                    <w:tr2bl w:val="nil"/>
                  </w:tcBorders>
                  <w:shd w:val="clear" w:color="auto" w:fill="auto"/>
                  <w:noWrap/>
                  <w:vAlign w:val="center"/>
                </w:tcPr>
                <w:p w14:paraId="1214081F">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43.5</w:t>
                  </w:r>
                </w:p>
              </w:tc>
              <w:tc>
                <w:tcPr>
                  <w:tcW w:w="628" w:type="dxa"/>
                  <w:tcBorders>
                    <w:tl2br w:val="nil"/>
                    <w:tr2bl w:val="nil"/>
                  </w:tcBorders>
                  <w:shd w:val="clear" w:color="auto" w:fill="auto"/>
                  <w:noWrap/>
                  <w:vAlign w:val="center"/>
                </w:tcPr>
                <w:p w14:paraId="7682EE68">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40.73</w:t>
                  </w:r>
                </w:p>
              </w:tc>
              <w:tc>
                <w:tcPr>
                  <w:tcW w:w="643" w:type="dxa"/>
                  <w:tcBorders>
                    <w:tl2br w:val="nil"/>
                    <w:tr2bl w:val="nil"/>
                  </w:tcBorders>
                  <w:shd w:val="clear" w:color="auto" w:fill="auto"/>
                  <w:noWrap/>
                  <w:vAlign w:val="center"/>
                </w:tcPr>
                <w:p w14:paraId="2B0E6F0A">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default" w:ascii="Times New Roman" w:hAnsi="Times New Roman" w:eastAsia="宋体" w:cs="Times New Roman"/>
                      <w:i w:val="0"/>
                      <w:iCs w:val="0"/>
                      <w:color w:val="auto"/>
                      <w:kern w:val="0"/>
                      <w:sz w:val="22"/>
                      <w:szCs w:val="22"/>
                      <w:highlight w:val="none"/>
                      <w:u w:val="none"/>
                      <w:lang w:val="en-US" w:eastAsia="zh-CN" w:bidi="ar"/>
                    </w:rPr>
                    <w:t>40.73</w:t>
                  </w:r>
                </w:p>
              </w:tc>
              <w:tc>
                <w:tcPr>
                  <w:tcW w:w="681" w:type="dxa"/>
                  <w:tcBorders>
                    <w:tl2br w:val="nil"/>
                    <w:tr2bl w:val="nil"/>
                  </w:tcBorders>
                  <w:shd w:val="clear" w:color="auto" w:fill="auto"/>
                  <w:noWrap/>
                  <w:vAlign w:val="center"/>
                </w:tcPr>
                <w:p w14:paraId="1802F144">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54.1</w:t>
                  </w:r>
                </w:p>
              </w:tc>
              <w:tc>
                <w:tcPr>
                  <w:tcW w:w="676" w:type="dxa"/>
                  <w:tcBorders>
                    <w:tl2br w:val="nil"/>
                    <w:tr2bl w:val="nil"/>
                  </w:tcBorders>
                  <w:shd w:val="clear" w:color="auto" w:fill="auto"/>
                  <w:noWrap/>
                  <w:vAlign w:val="center"/>
                </w:tcPr>
                <w:p w14:paraId="48A0902A">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45.9</w:t>
                  </w:r>
                </w:p>
              </w:tc>
              <w:tc>
                <w:tcPr>
                  <w:tcW w:w="675" w:type="dxa"/>
                  <w:tcBorders>
                    <w:tl2br w:val="nil"/>
                    <w:tr2bl w:val="nil"/>
                  </w:tcBorders>
                  <w:shd w:val="clear" w:color="auto" w:fill="auto"/>
                  <w:noWrap/>
                  <w:vAlign w:val="center"/>
                </w:tcPr>
                <w:p w14:paraId="4DAAFFE1">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+2.</w:t>
                  </w:r>
                  <w:r>
                    <w:rPr>
                      <w:rFonts w:hint="eastAsia" w:ascii="Calibri" w:hAnsi="Calibri" w:cs="Calibri"/>
                      <w:i w:val="0"/>
                      <w:iCs w:val="0"/>
                      <w:color w:val="auto"/>
                      <w:kern w:val="0"/>
                      <w:sz w:val="22"/>
                      <w:szCs w:val="22"/>
                      <w:highlight w:val="none"/>
                      <w:u w:val="none"/>
                      <w:lang w:val="en-US" w:eastAsia="zh-CN" w:bidi="ar"/>
                    </w:rPr>
                    <w:t>4</w:t>
                  </w:r>
                </w:p>
              </w:tc>
              <w:tc>
                <w:tcPr>
                  <w:tcW w:w="637" w:type="dxa"/>
                  <w:tcBorders>
                    <w:tl2br w:val="nil"/>
                    <w:tr2bl w:val="nil"/>
                  </w:tcBorders>
                  <w:shd w:val="clear" w:color="auto" w:fill="auto"/>
                  <w:noWrap/>
                  <w:vAlign w:val="center"/>
                </w:tcPr>
                <w:p w14:paraId="4FA48FB7">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+2.4</w:t>
                  </w:r>
                </w:p>
              </w:tc>
              <w:tc>
                <w:tcPr>
                  <w:tcW w:w="534" w:type="dxa"/>
                  <w:tcBorders>
                    <w:tl2br w:val="nil"/>
                    <w:tr2bl w:val="nil"/>
                  </w:tcBorders>
                  <w:shd w:val="clear" w:color="auto" w:fill="auto"/>
                  <w:noWrap/>
                  <w:vAlign w:val="center"/>
                </w:tcPr>
                <w:p w14:paraId="77A59674">
                  <w:pPr>
                    <w:keepNext w:val="0"/>
                    <w:keepLines w:val="0"/>
                    <w:widowControl/>
                    <w:suppressLineNumbers w:val="0"/>
                    <w:jc w:val="center"/>
                    <w:textAlignment w:val="center"/>
                    <w:rPr>
                      <w:rFonts w:hint="default" w:ascii="Calibri" w:hAnsi="Calibri" w:eastAsia="宋体" w:cs="Calibri"/>
                      <w:i w:val="0"/>
                      <w:iCs w:val="0"/>
                      <w:color w:val="auto"/>
                      <w:kern w:val="0"/>
                      <w:sz w:val="22"/>
                      <w:szCs w:val="22"/>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w:t>
                  </w:r>
                  <w:r>
                    <w:rPr>
                      <w:rFonts w:hint="eastAsia" w:ascii="Calibri" w:hAnsi="Calibri" w:cs="Calibri"/>
                      <w:i w:val="0"/>
                      <w:iCs w:val="0"/>
                      <w:color w:val="auto"/>
                      <w:kern w:val="0"/>
                      <w:sz w:val="22"/>
                      <w:szCs w:val="22"/>
                      <w:highlight w:val="none"/>
                      <w:u w:val="none"/>
                      <w:lang w:val="en-US" w:eastAsia="zh-CN" w:bidi="ar"/>
                    </w:rPr>
                    <w:t>0</w:t>
                  </w:r>
                </w:p>
              </w:tc>
              <w:tc>
                <w:tcPr>
                  <w:tcW w:w="606" w:type="dxa"/>
                  <w:tcBorders>
                    <w:tl2br w:val="nil"/>
                    <w:tr2bl w:val="nil"/>
                  </w:tcBorders>
                  <w:shd w:val="clear" w:color="auto" w:fill="auto"/>
                  <w:noWrap/>
                  <w:vAlign w:val="center"/>
                </w:tcPr>
                <w:p w14:paraId="7A913CD9">
                  <w:pPr>
                    <w:keepNext w:val="0"/>
                    <w:keepLines w:val="0"/>
                    <w:widowControl/>
                    <w:suppressLineNumbers w:val="0"/>
                    <w:jc w:val="center"/>
                    <w:textAlignment w:val="center"/>
                    <w:rPr>
                      <w:color w:val="auto"/>
                      <w:highlight w:val="none"/>
                    </w:rPr>
                  </w:pPr>
                  <w:r>
                    <w:rPr>
                      <w:rFonts w:hint="default" w:ascii="Calibri" w:hAnsi="Calibri" w:eastAsia="宋体" w:cs="Calibri"/>
                      <w:i w:val="0"/>
                      <w:iCs w:val="0"/>
                      <w:color w:val="auto"/>
                      <w:kern w:val="0"/>
                      <w:sz w:val="22"/>
                      <w:szCs w:val="22"/>
                      <w:highlight w:val="none"/>
                      <w:u w:val="none"/>
                      <w:lang w:val="en-US" w:eastAsia="zh-CN" w:bidi="ar"/>
                    </w:rPr>
                    <w:t>5</w:t>
                  </w:r>
                  <w:r>
                    <w:rPr>
                      <w:rFonts w:hint="eastAsia" w:ascii="Calibri" w:hAnsi="Calibri" w:cs="Calibri"/>
                      <w:i w:val="0"/>
                      <w:iCs w:val="0"/>
                      <w:color w:val="auto"/>
                      <w:kern w:val="0"/>
                      <w:sz w:val="22"/>
                      <w:szCs w:val="22"/>
                      <w:highlight w:val="none"/>
                      <w:u w:val="none"/>
                      <w:lang w:val="en-US" w:eastAsia="zh-CN" w:bidi="ar"/>
                    </w:rPr>
                    <w:t>0</w:t>
                  </w:r>
                </w:p>
              </w:tc>
              <w:tc>
                <w:tcPr>
                  <w:tcW w:w="541" w:type="dxa"/>
                  <w:tcBorders>
                    <w:tl2br w:val="nil"/>
                    <w:tr2bl w:val="nil"/>
                  </w:tcBorders>
                  <w:shd w:val="clear" w:color="auto" w:fill="auto"/>
                  <w:noWrap/>
                  <w:vAlign w:val="center"/>
                </w:tcPr>
                <w:p w14:paraId="78E1D1D7">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Calibri" w:hAnsi="Calibri" w:eastAsia="宋体" w:cs="Calibri"/>
                      <w:i w:val="0"/>
                      <w:iCs w:val="0"/>
                      <w:color w:val="auto"/>
                      <w:kern w:val="0"/>
                      <w:sz w:val="22"/>
                      <w:szCs w:val="22"/>
                      <w:highlight w:val="none"/>
                      <w:u w:val="none"/>
                      <w:lang w:val="en-US" w:eastAsia="zh-CN" w:bidi="ar"/>
                    </w:rPr>
                    <w:t>达标</w:t>
                  </w:r>
                </w:p>
              </w:tc>
              <w:tc>
                <w:tcPr>
                  <w:tcW w:w="524" w:type="dxa"/>
                  <w:tcBorders>
                    <w:tl2br w:val="nil"/>
                    <w:tr2bl w:val="nil"/>
                  </w:tcBorders>
                  <w:shd w:val="clear" w:color="auto" w:fill="auto"/>
                  <w:noWrap/>
                  <w:vAlign w:val="center"/>
                </w:tcPr>
                <w:p w14:paraId="156D3315">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Calibri" w:hAnsi="Calibri" w:eastAsia="宋体" w:cs="Calibri"/>
                      <w:i w:val="0"/>
                      <w:iCs w:val="0"/>
                      <w:color w:val="auto"/>
                      <w:kern w:val="0"/>
                      <w:sz w:val="22"/>
                      <w:szCs w:val="22"/>
                      <w:highlight w:val="none"/>
                      <w:u w:val="none"/>
                      <w:lang w:val="en-US" w:eastAsia="zh-CN" w:bidi="ar"/>
                    </w:rPr>
                    <w:t>达标</w:t>
                  </w:r>
                </w:p>
              </w:tc>
            </w:tr>
            <w:tr w14:paraId="6EF3AB1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90" w:hRule="atLeast"/>
                <w:jc w:val="center"/>
              </w:trPr>
              <w:tc>
                <w:tcPr>
                  <w:tcW w:w="826" w:type="dxa"/>
                  <w:tcBorders>
                    <w:tl2br w:val="nil"/>
                    <w:tr2bl w:val="nil"/>
                  </w:tcBorders>
                  <w:shd w:val="clear" w:color="auto" w:fill="auto"/>
                  <w:noWrap/>
                  <w:vAlign w:val="center"/>
                </w:tcPr>
                <w:p w14:paraId="0C269A18">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Calibri" w:hAnsi="Calibri" w:eastAsia="宋体" w:cs="Calibri"/>
                      <w:i w:val="0"/>
                      <w:iCs w:val="0"/>
                      <w:color w:val="auto"/>
                      <w:kern w:val="0"/>
                      <w:sz w:val="22"/>
                      <w:szCs w:val="22"/>
                      <w:highlight w:val="none"/>
                      <w:u w:val="none"/>
                      <w:lang w:val="en-US" w:eastAsia="zh-CN" w:bidi="ar"/>
                    </w:rPr>
                    <w:t>厂界西</w:t>
                  </w:r>
                </w:p>
              </w:tc>
              <w:tc>
                <w:tcPr>
                  <w:tcW w:w="633" w:type="dxa"/>
                  <w:tcBorders>
                    <w:tl2br w:val="nil"/>
                    <w:tr2bl w:val="nil"/>
                  </w:tcBorders>
                  <w:shd w:val="clear" w:color="auto" w:fill="auto"/>
                  <w:noWrap/>
                  <w:vAlign w:val="center"/>
                </w:tcPr>
                <w:p w14:paraId="3AE47CD8">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55.1</w:t>
                  </w:r>
                </w:p>
              </w:tc>
              <w:tc>
                <w:tcPr>
                  <w:tcW w:w="652" w:type="dxa"/>
                  <w:tcBorders>
                    <w:tl2br w:val="nil"/>
                    <w:tr2bl w:val="nil"/>
                  </w:tcBorders>
                  <w:shd w:val="clear" w:color="auto" w:fill="auto"/>
                  <w:noWrap/>
                  <w:vAlign w:val="center"/>
                </w:tcPr>
                <w:p w14:paraId="6A2174C8">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45.9</w:t>
                  </w:r>
                </w:p>
              </w:tc>
              <w:tc>
                <w:tcPr>
                  <w:tcW w:w="628" w:type="dxa"/>
                  <w:tcBorders>
                    <w:tl2br w:val="nil"/>
                    <w:tr2bl w:val="nil"/>
                  </w:tcBorders>
                  <w:shd w:val="clear" w:color="auto" w:fill="auto"/>
                  <w:noWrap/>
                  <w:vAlign w:val="center"/>
                </w:tcPr>
                <w:p w14:paraId="62280368">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33.37</w:t>
                  </w:r>
                </w:p>
              </w:tc>
              <w:tc>
                <w:tcPr>
                  <w:tcW w:w="643" w:type="dxa"/>
                  <w:tcBorders>
                    <w:tl2br w:val="nil"/>
                    <w:tr2bl w:val="nil"/>
                  </w:tcBorders>
                  <w:shd w:val="clear" w:color="auto" w:fill="auto"/>
                  <w:noWrap/>
                  <w:vAlign w:val="center"/>
                </w:tcPr>
                <w:p w14:paraId="7FF18312">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33.37</w:t>
                  </w:r>
                </w:p>
              </w:tc>
              <w:tc>
                <w:tcPr>
                  <w:tcW w:w="681" w:type="dxa"/>
                  <w:tcBorders>
                    <w:tl2br w:val="nil"/>
                    <w:tr2bl w:val="nil"/>
                  </w:tcBorders>
                  <w:shd w:val="clear" w:color="auto" w:fill="auto"/>
                  <w:noWrap/>
                  <w:vAlign w:val="center"/>
                </w:tcPr>
                <w:p w14:paraId="75DEDE30">
                  <w:pPr>
                    <w:keepNext w:val="0"/>
                    <w:keepLines w:val="0"/>
                    <w:widowControl/>
                    <w:suppressLineNumbers w:val="0"/>
                    <w:jc w:val="center"/>
                    <w:textAlignment w:val="center"/>
                    <w:rPr>
                      <w:rFonts w:hint="default" w:ascii="Calibri" w:hAnsi="Calibri" w:eastAsia="宋体" w:cs="Calibri"/>
                      <w:i w:val="0"/>
                      <w:iCs w:val="0"/>
                      <w:color w:val="auto"/>
                      <w:sz w:val="22"/>
                      <w:szCs w:val="22"/>
                      <w:highlight w:val="none"/>
                      <w:u w:val="none"/>
                      <w:lang w:val="en-US" w:eastAsia="zh-CN"/>
                    </w:rPr>
                  </w:pPr>
                  <w:r>
                    <w:rPr>
                      <w:rFonts w:hint="eastAsia" w:ascii="Calibri" w:hAnsi="Calibri" w:cs="Calibri"/>
                      <w:i w:val="0"/>
                      <w:iCs w:val="0"/>
                      <w:color w:val="auto"/>
                      <w:sz w:val="22"/>
                      <w:szCs w:val="22"/>
                      <w:highlight w:val="none"/>
                      <w:u w:val="none"/>
                      <w:lang w:val="en-US" w:eastAsia="zh-CN"/>
                    </w:rPr>
                    <w:t>55.8</w:t>
                  </w:r>
                </w:p>
              </w:tc>
              <w:tc>
                <w:tcPr>
                  <w:tcW w:w="676" w:type="dxa"/>
                  <w:tcBorders>
                    <w:tl2br w:val="nil"/>
                    <w:tr2bl w:val="nil"/>
                  </w:tcBorders>
                  <w:shd w:val="clear" w:color="auto" w:fill="auto"/>
                  <w:noWrap/>
                  <w:vAlign w:val="center"/>
                </w:tcPr>
                <w:p w14:paraId="673CA540">
                  <w:pPr>
                    <w:keepNext w:val="0"/>
                    <w:keepLines w:val="0"/>
                    <w:widowControl/>
                    <w:suppressLineNumbers w:val="0"/>
                    <w:jc w:val="center"/>
                    <w:textAlignment w:val="center"/>
                    <w:rPr>
                      <w:rFonts w:hint="default" w:ascii="Calibri" w:hAnsi="Calibri" w:eastAsia="宋体" w:cs="Calibri"/>
                      <w:i w:val="0"/>
                      <w:iCs w:val="0"/>
                      <w:color w:val="auto"/>
                      <w:sz w:val="22"/>
                      <w:szCs w:val="22"/>
                      <w:highlight w:val="none"/>
                      <w:u w:val="none"/>
                      <w:lang w:val="en-US" w:eastAsia="zh-CN"/>
                    </w:rPr>
                  </w:pPr>
                  <w:r>
                    <w:rPr>
                      <w:rFonts w:hint="eastAsia" w:ascii="Calibri" w:hAnsi="Calibri" w:cs="Calibri"/>
                      <w:i w:val="0"/>
                      <w:iCs w:val="0"/>
                      <w:color w:val="auto"/>
                      <w:sz w:val="22"/>
                      <w:szCs w:val="22"/>
                      <w:highlight w:val="none"/>
                      <w:u w:val="none"/>
                      <w:lang w:val="en-US" w:eastAsia="zh-CN"/>
                    </w:rPr>
                    <w:t>46.6</w:t>
                  </w:r>
                </w:p>
              </w:tc>
              <w:tc>
                <w:tcPr>
                  <w:tcW w:w="675" w:type="dxa"/>
                  <w:tcBorders>
                    <w:tl2br w:val="nil"/>
                    <w:tr2bl w:val="nil"/>
                  </w:tcBorders>
                  <w:shd w:val="clear" w:color="auto" w:fill="auto"/>
                  <w:noWrap/>
                  <w:vAlign w:val="center"/>
                </w:tcPr>
                <w:p w14:paraId="18772FE8">
                  <w:pPr>
                    <w:keepNext w:val="0"/>
                    <w:keepLines w:val="0"/>
                    <w:widowControl/>
                    <w:suppressLineNumbers w:val="0"/>
                    <w:jc w:val="center"/>
                    <w:textAlignment w:val="center"/>
                    <w:rPr>
                      <w:rFonts w:hint="default" w:ascii="Calibri" w:hAnsi="Calibri" w:cs="Calibri" w:eastAsiaTheme="minorEastAsia"/>
                      <w:i w:val="0"/>
                      <w:iCs w:val="0"/>
                      <w:color w:val="auto"/>
                      <w:sz w:val="22"/>
                      <w:szCs w:val="22"/>
                      <w:highlight w:val="none"/>
                      <w:u w:val="none"/>
                      <w:lang w:val="en-US" w:eastAsia="zh-CN"/>
                    </w:rPr>
                  </w:pPr>
                  <w:r>
                    <w:rPr>
                      <w:rFonts w:hint="eastAsia" w:ascii="Calibri" w:hAnsi="Calibri" w:cs="Calibri"/>
                      <w:i w:val="0"/>
                      <w:iCs w:val="0"/>
                      <w:color w:val="auto"/>
                      <w:sz w:val="22"/>
                      <w:szCs w:val="22"/>
                      <w:highlight w:val="none"/>
                      <w:u w:val="none"/>
                      <w:lang w:val="en-US" w:eastAsia="zh-CN"/>
                    </w:rPr>
                    <w:t>+0.7</w:t>
                  </w:r>
                </w:p>
              </w:tc>
              <w:tc>
                <w:tcPr>
                  <w:tcW w:w="637" w:type="dxa"/>
                  <w:tcBorders>
                    <w:tl2br w:val="nil"/>
                    <w:tr2bl w:val="nil"/>
                  </w:tcBorders>
                  <w:shd w:val="clear" w:color="auto" w:fill="auto"/>
                  <w:noWrap/>
                  <w:vAlign w:val="center"/>
                </w:tcPr>
                <w:p w14:paraId="190ACED5">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+0.7</w:t>
                  </w:r>
                </w:p>
              </w:tc>
              <w:tc>
                <w:tcPr>
                  <w:tcW w:w="534" w:type="dxa"/>
                  <w:tcBorders>
                    <w:tl2br w:val="nil"/>
                    <w:tr2bl w:val="nil"/>
                  </w:tcBorders>
                  <w:shd w:val="clear" w:color="auto" w:fill="auto"/>
                  <w:noWrap/>
                  <w:vAlign w:val="center"/>
                </w:tcPr>
                <w:p w14:paraId="036B765F">
                  <w:pPr>
                    <w:keepNext w:val="0"/>
                    <w:keepLines w:val="0"/>
                    <w:widowControl/>
                    <w:suppressLineNumbers w:val="0"/>
                    <w:jc w:val="center"/>
                    <w:textAlignment w:val="center"/>
                    <w:rPr>
                      <w:rFonts w:hint="default" w:ascii="Calibri" w:hAnsi="Calibri" w:eastAsia="宋体" w:cs="Calibri"/>
                      <w:i w:val="0"/>
                      <w:iCs w:val="0"/>
                      <w:color w:val="auto"/>
                      <w:kern w:val="0"/>
                      <w:sz w:val="22"/>
                      <w:szCs w:val="22"/>
                      <w:highlight w:val="none"/>
                      <w:u w:val="none"/>
                      <w:lang w:val="en-US" w:eastAsia="zh-CN" w:bidi="ar"/>
                    </w:rPr>
                  </w:pPr>
                  <w:r>
                    <w:rPr>
                      <w:rFonts w:hint="eastAsia" w:ascii="Calibri" w:hAnsi="Calibri" w:cs="Calibri"/>
                      <w:i w:val="0"/>
                      <w:iCs w:val="0"/>
                      <w:color w:val="auto"/>
                      <w:kern w:val="0"/>
                      <w:sz w:val="22"/>
                      <w:szCs w:val="22"/>
                      <w:highlight w:val="none"/>
                      <w:u w:val="none"/>
                      <w:lang w:val="en-US" w:eastAsia="zh-CN" w:bidi="ar"/>
                    </w:rPr>
                    <w:t>60</w:t>
                  </w:r>
                </w:p>
              </w:tc>
              <w:tc>
                <w:tcPr>
                  <w:tcW w:w="606" w:type="dxa"/>
                  <w:tcBorders>
                    <w:tl2br w:val="nil"/>
                    <w:tr2bl w:val="nil"/>
                  </w:tcBorders>
                  <w:shd w:val="clear" w:color="auto" w:fill="auto"/>
                  <w:noWrap/>
                  <w:vAlign w:val="center"/>
                </w:tcPr>
                <w:p w14:paraId="20A61DD0">
                  <w:pPr>
                    <w:keepNext w:val="0"/>
                    <w:keepLines w:val="0"/>
                    <w:widowControl/>
                    <w:suppressLineNumbers w:val="0"/>
                    <w:jc w:val="center"/>
                    <w:textAlignment w:val="center"/>
                    <w:rPr>
                      <w:color w:val="auto"/>
                      <w:highlight w:val="none"/>
                    </w:rPr>
                  </w:pPr>
                  <w:r>
                    <w:rPr>
                      <w:rFonts w:hint="eastAsia" w:ascii="Calibri" w:hAnsi="Calibri" w:cs="Calibri"/>
                      <w:i w:val="0"/>
                      <w:iCs w:val="0"/>
                      <w:color w:val="auto"/>
                      <w:kern w:val="0"/>
                      <w:sz w:val="22"/>
                      <w:szCs w:val="22"/>
                      <w:highlight w:val="none"/>
                      <w:u w:val="none"/>
                      <w:lang w:val="en-US" w:eastAsia="zh-CN" w:bidi="ar"/>
                    </w:rPr>
                    <w:t>50</w:t>
                  </w:r>
                </w:p>
              </w:tc>
              <w:tc>
                <w:tcPr>
                  <w:tcW w:w="541" w:type="dxa"/>
                  <w:tcBorders>
                    <w:tl2br w:val="nil"/>
                    <w:tr2bl w:val="nil"/>
                  </w:tcBorders>
                  <w:shd w:val="clear" w:color="auto" w:fill="auto"/>
                  <w:noWrap/>
                  <w:vAlign w:val="center"/>
                </w:tcPr>
                <w:p w14:paraId="7B2EB7AC">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Calibri" w:hAnsi="Calibri" w:eastAsia="宋体" w:cs="Calibri"/>
                      <w:i w:val="0"/>
                      <w:iCs w:val="0"/>
                      <w:color w:val="auto"/>
                      <w:kern w:val="0"/>
                      <w:sz w:val="22"/>
                      <w:szCs w:val="22"/>
                      <w:highlight w:val="none"/>
                      <w:u w:val="none"/>
                      <w:lang w:val="en-US" w:eastAsia="zh-CN" w:bidi="ar"/>
                    </w:rPr>
                    <w:t>达标</w:t>
                  </w:r>
                </w:p>
              </w:tc>
              <w:tc>
                <w:tcPr>
                  <w:tcW w:w="524" w:type="dxa"/>
                  <w:tcBorders>
                    <w:tl2br w:val="nil"/>
                    <w:tr2bl w:val="nil"/>
                  </w:tcBorders>
                  <w:shd w:val="clear" w:color="auto" w:fill="auto"/>
                  <w:noWrap/>
                  <w:vAlign w:val="center"/>
                </w:tcPr>
                <w:p w14:paraId="57029BEE">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Calibri" w:hAnsi="Calibri" w:eastAsia="宋体" w:cs="Calibri"/>
                      <w:i w:val="0"/>
                      <w:iCs w:val="0"/>
                      <w:color w:val="auto"/>
                      <w:kern w:val="0"/>
                      <w:sz w:val="22"/>
                      <w:szCs w:val="22"/>
                      <w:highlight w:val="none"/>
                      <w:u w:val="none"/>
                      <w:lang w:val="en-US" w:eastAsia="zh-CN" w:bidi="ar"/>
                    </w:rPr>
                    <w:t>达标</w:t>
                  </w:r>
                </w:p>
              </w:tc>
            </w:tr>
            <w:tr w14:paraId="6063787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PrEx>
              <w:trPr>
                <w:trHeight w:val="90" w:hRule="atLeast"/>
                <w:jc w:val="center"/>
              </w:trPr>
              <w:tc>
                <w:tcPr>
                  <w:tcW w:w="826" w:type="dxa"/>
                  <w:tcBorders>
                    <w:tl2br w:val="nil"/>
                    <w:tr2bl w:val="nil"/>
                  </w:tcBorders>
                  <w:shd w:val="clear" w:color="auto" w:fill="auto"/>
                  <w:noWrap/>
                  <w:vAlign w:val="center"/>
                </w:tcPr>
                <w:p w14:paraId="20C93B5E">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Calibri" w:hAnsi="Calibri" w:eastAsia="宋体" w:cs="Calibri"/>
                      <w:i w:val="0"/>
                      <w:iCs w:val="0"/>
                      <w:color w:val="auto"/>
                      <w:kern w:val="0"/>
                      <w:sz w:val="22"/>
                      <w:szCs w:val="22"/>
                      <w:highlight w:val="none"/>
                      <w:u w:val="none"/>
                      <w:lang w:val="en-US" w:eastAsia="zh-CN" w:bidi="ar"/>
                    </w:rPr>
                    <w:t>厂界东</w:t>
                  </w:r>
                </w:p>
              </w:tc>
              <w:tc>
                <w:tcPr>
                  <w:tcW w:w="633" w:type="dxa"/>
                  <w:tcBorders>
                    <w:tl2br w:val="nil"/>
                    <w:tr2bl w:val="nil"/>
                  </w:tcBorders>
                  <w:shd w:val="clear" w:color="auto" w:fill="auto"/>
                  <w:noWrap/>
                  <w:vAlign w:val="center"/>
                </w:tcPr>
                <w:p w14:paraId="4F5BE86C">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52.1</w:t>
                  </w:r>
                </w:p>
              </w:tc>
              <w:tc>
                <w:tcPr>
                  <w:tcW w:w="652" w:type="dxa"/>
                  <w:tcBorders>
                    <w:tl2br w:val="nil"/>
                    <w:tr2bl w:val="nil"/>
                  </w:tcBorders>
                  <w:shd w:val="clear" w:color="auto" w:fill="auto"/>
                  <w:noWrap/>
                  <w:vAlign w:val="center"/>
                </w:tcPr>
                <w:p w14:paraId="73C63A53">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43.8</w:t>
                  </w:r>
                </w:p>
              </w:tc>
              <w:tc>
                <w:tcPr>
                  <w:tcW w:w="628" w:type="dxa"/>
                  <w:tcBorders>
                    <w:tl2br w:val="nil"/>
                    <w:tr2bl w:val="nil"/>
                  </w:tcBorders>
                  <w:shd w:val="clear" w:color="auto" w:fill="auto"/>
                  <w:noWrap/>
                  <w:vAlign w:val="center"/>
                </w:tcPr>
                <w:p w14:paraId="23B5A350">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default" w:ascii="Times New Roman" w:hAnsi="Times New Roman" w:eastAsia="宋体" w:cs="Times New Roman"/>
                      <w:i w:val="0"/>
                      <w:iCs w:val="0"/>
                      <w:color w:val="auto"/>
                      <w:kern w:val="0"/>
                      <w:sz w:val="22"/>
                      <w:szCs w:val="22"/>
                      <w:highlight w:val="none"/>
                      <w:u w:val="none"/>
                      <w:lang w:val="en-US" w:eastAsia="zh-CN" w:bidi="ar"/>
                    </w:rPr>
                    <w:t>37.21</w:t>
                  </w:r>
                </w:p>
              </w:tc>
              <w:tc>
                <w:tcPr>
                  <w:tcW w:w="643" w:type="dxa"/>
                  <w:tcBorders>
                    <w:tl2br w:val="nil"/>
                    <w:tr2bl w:val="nil"/>
                  </w:tcBorders>
                  <w:shd w:val="clear" w:color="auto" w:fill="auto"/>
                  <w:noWrap/>
                  <w:vAlign w:val="center"/>
                </w:tcPr>
                <w:p w14:paraId="23C191A2">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default" w:ascii="Times New Roman" w:hAnsi="Times New Roman" w:eastAsia="宋体" w:cs="Times New Roman"/>
                      <w:i w:val="0"/>
                      <w:iCs w:val="0"/>
                      <w:color w:val="auto"/>
                      <w:kern w:val="0"/>
                      <w:sz w:val="22"/>
                      <w:szCs w:val="22"/>
                      <w:highlight w:val="none"/>
                      <w:u w:val="none"/>
                      <w:lang w:val="en-US" w:eastAsia="zh-CN" w:bidi="ar"/>
                    </w:rPr>
                    <w:t>37.21</w:t>
                  </w:r>
                </w:p>
              </w:tc>
              <w:tc>
                <w:tcPr>
                  <w:tcW w:w="681" w:type="dxa"/>
                  <w:tcBorders>
                    <w:tl2br w:val="nil"/>
                    <w:tr2bl w:val="nil"/>
                  </w:tcBorders>
                  <w:shd w:val="clear" w:color="auto" w:fill="auto"/>
                  <w:noWrap/>
                  <w:vAlign w:val="center"/>
                </w:tcPr>
                <w:p w14:paraId="4BA2F60E">
                  <w:pPr>
                    <w:keepNext w:val="0"/>
                    <w:keepLines w:val="0"/>
                    <w:widowControl/>
                    <w:suppressLineNumbers w:val="0"/>
                    <w:jc w:val="center"/>
                    <w:textAlignment w:val="center"/>
                    <w:rPr>
                      <w:rFonts w:hint="default" w:ascii="Calibri" w:hAnsi="Calibri" w:eastAsia="宋体" w:cs="Calibri"/>
                      <w:i w:val="0"/>
                      <w:iCs w:val="0"/>
                      <w:color w:val="auto"/>
                      <w:sz w:val="22"/>
                      <w:szCs w:val="22"/>
                      <w:highlight w:val="none"/>
                      <w:u w:val="none"/>
                      <w:lang w:val="en-US" w:eastAsia="zh-CN"/>
                    </w:rPr>
                  </w:pPr>
                  <w:r>
                    <w:rPr>
                      <w:rFonts w:hint="eastAsia" w:ascii="Calibri" w:hAnsi="Calibri" w:cs="Calibri"/>
                      <w:i w:val="0"/>
                      <w:iCs w:val="0"/>
                      <w:color w:val="auto"/>
                      <w:sz w:val="22"/>
                      <w:szCs w:val="22"/>
                      <w:highlight w:val="none"/>
                      <w:u w:val="none"/>
                      <w:lang w:val="en-US" w:eastAsia="zh-CN"/>
                    </w:rPr>
                    <w:t>53.4</w:t>
                  </w:r>
                </w:p>
              </w:tc>
              <w:tc>
                <w:tcPr>
                  <w:tcW w:w="676" w:type="dxa"/>
                  <w:tcBorders>
                    <w:tl2br w:val="nil"/>
                    <w:tr2bl w:val="nil"/>
                  </w:tcBorders>
                  <w:shd w:val="clear" w:color="auto" w:fill="auto"/>
                  <w:noWrap/>
                  <w:vAlign w:val="center"/>
                </w:tcPr>
                <w:p w14:paraId="7290B3CD">
                  <w:pPr>
                    <w:keepNext w:val="0"/>
                    <w:keepLines w:val="0"/>
                    <w:widowControl/>
                    <w:suppressLineNumbers w:val="0"/>
                    <w:jc w:val="center"/>
                    <w:textAlignment w:val="center"/>
                    <w:rPr>
                      <w:rFonts w:hint="default" w:ascii="Calibri" w:hAnsi="Calibri" w:eastAsia="宋体" w:cs="Calibri"/>
                      <w:i w:val="0"/>
                      <w:iCs w:val="0"/>
                      <w:color w:val="auto"/>
                      <w:sz w:val="22"/>
                      <w:szCs w:val="22"/>
                      <w:highlight w:val="none"/>
                      <w:u w:val="none"/>
                      <w:lang w:val="en-US" w:eastAsia="zh-CN"/>
                    </w:rPr>
                  </w:pPr>
                  <w:r>
                    <w:rPr>
                      <w:rFonts w:hint="eastAsia" w:ascii="Calibri" w:hAnsi="Calibri" w:cs="Calibri"/>
                      <w:i w:val="0"/>
                      <w:iCs w:val="0"/>
                      <w:color w:val="auto"/>
                      <w:sz w:val="22"/>
                      <w:szCs w:val="22"/>
                      <w:highlight w:val="none"/>
                      <w:u w:val="none"/>
                      <w:lang w:val="en-US" w:eastAsia="zh-CN"/>
                    </w:rPr>
                    <w:t>45.1</w:t>
                  </w:r>
                </w:p>
              </w:tc>
              <w:tc>
                <w:tcPr>
                  <w:tcW w:w="675" w:type="dxa"/>
                  <w:tcBorders>
                    <w:tl2br w:val="nil"/>
                    <w:tr2bl w:val="nil"/>
                  </w:tcBorders>
                  <w:shd w:val="clear" w:color="auto" w:fill="auto"/>
                  <w:noWrap/>
                  <w:vAlign w:val="center"/>
                </w:tcPr>
                <w:p w14:paraId="52201E3C">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+1.3</w:t>
                  </w:r>
                </w:p>
              </w:tc>
              <w:tc>
                <w:tcPr>
                  <w:tcW w:w="637" w:type="dxa"/>
                  <w:tcBorders>
                    <w:tl2br w:val="nil"/>
                    <w:tr2bl w:val="nil"/>
                  </w:tcBorders>
                  <w:shd w:val="clear" w:color="auto" w:fill="auto"/>
                  <w:noWrap/>
                  <w:vAlign w:val="center"/>
                </w:tcPr>
                <w:p w14:paraId="60C89C4E">
                  <w:pPr>
                    <w:keepNext w:val="0"/>
                    <w:keepLines w:val="0"/>
                    <w:widowControl/>
                    <w:suppressLineNumbers w:val="0"/>
                    <w:jc w:val="center"/>
                    <w:textAlignment w:val="center"/>
                    <w:rPr>
                      <w:rFonts w:hint="default" w:ascii="Calibri" w:hAnsi="Calibri" w:cs="Calibri"/>
                      <w:i w:val="0"/>
                      <w:iCs w:val="0"/>
                      <w:color w:val="auto"/>
                      <w:sz w:val="22"/>
                      <w:szCs w:val="22"/>
                      <w:highlight w:val="none"/>
                      <w:u w:val="none"/>
                      <w:lang w:val="en-US"/>
                    </w:rPr>
                  </w:pPr>
                  <w:r>
                    <w:rPr>
                      <w:rFonts w:hint="eastAsia" w:ascii="Calibri" w:hAnsi="Calibri" w:eastAsia="宋体" w:cs="Calibri"/>
                      <w:i w:val="0"/>
                      <w:iCs w:val="0"/>
                      <w:color w:val="auto"/>
                      <w:kern w:val="0"/>
                      <w:sz w:val="22"/>
                      <w:szCs w:val="22"/>
                      <w:highlight w:val="none"/>
                      <w:u w:val="none"/>
                      <w:lang w:val="en-US" w:eastAsia="zh-CN" w:bidi="ar"/>
                    </w:rPr>
                    <w:t>+1.3</w:t>
                  </w:r>
                </w:p>
              </w:tc>
              <w:tc>
                <w:tcPr>
                  <w:tcW w:w="534" w:type="dxa"/>
                  <w:tcBorders>
                    <w:tl2br w:val="nil"/>
                    <w:tr2bl w:val="nil"/>
                  </w:tcBorders>
                  <w:shd w:val="clear" w:color="auto" w:fill="auto"/>
                  <w:noWrap/>
                  <w:vAlign w:val="center"/>
                </w:tcPr>
                <w:p w14:paraId="5EFBCBE6">
                  <w:pPr>
                    <w:keepNext w:val="0"/>
                    <w:keepLines w:val="0"/>
                    <w:widowControl/>
                    <w:suppressLineNumbers w:val="0"/>
                    <w:jc w:val="center"/>
                    <w:textAlignment w:val="center"/>
                    <w:rPr>
                      <w:rFonts w:hint="default" w:ascii="Calibri" w:hAnsi="Calibri" w:eastAsia="宋体" w:cs="Calibri"/>
                      <w:i w:val="0"/>
                      <w:iCs w:val="0"/>
                      <w:color w:val="auto"/>
                      <w:kern w:val="0"/>
                      <w:sz w:val="22"/>
                      <w:szCs w:val="22"/>
                      <w:highlight w:val="none"/>
                      <w:u w:val="none"/>
                      <w:lang w:val="en-US" w:eastAsia="zh-CN" w:bidi="ar"/>
                    </w:rPr>
                  </w:pPr>
                  <w:r>
                    <w:rPr>
                      <w:rFonts w:hint="default" w:ascii="Calibri" w:hAnsi="Calibri" w:eastAsia="宋体" w:cs="Calibri"/>
                      <w:i w:val="0"/>
                      <w:iCs w:val="0"/>
                      <w:color w:val="auto"/>
                      <w:kern w:val="0"/>
                      <w:sz w:val="22"/>
                      <w:szCs w:val="22"/>
                      <w:highlight w:val="none"/>
                      <w:u w:val="none"/>
                      <w:lang w:val="en-US" w:eastAsia="zh-CN" w:bidi="ar"/>
                    </w:rPr>
                    <w:t>6</w:t>
                  </w:r>
                  <w:r>
                    <w:rPr>
                      <w:rFonts w:hint="eastAsia" w:ascii="Calibri" w:hAnsi="Calibri" w:cs="Calibri"/>
                      <w:i w:val="0"/>
                      <w:iCs w:val="0"/>
                      <w:color w:val="auto"/>
                      <w:kern w:val="0"/>
                      <w:sz w:val="22"/>
                      <w:szCs w:val="22"/>
                      <w:highlight w:val="none"/>
                      <w:u w:val="none"/>
                      <w:lang w:val="en-US" w:eastAsia="zh-CN" w:bidi="ar"/>
                    </w:rPr>
                    <w:t>0</w:t>
                  </w:r>
                </w:p>
              </w:tc>
              <w:tc>
                <w:tcPr>
                  <w:tcW w:w="606" w:type="dxa"/>
                  <w:tcBorders>
                    <w:tl2br w:val="nil"/>
                    <w:tr2bl w:val="nil"/>
                  </w:tcBorders>
                  <w:shd w:val="clear" w:color="auto" w:fill="auto"/>
                  <w:noWrap/>
                  <w:vAlign w:val="center"/>
                </w:tcPr>
                <w:p w14:paraId="63E26959">
                  <w:pPr>
                    <w:keepNext w:val="0"/>
                    <w:keepLines w:val="0"/>
                    <w:widowControl/>
                    <w:suppressLineNumbers w:val="0"/>
                    <w:jc w:val="center"/>
                    <w:textAlignment w:val="center"/>
                    <w:rPr>
                      <w:rFonts w:hint="default"/>
                      <w:color w:val="auto"/>
                      <w:highlight w:val="none"/>
                      <w:lang w:val="en-US"/>
                    </w:rPr>
                  </w:pPr>
                  <w:r>
                    <w:rPr>
                      <w:rFonts w:hint="default" w:ascii="Calibri" w:hAnsi="Calibri" w:eastAsia="宋体" w:cs="Calibri"/>
                      <w:i w:val="0"/>
                      <w:iCs w:val="0"/>
                      <w:color w:val="auto"/>
                      <w:kern w:val="0"/>
                      <w:sz w:val="22"/>
                      <w:szCs w:val="22"/>
                      <w:highlight w:val="none"/>
                      <w:u w:val="none"/>
                      <w:lang w:val="en-US" w:eastAsia="zh-CN" w:bidi="ar"/>
                    </w:rPr>
                    <w:t>5</w:t>
                  </w:r>
                  <w:r>
                    <w:rPr>
                      <w:rFonts w:hint="eastAsia" w:ascii="Calibri" w:hAnsi="Calibri" w:cs="Calibri"/>
                      <w:i w:val="0"/>
                      <w:iCs w:val="0"/>
                      <w:color w:val="auto"/>
                      <w:kern w:val="0"/>
                      <w:sz w:val="22"/>
                      <w:szCs w:val="22"/>
                      <w:highlight w:val="none"/>
                      <w:u w:val="none"/>
                      <w:lang w:val="en-US" w:eastAsia="zh-CN" w:bidi="ar"/>
                    </w:rPr>
                    <w:t>0</w:t>
                  </w:r>
                </w:p>
              </w:tc>
              <w:tc>
                <w:tcPr>
                  <w:tcW w:w="541" w:type="dxa"/>
                  <w:tcBorders>
                    <w:tl2br w:val="nil"/>
                    <w:tr2bl w:val="nil"/>
                  </w:tcBorders>
                  <w:shd w:val="clear" w:color="auto" w:fill="auto"/>
                  <w:noWrap/>
                  <w:vAlign w:val="center"/>
                </w:tcPr>
                <w:p w14:paraId="73CFDB18">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Calibri" w:hAnsi="Calibri" w:eastAsia="宋体" w:cs="Calibri"/>
                      <w:i w:val="0"/>
                      <w:iCs w:val="0"/>
                      <w:color w:val="auto"/>
                      <w:kern w:val="0"/>
                      <w:sz w:val="22"/>
                      <w:szCs w:val="22"/>
                      <w:highlight w:val="none"/>
                      <w:u w:val="none"/>
                      <w:lang w:val="en-US" w:eastAsia="zh-CN" w:bidi="ar"/>
                    </w:rPr>
                    <w:t>达标</w:t>
                  </w:r>
                </w:p>
              </w:tc>
              <w:tc>
                <w:tcPr>
                  <w:tcW w:w="524" w:type="dxa"/>
                  <w:tcBorders>
                    <w:tl2br w:val="nil"/>
                    <w:tr2bl w:val="nil"/>
                  </w:tcBorders>
                  <w:shd w:val="clear" w:color="auto" w:fill="auto"/>
                  <w:noWrap/>
                  <w:vAlign w:val="center"/>
                </w:tcPr>
                <w:p w14:paraId="2FDE11A8">
                  <w:pPr>
                    <w:keepNext w:val="0"/>
                    <w:keepLines w:val="0"/>
                    <w:widowControl/>
                    <w:suppressLineNumbers w:val="0"/>
                    <w:jc w:val="center"/>
                    <w:textAlignment w:val="center"/>
                    <w:rPr>
                      <w:rFonts w:hint="default" w:ascii="Calibri" w:hAnsi="Calibri" w:cs="Calibri"/>
                      <w:i w:val="0"/>
                      <w:iCs w:val="0"/>
                      <w:color w:val="auto"/>
                      <w:sz w:val="22"/>
                      <w:szCs w:val="22"/>
                      <w:highlight w:val="none"/>
                      <w:u w:val="none"/>
                    </w:rPr>
                  </w:pPr>
                  <w:r>
                    <w:rPr>
                      <w:rFonts w:hint="default" w:ascii="Calibri" w:hAnsi="Calibri" w:eastAsia="宋体" w:cs="Calibri"/>
                      <w:i w:val="0"/>
                      <w:iCs w:val="0"/>
                      <w:color w:val="auto"/>
                      <w:kern w:val="0"/>
                      <w:sz w:val="22"/>
                      <w:szCs w:val="22"/>
                      <w:highlight w:val="none"/>
                      <w:u w:val="none"/>
                      <w:lang w:val="en-US" w:eastAsia="zh-CN" w:bidi="ar"/>
                    </w:rPr>
                    <w:t>达标</w:t>
                  </w:r>
                </w:p>
              </w:tc>
            </w:tr>
          </w:tbl>
          <w:p w14:paraId="0D0EF542">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3.2防治措施：</w:t>
            </w:r>
          </w:p>
          <w:p w14:paraId="4EE383A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本项目运营期噪声主要为生产设备运行噪声。建设单位采取以下降噪措施来减少运营期噪声对工作人员及周围环境的影响：</w:t>
            </w:r>
          </w:p>
          <w:p w14:paraId="070A19FA">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噪声源：在满足生产工艺要求的前提下选用低噪声设备；对高噪声设备进行基础</w:t>
            </w:r>
            <w:r>
              <w:rPr>
                <w:rFonts w:hint="eastAsia" w:cs="Times New Roman"/>
                <w:bCs/>
                <w:color w:val="auto"/>
                <w:sz w:val="24"/>
                <w:szCs w:val="21"/>
                <w:highlight w:val="none"/>
                <w:lang w:eastAsia="zh-CN"/>
              </w:rPr>
              <w:t>减振</w:t>
            </w:r>
            <w:r>
              <w:rPr>
                <w:rFonts w:hint="default" w:ascii="Times New Roman" w:hAnsi="Times New Roman" w:eastAsia="宋体" w:cs="Times New Roman"/>
                <w:bCs/>
                <w:color w:val="auto"/>
                <w:sz w:val="24"/>
                <w:szCs w:val="21"/>
                <w:highlight w:val="none"/>
              </w:rPr>
              <w:t>，必要时加装消声装置等措施，使设备保持在最低噪声值范围内定期维护设备，使设备运行良好。</w:t>
            </w:r>
          </w:p>
          <w:p w14:paraId="2C98D1D5">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传播途径：采取厂房隔声、距离衰减等措施。</w:t>
            </w:r>
          </w:p>
          <w:p w14:paraId="798C10B1">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声环境保护目标：本项目厂界外</w:t>
            </w:r>
            <w:r>
              <w:rPr>
                <w:rFonts w:hint="default" w:ascii="Times New Roman" w:hAnsi="Times New Roman" w:eastAsia="宋体" w:cs="Times New Roman"/>
                <w:bCs/>
                <w:color w:val="auto"/>
                <w:sz w:val="24"/>
                <w:szCs w:val="21"/>
                <w:highlight w:val="none"/>
                <w:lang w:val="en-US" w:eastAsia="zh-CN"/>
              </w:rPr>
              <w:t>50</w:t>
            </w:r>
            <w:r>
              <w:rPr>
                <w:rFonts w:hint="default" w:ascii="Times New Roman" w:hAnsi="Times New Roman" w:eastAsia="宋体" w:cs="Times New Roman"/>
                <w:bCs/>
                <w:color w:val="auto"/>
                <w:sz w:val="24"/>
                <w:szCs w:val="21"/>
                <w:highlight w:val="none"/>
              </w:rPr>
              <w:t>m范围内无声环境敏感点。</w:t>
            </w:r>
          </w:p>
          <w:p w14:paraId="522A323C">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textAlignment w:val="auto"/>
              <w:rPr>
                <w:rFonts w:hint="default" w:ascii="Times New Roman" w:hAnsi="Times New Roman" w:eastAsia="宋体" w:cs="Times New Roman"/>
                <w:bCs/>
                <w:color w:val="auto"/>
                <w:sz w:val="24"/>
                <w:szCs w:val="21"/>
                <w:highlight w:val="none"/>
              </w:rPr>
            </w:pPr>
            <w:r>
              <w:rPr>
                <w:rFonts w:hint="default" w:ascii="Times New Roman" w:hAnsi="Times New Roman" w:eastAsia="宋体" w:cs="Times New Roman"/>
                <w:bCs/>
                <w:color w:val="auto"/>
                <w:sz w:val="24"/>
                <w:szCs w:val="21"/>
                <w:highlight w:val="none"/>
              </w:rPr>
              <w:t>采取上述措施后，项目运营期噪声经厂房隔声、减振、距离衰减后厂界能满足《工业企业厂界环境噪声排放标准》</w:t>
            </w:r>
            <w:r>
              <w:rPr>
                <w:rFonts w:hint="eastAsia" w:cs="Times New Roman"/>
                <w:bCs/>
                <w:color w:val="auto"/>
                <w:sz w:val="24"/>
                <w:szCs w:val="21"/>
                <w:highlight w:val="none"/>
                <w:lang w:val="en-US" w:eastAsia="zh-CN"/>
              </w:rPr>
              <w:t>GB12348-2008</w:t>
            </w:r>
            <w:r>
              <w:rPr>
                <w:rFonts w:hint="default" w:ascii="Times New Roman" w:hAnsi="Times New Roman" w:eastAsia="宋体" w:cs="Times New Roman"/>
                <w:bCs/>
                <w:color w:val="auto"/>
                <w:sz w:val="24"/>
                <w:szCs w:val="21"/>
                <w:highlight w:val="none"/>
              </w:rPr>
              <w:t>中</w:t>
            </w:r>
            <w:r>
              <w:rPr>
                <w:rFonts w:hint="eastAsia" w:cs="Times New Roman"/>
                <w:bCs/>
                <w:color w:val="auto"/>
                <w:sz w:val="24"/>
                <w:szCs w:val="21"/>
                <w:highlight w:val="none"/>
                <w:lang w:val="en-US" w:eastAsia="zh-CN"/>
              </w:rPr>
              <w:t>2</w:t>
            </w:r>
            <w:r>
              <w:rPr>
                <w:rFonts w:hint="default" w:ascii="Times New Roman" w:hAnsi="Times New Roman" w:eastAsia="宋体" w:cs="Times New Roman"/>
                <w:bCs/>
                <w:color w:val="auto"/>
                <w:sz w:val="24"/>
                <w:szCs w:val="21"/>
                <w:highlight w:val="none"/>
              </w:rPr>
              <w:t>类标准要求，噪声对周围声环境影响较小。</w:t>
            </w:r>
          </w:p>
          <w:p w14:paraId="5EC288E3">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color w:val="auto"/>
                <w:spacing w:val="-10"/>
                <w:sz w:val="24"/>
                <w:szCs w:val="24"/>
                <w:highlight w:val="none"/>
                <w:lang w:val="en-US" w:eastAsia="zh-CN"/>
              </w:rPr>
            </w:pPr>
            <w:r>
              <w:rPr>
                <w:rFonts w:hint="default" w:ascii="Times New Roman" w:hAnsi="Times New Roman" w:eastAsia="宋体" w:cs="Times New Roman"/>
                <w:b/>
                <w:color w:val="auto"/>
                <w:spacing w:val="-10"/>
                <w:sz w:val="24"/>
                <w:szCs w:val="24"/>
                <w:highlight w:val="none"/>
                <w:lang w:val="en-US" w:eastAsia="zh-CN"/>
              </w:rPr>
              <w:t>3.3监测计划</w:t>
            </w:r>
          </w:p>
          <w:p w14:paraId="636CB56D">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
                <w:color w:val="auto"/>
                <w:spacing w:val="-10"/>
                <w:sz w:val="24"/>
                <w:highlight w:val="none"/>
                <w:lang w:val="en-US" w:eastAsia="zh-CN"/>
              </w:rPr>
            </w:pPr>
            <w:r>
              <w:rPr>
                <w:rFonts w:hint="default" w:ascii="Times New Roman" w:hAnsi="Times New Roman" w:eastAsia="宋体" w:cs="Times New Roman"/>
                <w:b w:val="0"/>
                <w:bCs/>
                <w:color w:val="auto"/>
                <w:sz w:val="24"/>
                <w:highlight w:val="none"/>
                <w:lang w:val="en-US" w:eastAsia="zh-CN"/>
              </w:rPr>
              <w:t>根据</w:t>
            </w:r>
            <w:r>
              <w:rPr>
                <w:rFonts w:hint="eastAsia" w:cs="Times New Roman"/>
                <w:b w:val="0"/>
                <w:bCs/>
                <w:color w:val="auto"/>
                <w:sz w:val="24"/>
                <w:highlight w:val="none"/>
                <w:lang w:val="en-US" w:eastAsia="zh-CN"/>
              </w:rPr>
              <w:t>《排污单位自行监测指南 总则》《排污单位自行监测技术指南  农副食品加工》（HJ986-2018）中相关要求，</w:t>
            </w:r>
            <w:r>
              <w:rPr>
                <w:rFonts w:hint="default" w:ascii="Times New Roman" w:hAnsi="Times New Roman" w:eastAsia="宋体" w:cs="Times New Roman"/>
                <w:color w:val="auto"/>
                <w:sz w:val="24"/>
                <w:szCs w:val="24"/>
                <w:highlight w:val="none"/>
              </w:rPr>
              <w:t>委托有资质单位进行日常的运营期监测，具体如下。</w:t>
            </w:r>
          </w:p>
          <w:p w14:paraId="3B373233">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表4-</w:t>
            </w:r>
            <w:r>
              <w:rPr>
                <w:rFonts w:hint="eastAsia" w:cs="Times New Roman"/>
                <w:b/>
                <w:color w:val="auto"/>
                <w:sz w:val="24"/>
                <w:szCs w:val="24"/>
                <w:highlight w:val="none"/>
                <w:lang w:val="en-US" w:eastAsia="zh-CN"/>
              </w:rPr>
              <w:t>8</w:t>
            </w:r>
            <w:r>
              <w:rPr>
                <w:rFonts w:hint="default" w:ascii="Times New Roman" w:hAnsi="Times New Roman" w:eastAsia="宋体" w:cs="Times New Roman"/>
                <w:b/>
                <w:color w:val="auto"/>
                <w:sz w:val="24"/>
                <w:szCs w:val="24"/>
                <w:highlight w:val="none"/>
              </w:rPr>
              <w:t xml:space="preserve">  运营期</w:t>
            </w:r>
            <w:r>
              <w:rPr>
                <w:rFonts w:hint="default" w:ascii="Times New Roman" w:hAnsi="Times New Roman" w:eastAsia="宋体" w:cs="Times New Roman"/>
                <w:b/>
                <w:color w:val="auto"/>
                <w:sz w:val="24"/>
                <w:szCs w:val="24"/>
                <w:highlight w:val="none"/>
                <w:lang w:val="en-US" w:eastAsia="zh-CN"/>
              </w:rPr>
              <w:t>噪声</w:t>
            </w:r>
            <w:r>
              <w:rPr>
                <w:rFonts w:hint="default" w:ascii="Times New Roman" w:hAnsi="Times New Roman" w:eastAsia="宋体" w:cs="Times New Roman"/>
                <w:b/>
                <w:color w:val="auto"/>
                <w:sz w:val="24"/>
                <w:szCs w:val="24"/>
                <w:highlight w:val="none"/>
              </w:rPr>
              <w:t>监测计划一览表</w:t>
            </w:r>
          </w:p>
          <w:tbl>
            <w:tblPr>
              <w:tblStyle w:val="22"/>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7"/>
              <w:gridCol w:w="1561"/>
              <w:gridCol w:w="1109"/>
              <w:gridCol w:w="3911"/>
            </w:tblGrid>
            <w:tr w14:paraId="387C70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77" w:type="pct"/>
                  <w:tcBorders>
                    <w:tl2br w:val="nil"/>
                    <w:tr2bl w:val="nil"/>
                  </w:tcBorders>
                  <w:vAlign w:val="center"/>
                </w:tcPr>
                <w:p w14:paraId="4C74ACDC">
                  <w:pPr>
                    <w:keepNext w:val="0"/>
                    <w:keepLines w:val="0"/>
                    <w:pageBreakBefore w:val="0"/>
                    <w:widowControl w:val="0"/>
                    <w:kinsoku/>
                    <w:wordWrap/>
                    <w:overflowPunct/>
                    <w:topLinePunct w:val="0"/>
                    <w:autoSpaceDE/>
                    <w:autoSpaceDN/>
                    <w:bidi w:val="0"/>
                    <w:adjustRightInd/>
                    <w:snapToGrid/>
                    <w:spacing w:line="360" w:lineRule="exact"/>
                    <w:jc w:val="center"/>
                    <w:textAlignment w:val="baseline"/>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监测因子</w:t>
                  </w:r>
                </w:p>
              </w:tc>
              <w:tc>
                <w:tcPr>
                  <w:tcW w:w="930" w:type="pct"/>
                  <w:tcBorders>
                    <w:tl2br w:val="nil"/>
                    <w:tr2bl w:val="nil"/>
                  </w:tcBorders>
                  <w:vAlign w:val="center"/>
                </w:tcPr>
                <w:p w14:paraId="2640613D">
                  <w:pPr>
                    <w:keepNext w:val="0"/>
                    <w:keepLines w:val="0"/>
                    <w:pageBreakBefore w:val="0"/>
                    <w:widowControl w:val="0"/>
                    <w:kinsoku/>
                    <w:wordWrap/>
                    <w:overflowPunct/>
                    <w:topLinePunct w:val="0"/>
                    <w:autoSpaceDE/>
                    <w:autoSpaceDN/>
                    <w:bidi w:val="0"/>
                    <w:adjustRightInd/>
                    <w:snapToGrid/>
                    <w:spacing w:line="360" w:lineRule="exact"/>
                    <w:jc w:val="center"/>
                    <w:textAlignment w:val="baseline"/>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监测点位</w:t>
                  </w:r>
                </w:p>
              </w:tc>
              <w:tc>
                <w:tcPr>
                  <w:tcW w:w="661" w:type="pct"/>
                  <w:tcBorders>
                    <w:tl2br w:val="nil"/>
                    <w:tr2bl w:val="nil"/>
                  </w:tcBorders>
                  <w:vAlign w:val="center"/>
                </w:tcPr>
                <w:p w14:paraId="518F32BD">
                  <w:pPr>
                    <w:keepNext w:val="0"/>
                    <w:keepLines w:val="0"/>
                    <w:pageBreakBefore w:val="0"/>
                    <w:widowControl w:val="0"/>
                    <w:kinsoku/>
                    <w:wordWrap/>
                    <w:overflowPunct/>
                    <w:topLinePunct w:val="0"/>
                    <w:autoSpaceDE/>
                    <w:autoSpaceDN/>
                    <w:bidi w:val="0"/>
                    <w:adjustRightInd/>
                    <w:snapToGrid/>
                    <w:spacing w:line="360" w:lineRule="exact"/>
                    <w:jc w:val="center"/>
                    <w:textAlignment w:val="baseline"/>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监测频次</w:t>
                  </w:r>
                </w:p>
              </w:tc>
              <w:tc>
                <w:tcPr>
                  <w:tcW w:w="2331" w:type="pct"/>
                  <w:tcBorders>
                    <w:tl2br w:val="nil"/>
                    <w:tr2bl w:val="nil"/>
                  </w:tcBorders>
                  <w:vAlign w:val="center"/>
                </w:tcPr>
                <w:p w14:paraId="7E0E9098">
                  <w:pPr>
                    <w:keepNext w:val="0"/>
                    <w:keepLines w:val="0"/>
                    <w:pageBreakBefore w:val="0"/>
                    <w:widowControl w:val="0"/>
                    <w:kinsoku/>
                    <w:wordWrap/>
                    <w:overflowPunct/>
                    <w:topLinePunct w:val="0"/>
                    <w:autoSpaceDE/>
                    <w:autoSpaceDN/>
                    <w:bidi w:val="0"/>
                    <w:adjustRightInd/>
                    <w:snapToGrid/>
                    <w:spacing w:line="360" w:lineRule="exact"/>
                    <w:jc w:val="center"/>
                    <w:textAlignment w:val="baseline"/>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执行标准</w:t>
                  </w:r>
                </w:p>
              </w:tc>
            </w:tr>
            <w:tr w14:paraId="6EDA8D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7" w:hRule="atLeast"/>
              </w:trPr>
              <w:tc>
                <w:tcPr>
                  <w:tcW w:w="1077" w:type="pct"/>
                  <w:tcBorders>
                    <w:tl2br w:val="nil"/>
                    <w:tr2bl w:val="nil"/>
                  </w:tcBorders>
                  <w:vAlign w:val="center"/>
                </w:tcPr>
                <w:p w14:paraId="5301A568">
                  <w:pPr>
                    <w:keepNext w:val="0"/>
                    <w:keepLines w:val="0"/>
                    <w:pageBreakBefore w:val="0"/>
                    <w:widowControl w:val="0"/>
                    <w:kinsoku/>
                    <w:wordWrap/>
                    <w:overflowPunct/>
                    <w:topLinePunct w:val="0"/>
                    <w:autoSpaceDE/>
                    <w:autoSpaceDN/>
                    <w:bidi w:val="0"/>
                    <w:adjustRightInd/>
                    <w:snapToGrid/>
                    <w:spacing w:line="360" w:lineRule="exact"/>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等效连续A声级</w:t>
                  </w:r>
                </w:p>
              </w:tc>
              <w:tc>
                <w:tcPr>
                  <w:tcW w:w="930" w:type="pct"/>
                  <w:tcBorders>
                    <w:tl2br w:val="nil"/>
                    <w:tr2bl w:val="nil"/>
                  </w:tcBorders>
                  <w:vAlign w:val="center"/>
                </w:tcPr>
                <w:p w14:paraId="04EF8ACC">
                  <w:pPr>
                    <w:keepNext w:val="0"/>
                    <w:keepLines w:val="0"/>
                    <w:pageBreakBefore w:val="0"/>
                    <w:widowControl w:val="0"/>
                    <w:kinsoku/>
                    <w:wordWrap/>
                    <w:overflowPunct/>
                    <w:topLinePunct w:val="0"/>
                    <w:autoSpaceDE/>
                    <w:autoSpaceDN/>
                    <w:bidi w:val="0"/>
                    <w:adjustRightInd/>
                    <w:snapToGrid/>
                    <w:spacing w:line="360" w:lineRule="exact"/>
                    <w:jc w:val="center"/>
                    <w:textAlignment w:val="baseline"/>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kern w:val="0"/>
                      <w:sz w:val="21"/>
                      <w:szCs w:val="21"/>
                      <w:highlight w:val="none"/>
                      <w:lang w:val="en-US" w:eastAsia="zh-CN"/>
                    </w:rPr>
                    <w:t>厂界外四周</w:t>
                  </w:r>
                </w:p>
              </w:tc>
              <w:tc>
                <w:tcPr>
                  <w:tcW w:w="661" w:type="pct"/>
                  <w:tcBorders>
                    <w:tl2br w:val="nil"/>
                    <w:tr2bl w:val="nil"/>
                  </w:tcBorders>
                  <w:vAlign w:val="center"/>
                </w:tcPr>
                <w:p w14:paraId="330F623E">
                  <w:pPr>
                    <w:keepNext w:val="0"/>
                    <w:keepLines w:val="0"/>
                    <w:pageBreakBefore w:val="0"/>
                    <w:widowControl w:val="0"/>
                    <w:kinsoku/>
                    <w:wordWrap/>
                    <w:overflowPunct/>
                    <w:topLinePunct w:val="0"/>
                    <w:autoSpaceDE/>
                    <w:autoSpaceDN/>
                    <w:bidi w:val="0"/>
                    <w:adjustRightInd/>
                    <w:snapToGrid/>
                    <w:spacing w:line="360" w:lineRule="exact"/>
                    <w:jc w:val="center"/>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1次/</w:t>
                  </w:r>
                  <w:r>
                    <w:rPr>
                      <w:rFonts w:hint="default" w:ascii="Times New Roman" w:hAnsi="Times New Roman" w:eastAsia="宋体" w:cs="Times New Roman"/>
                      <w:color w:val="auto"/>
                      <w:szCs w:val="21"/>
                      <w:highlight w:val="none"/>
                      <w:lang w:val="en-US" w:eastAsia="zh-CN"/>
                    </w:rPr>
                    <w:t>季度</w:t>
                  </w:r>
                </w:p>
              </w:tc>
              <w:tc>
                <w:tcPr>
                  <w:tcW w:w="2331" w:type="pct"/>
                  <w:tcBorders>
                    <w:tl2br w:val="nil"/>
                    <w:tr2bl w:val="nil"/>
                  </w:tcBorders>
                  <w:vAlign w:val="center"/>
                </w:tcPr>
                <w:p w14:paraId="6631DC6C">
                  <w:pPr>
                    <w:keepNext w:val="0"/>
                    <w:keepLines w:val="0"/>
                    <w:pageBreakBefore w:val="0"/>
                    <w:widowControl w:val="0"/>
                    <w:kinsoku/>
                    <w:wordWrap/>
                    <w:overflowPunct/>
                    <w:topLinePunct w:val="0"/>
                    <w:autoSpaceDE/>
                    <w:autoSpaceDN/>
                    <w:bidi w:val="0"/>
                    <w:adjustRightInd/>
                    <w:snapToGrid/>
                    <w:spacing w:line="360" w:lineRule="exact"/>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 w:val="21"/>
                      <w:szCs w:val="21"/>
                      <w:highlight w:val="none"/>
                    </w:rPr>
                    <w:t>《工业企业厂界环境噪声排放标准》中</w:t>
                  </w:r>
                  <w:r>
                    <w:rPr>
                      <w:rFonts w:hint="eastAsia" w:cs="Times New Roman"/>
                      <w:bCs/>
                      <w:color w:val="auto"/>
                      <w:sz w:val="21"/>
                      <w:szCs w:val="21"/>
                      <w:highlight w:val="none"/>
                      <w:lang w:val="en-US" w:eastAsia="zh-CN"/>
                    </w:rPr>
                    <w:t>2</w:t>
                  </w:r>
                  <w:r>
                    <w:rPr>
                      <w:rFonts w:hint="default" w:ascii="Times New Roman" w:hAnsi="Times New Roman" w:eastAsia="宋体" w:cs="Times New Roman"/>
                      <w:bCs/>
                      <w:color w:val="auto"/>
                      <w:sz w:val="21"/>
                      <w:szCs w:val="21"/>
                      <w:highlight w:val="none"/>
                    </w:rPr>
                    <w:t>类标准</w:t>
                  </w:r>
                </w:p>
              </w:tc>
            </w:tr>
            <w:tr w14:paraId="47ACD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2" w:hRule="atLeast"/>
              </w:trPr>
              <w:tc>
                <w:tcPr>
                  <w:tcW w:w="5000" w:type="pct"/>
                  <w:gridSpan w:val="4"/>
                  <w:tcBorders>
                    <w:tl2br w:val="nil"/>
                    <w:tr2bl w:val="nil"/>
                  </w:tcBorders>
                  <w:vAlign w:val="center"/>
                </w:tcPr>
                <w:p w14:paraId="1A660FA1">
                  <w:pPr>
                    <w:pStyle w:val="12"/>
                    <w:rPr>
                      <w:rFonts w:hint="default" w:ascii="Times New Roman" w:hAnsi="Times New Roman" w:eastAsia="宋体" w:cs="Times New Roman"/>
                      <w:bCs/>
                      <w:color w:val="auto"/>
                      <w:sz w:val="21"/>
                      <w:szCs w:val="21"/>
                      <w:highlight w:val="none"/>
                    </w:rPr>
                  </w:pPr>
                  <w:r>
                    <w:rPr>
                      <w:rFonts w:hint="eastAsia"/>
                      <w:b/>
                      <w:bCs/>
                      <w:color w:val="auto"/>
                      <w:highlight w:val="none"/>
                      <w:lang w:val="en-US" w:eastAsia="zh-CN"/>
                    </w:rPr>
                    <w:t>注：本项目依托现有噪声监测计划，不进行重复监测</w:t>
                  </w:r>
                </w:p>
              </w:tc>
            </w:tr>
          </w:tbl>
          <w:p w14:paraId="42A6200B">
            <w:pPr>
              <w:keepNext w:val="0"/>
              <w:keepLines w:val="0"/>
              <w:pageBreakBefore w:val="0"/>
              <w:widowControl w:val="0"/>
              <w:kinsoku/>
              <w:wordWrap/>
              <w:overflowPunct/>
              <w:topLinePunct w:val="0"/>
              <w:autoSpaceDE/>
              <w:autoSpaceDN/>
              <w:bidi w:val="0"/>
              <w:adjustRightInd w:val="0"/>
              <w:snapToGrid w:val="0"/>
              <w:spacing w:line="440" w:lineRule="exac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4、固体废物</w:t>
            </w:r>
          </w:p>
          <w:p w14:paraId="3C7B69CF">
            <w:pPr>
              <w:keepNext w:val="0"/>
              <w:keepLines w:val="0"/>
              <w:pageBreakBefore w:val="0"/>
              <w:widowControl w:val="0"/>
              <w:kinsoku/>
              <w:wordWrap/>
              <w:overflowPunct/>
              <w:topLinePunct w:val="0"/>
              <w:autoSpaceDE/>
              <w:autoSpaceDN/>
              <w:bidi w:val="0"/>
              <w:spacing w:line="440" w:lineRule="exact"/>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4.1固体废物的产生情况和处理措施</w:t>
            </w:r>
          </w:p>
          <w:p w14:paraId="13873B9D">
            <w:pPr>
              <w:keepNext w:val="0"/>
              <w:keepLines w:val="0"/>
              <w:pageBreakBefore w:val="0"/>
              <w:widowControl w:val="0"/>
              <w:kinsoku/>
              <w:wordWrap/>
              <w:overflowPunct/>
              <w:topLinePunct w:val="0"/>
              <w:autoSpaceDE/>
              <w:autoSpaceDN/>
              <w:bidi w:val="0"/>
              <w:spacing w:line="440" w:lineRule="exact"/>
              <w:ind w:firstLine="480" w:firstLineChars="200"/>
              <w:rPr>
                <w:rFonts w:hint="default" w:ascii="Times New Roman" w:hAnsi="Times New Roman" w:eastAsia="宋体" w:cs="Times New Roman"/>
                <w:bCs/>
                <w:color w:val="auto"/>
                <w:sz w:val="24"/>
                <w:szCs w:val="21"/>
                <w:highlight w:val="none"/>
                <w:lang w:val="en-US" w:eastAsia="zh-CN"/>
              </w:rPr>
            </w:pPr>
            <w:r>
              <w:rPr>
                <w:rFonts w:hint="default" w:ascii="Times New Roman" w:hAnsi="Times New Roman" w:eastAsia="宋体" w:cs="Times New Roman"/>
                <w:bCs/>
                <w:color w:val="auto"/>
                <w:sz w:val="24"/>
                <w:szCs w:val="21"/>
                <w:highlight w:val="none"/>
              </w:rPr>
              <w:t>本项目</w:t>
            </w:r>
            <w:r>
              <w:rPr>
                <w:rFonts w:hint="default" w:ascii="Times New Roman" w:hAnsi="Times New Roman" w:eastAsia="宋体" w:cs="Times New Roman"/>
                <w:bCs/>
                <w:color w:val="auto"/>
                <w:sz w:val="24"/>
                <w:szCs w:val="21"/>
                <w:highlight w:val="none"/>
                <w:lang w:val="en-US" w:eastAsia="zh-CN"/>
              </w:rPr>
              <w:t>建成后产生的固体废物为</w:t>
            </w:r>
            <w:r>
              <w:rPr>
                <w:rFonts w:hint="eastAsia" w:cs="Times New Roman"/>
                <w:bCs/>
                <w:color w:val="auto"/>
                <w:sz w:val="24"/>
                <w:szCs w:val="21"/>
                <w:highlight w:val="none"/>
                <w:lang w:val="en-US" w:eastAsia="zh-CN"/>
              </w:rPr>
              <w:t>葵花籽壳、废硅藻土、废饼粉、报废油（为清洗设备内部的油）、除尘灰等</w:t>
            </w:r>
            <w:r>
              <w:rPr>
                <w:rFonts w:hint="default" w:ascii="Times New Roman" w:hAnsi="Times New Roman" w:eastAsia="宋体" w:cs="Times New Roman"/>
                <w:bCs/>
                <w:color w:val="auto"/>
                <w:sz w:val="24"/>
                <w:szCs w:val="21"/>
                <w:highlight w:val="none"/>
                <w:lang w:val="en-US" w:eastAsia="zh-CN"/>
              </w:rPr>
              <w:t>均为一般工业固废</w:t>
            </w:r>
            <w:r>
              <w:rPr>
                <w:rFonts w:hint="eastAsia" w:cs="Times New Roman"/>
                <w:bCs/>
                <w:color w:val="auto"/>
                <w:sz w:val="24"/>
                <w:szCs w:val="21"/>
                <w:highlight w:val="none"/>
                <w:lang w:val="en-US" w:eastAsia="zh-CN"/>
              </w:rPr>
              <w:t>；电导热油炉产生的废导热油为危险废物</w:t>
            </w:r>
            <w:r>
              <w:rPr>
                <w:rFonts w:hint="default" w:ascii="Times New Roman" w:hAnsi="Times New Roman" w:eastAsia="宋体" w:cs="Times New Roman"/>
                <w:bCs/>
                <w:color w:val="auto"/>
                <w:sz w:val="24"/>
                <w:szCs w:val="21"/>
                <w:highlight w:val="none"/>
                <w:lang w:val="en-US" w:eastAsia="zh-CN"/>
              </w:rPr>
              <w:t>。</w:t>
            </w:r>
          </w:p>
          <w:p w14:paraId="4026DFA2">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cs="Times New Roman"/>
                <w:bCs/>
                <w:color w:val="auto"/>
                <w:kern w:val="2"/>
                <w:sz w:val="24"/>
                <w:szCs w:val="21"/>
                <w:highlight w:val="none"/>
                <w:lang w:val="en-US" w:eastAsia="zh-CN" w:bidi="ar-SA"/>
              </w:rPr>
            </w:pPr>
            <w:r>
              <w:rPr>
                <w:rFonts w:hint="default" w:ascii="Times New Roman" w:hAnsi="Times New Roman" w:eastAsia="宋体" w:cs="Times New Roman"/>
                <w:bCs/>
                <w:color w:val="auto"/>
                <w:kern w:val="2"/>
                <w:sz w:val="24"/>
                <w:szCs w:val="21"/>
                <w:highlight w:val="none"/>
                <w:lang w:val="en-US" w:eastAsia="zh-CN" w:bidi="ar-SA"/>
              </w:rPr>
              <w:t>（1）</w:t>
            </w:r>
            <w:r>
              <w:rPr>
                <w:rFonts w:hint="eastAsia" w:cs="Times New Roman"/>
                <w:bCs/>
                <w:color w:val="auto"/>
                <w:kern w:val="2"/>
                <w:sz w:val="24"/>
                <w:szCs w:val="21"/>
                <w:highlight w:val="none"/>
                <w:lang w:val="en-US" w:eastAsia="zh-CN" w:bidi="ar-SA"/>
              </w:rPr>
              <w:t>葵花籽壳：</w:t>
            </w:r>
          </w:p>
          <w:p w14:paraId="3CAE69CA">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default" w:cs="Times New Roman"/>
                <w:bCs/>
                <w:color w:val="auto"/>
                <w:kern w:val="2"/>
                <w:sz w:val="24"/>
                <w:szCs w:val="21"/>
                <w:highlight w:val="none"/>
                <w:lang w:val="en-US" w:eastAsia="zh-CN" w:bidi="ar-SA"/>
              </w:rPr>
            </w:pPr>
            <w:r>
              <w:rPr>
                <w:rFonts w:hint="eastAsia" w:cs="Times New Roman"/>
                <w:bCs/>
                <w:color w:val="auto"/>
                <w:kern w:val="2"/>
                <w:sz w:val="24"/>
                <w:szCs w:val="21"/>
                <w:highlight w:val="none"/>
                <w:lang w:val="en-US" w:eastAsia="zh-CN" w:bidi="ar-SA"/>
              </w:rPr>
              <w:t>根据建设单位提供资料，本项目使用的食用葵花籽仁占比约 80%，壳占比约 20%；本项目葵花籽年用量为695吨，则葵花籽仁总量为556吨/年，葵花籽壳重量为139吨/年，剥壳后产生的葵花籽壳及杂质均袋装送往饲料加工厂商作为饲料制造原料。</w:t>
            </w:r>
          </w:p>
          <w:p w14:paraId="0E4B3813">
            <w:pPr>
              <w:keepNext w:val="0"/>
              <w:keepLines w:val="0"/>
              <w:pageBreakBefore w:val="0"/>
              <w:widowControl w:val="0"/>
              <w:kinsoku/>
              <w:wordWrap/>
              <w:overflowPunct/>
              <w:topLinePunct w:val="0"/>
              <w:autoSpaceDE/>
              <w:autoSpaceDN/>
              <w:bidi w:val="0"/>
              <w:spacing w:line="440" w:lineRule="exact"/>
              <w:ind w:firstLine="480" w:firstLineChars="200"/>
              <w:rPr>
                <w:rFonts w:hint="eastAsia" w:cs="Times New Roman"/>
                <w:bCs/>
                <w:color w:val="auto"/>
                <w:sz w:val="24"/>
                <w:highlight w:val="none"/>
                <w:lang w:val="en-US" w:eastAsia="zh-CN"/>
              </w:rPr>
            </w:pPr>
            <w:r>
              <w:rPr>
                <w:rFonts w:hint="eastAsia" w:cs="Times New Roman"/>
                <w:bCs/>
                <w:color w:val="auto"/>
                <w:sz w:val="24"/>
                <w:highlight w:val="none"/>
                <w:lang w:eastAsia="zh-CN"/>
              </w:rPr>
              <w:t>（</w:t>
            </w:r>
            <w:r>
              <w:rPr>
                <w:rFonts w:hint="eastAsia" w:cs="Times New Roman"/>
                <w:bCs/>
                <w:color w:val="auto"/>
                <w:sz w:val="24"/>
                <w:highlight w:val="none"/>
                <w:lang w:val="en-US" w:eastAsia="zh-CN"/>
              </w:rPr>
              <w:t>2</w:t>
            </w:r>
            <w:r>
              <w:rPr>
                <w:rFonts w:hint="eastAsia" w:cs="Times New Roman"/>
                <w:bCs/>
                <w:color w:val="auto"/>
                <w:sz w:val="24"/>
                <w:highlight w:val="none"/>
                <w:lang w:eastAsia="zh-CN"/>
              </w:rPr>
              <w:t>）</w:t>
            </w:r>
            <w:r>
              <w:rPr>
                <w:rFonts w:hint="eastAsia" w:cs="Times New Roman"/>
                <w:bCs/>
                <w:color w:val="auto"/>
                <w:sz w:val="24"/>
                <w:highlight w:val="none"/>
                <w:lang w:val="en-US" w:eastAsia="zh-CN"/>
              </w:rPr>
              <w:t>滤渣：</w:t>
            </w:r>
          </w:p>
          <w:p w14:paraId="1BCE3C39">
            <w:pPr>
              <w:keepNext w:val="0"/>
              <w:keepLines w:val="0"/>
              <w:pageBreakBefore w:val="0"/>
              <w:widowControl w:val="0"/>
              <w:kinsoku/>
              <w:wordWrap/>
              <w:overflowPunct/>
              <w:topLinePunct w:val="0"/>
              <w:autoSpaceDE/>
              <w:autoSpaceDN/>
              <w:bidi w:val="0"/>
              <w:spacing w:line="440" w:lineRule="exact"/>
              <w:ind w:firstLine="480" w:firstLineChars="200"/>
              <w:rPr>
                <w:rFonts w:hint="default" w:cs="Times New Roman"/>
                <w:bCs/>
                <w:color w:val="auto"/>
                <w:sz w:val="24"/>
                <w:highlight w:val="none"/>
                <w:lang w:val="en-US" w:eastAsia="zh-CN"/>
              </w:rPr>
            </w:pPr>
            <w:r>
              <w:rPr>
                <w:rFonts w:hint="eastAsia" w:cs="Times New Roman"/>
                <w:bCs/>
                <w:color w:val="auto"/>
                <w:sz w:val="24"/>
                <w:highlight w:val="none"/>
                <w:lang w:val="en-US" w:eastAsia="zh-CN"/>
              </w:rPr>
              <w:t>根据建设单位提供数据，项目</w:t>
            </w:r>
            <w:r>
              <w:rPr>
                <w:rFonts w:hint="eastAsia" w:cs="Times New Roman"/>
                <w:b w:val="0"/>
                <w:bCs/>
                <w:color w:val="auto"/>
                <w:sz w:val="24"/>
                <w:szCs w:val="24"/>
                <w:highlight w:val="none"/>
                <w:lang w:val="en-US" w:eastAsia="zh-CN"/>
              </w:rPr>
              <w:t>葵花籽仁出油率：出渣率=54%：46%；玉米胚芽出油率：出渣率=38%：62%。根据前文计算，本项目葵花籽仁总量为556t/a，玉米胚芽总量为790t/a，</w:t>
            </w:r>
            <w:r>
              <w:rPr>
                <w:rFonts w:hint="eastAsia" w:cs="Times New Roman"/>
                <w:bCs/>
                <w:color w:val="auto"/>
                <w:sz w:val="24"/>
                <w:highlight w:val="none"/>
                <w:lang w:val="en-US" w:eastAsia="zh-CN"/>
              </w:rPr>
              <w:t>则本项目葵花籽滤渣产生量为256t/a，玉米胚芽滤渣产生量为490t/a，本项目产渣总量为746t/a，袋装送往饲料加工厂商作为饲料制造原料。</w:t>
            </w:r>
          </w:p>
          <w:p w14:paraId="6F112F33">
            <w:pPr>
              <w:keepNext w:val="0"/>
              <w:keepLines w:val="0"/>
              <w:pageBreakBefore w:val="0"/>
              <w:widowControl w:val="0"/>
              <w:kinsoku/>
              <w:wordWrap/>
              <w:overflowPunct/>
              <w:topLinePunct w:val="0"/>
              <w:autoSpaceDE/>
              <w:autoSpaceDN/>
              <w:bidi w:val="0"/>
              <w:spacing w:line="440" w:lineRule="exact"/>
              <w:ind w:firstLine="480" w:firstLineChars="200"/>
              <w:rPr>
                <w:rFonts w:hint="default" w:cs="Times New Roman"/>
                <w:bCs/>
                <w:color w:val="auto"/>
                <w:sz w:val="24"/>
                <w:highlight w:val="none"/>
                <w:lang w:val="en-US" w:eastAsia="zh-CN"/>
              </w:rPr>
            </w:pPr>
            <w:r>
              <w:rPr>
                <w:rFonts w:hint="eastAsia" w:cs="Times New Roman"/>
                <w:bCs/>
                <w:color w:val="auto"/>
                <w:sz w:val="24"/>
                <w:highlight w:val="none"/>
                <w:lang w:val="en-US" w:eastAsia="zh-CN"/>
              </w:rPr>
              <w:t>（3）废硅藻土、废饼粉</w:t>
            </w:r>
          </w:p>
          <w:p w14:paraId="26B047BB">
            <w:pPr>
              <w:keepNext w:val="0"/>
              <w:keepLines w:val="0"/>
              <w:pageBreakBefore w:val="0"/>
              <w:widowControl w:val="0"/>
              <w:kinsoku/>
              <w:wordWrap/>
              <w:overflowPunct/>
              <w:topLinePunct w:val="0"/>
              <w:autoSpaceDE/>
              <w:autoSpaceDN/>
              <w:bidi w:val="0"/>
              <w:spacing w:line="440" w:lineRule="exact"/>
              <w:ind w:firstLine="480" w:firstLineChars="200"/>
              <w:rPr>
                <w:rFonts w:hint="eastAsia" w:cs="Times New Roman"/>
                <w:bCs/>
                <w:color w:val="auto"/>
                <w:sz w:val="24"/>
                <w:highlight w:val="none"/>
                <w:lang w:val="en-US" w:eastAsia="zh-CN"/>
              </w:rPr>
            </w:pPr>
            <w:r>
              <w:rPr>
                <w:rFonts w:hint="eastAsia" w:cs="Times New Roman"/>
                <w:bCs/>
                <w:color w:val="auto"/>
                <w:sz w:val="24"/>
                <w:highlight w:val="none"/>
                <w:lang w:val="en-US" w:eastAsia="zh-CN"/>
              </w:rPr>
              <w:t>根据建设单位提供资料，硅藻土放置于滤袋中用于过滤，生产使用过程中不会有损失，故废硅藻的产生量为8吨/年；饼粉加入罐中吸水，生产使用过程中不会有损失，故废饼粉的产生量为5吨/年。废硅藻土、废饼粉年产生量13吨，均袋装暂存至一般固废暂存间后由供应商定期更换后拉运处理。</w:t>
            </w:r>
          </w:p>
          <w:p w14:paraId="2ECEA2E3">
            <w:pPr>
              <w:keepNext w:val="0"/>
              <w:keepLines w:val="0"/>
              <w:pageBreakBefore w:val="0"/>
              <w:widowControl w:val="0"/>
              <w:kinsoku/>
              <w:wordWrap/>
              <w:overflowPunct/>
              <w:topLinePunct w:val="0"/>
              <w:autoSpaceDE/>
              <w:autoSpaceDN/>
              <w:bidi w:val="0"/>
              <w:spacing w:line="440" w:lineRule="exact"/>
              <w:ind w:firstLine="480" w:firstLineChars="200"/>
              <w:rPr>
                <w:rFonts w:hint="default" w:cs="Times New Roman"/>
                <w:bCs/>
                <w:color w:val="auto"/>
                <w:sz w:val="24"/>
                <w:highlight w:val="none"/>
                <w:lang w:val="en-US" w:eastAsia="zh-CN"/>
              </w:rPr>
            </w:pPr>
            <w:r>
              <w:rPr>
                <w:rFonts w:hint="eastAsia" w:cs="Times New Roman"/>
                <w:bCs/>
                <w:color w:val="auto"/>
                <w:sz w:val="24"/>
                <w:highlight w:val="none"/>
                <w:lang w:val="en-US" w:eastAsia="zh-CN"/>
              </w:rPr>
              <w:t>（4）报废油</w:t>
            </w:r>
          </w:p>
          <w:p w14:paraId="71B0E8F1">
            <w:pPr>
              <w:keepNext w:val="0"/>
              <w:keepLines w:val="0"/>
              <w:pageBreakBefore w:val="0"/>
              <w:widowControl w:val="0"/>
              <w:kinsoku/>
              <w:wordWrap/>
              <w:overflowPunct/>
              <w:topLinePunct w:val="0"/>
              <w:autoSpaceDE/>
              <w:autoSpaceDN/>
              <w:bidi w:val="0"/>
              <w:spacing w:line="440" w:lineRule="exact"/>
              <w:ind w:firstLine="480" w:firstLineChars="200"/>
              <w:rPr>
                <w:rFonts w:hint="eastAsia" w:cs="Times New Roman"/>
                <w:bCs/>
                <w:color w:val="auto"/>
                <w:sz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生产设备内部清洗一年进行一次，主要为了将生产过程中设备堆积的重质油垢等进行彻底清除。设备内部清洗油清洗设备后利用油泵及管道将废油输送至吨桶，暂存至一般固废间送往饲料加工厂商作为饲料制造原料</w:t>
            </w:r>
            <w:r>
              <w:rPr>
                <w:rFonts w:hint="eastAsia" w:ascii="Times New Roman" w:hAnsi="Times New Roman" w:cs="Times New Roman"/>
                <w:color w:val="auto"/>
                <w:sz w:val="24"/>
                <w:szCs w:val="24"/>
                <w:highlight w:val="none"/>
                <w:lang w:val="en-US" w:eastAsia="zh-CN"/>
              </w:rPr>
              <w:t>。</w:t>
            </w:r>
          </w:p>
          <w:p w14:paraId="6CF37B63">
            <w:pPr>
              <w:keepNext w:val="0"/>
              <w:keepLines w:val="0"/>
              <w:pageBreakBefore w:val="0"/>
              <w:widowControl w:val="0"/>
              <w:kinsoku/>
              <w:wordWrap/>
              <w:overflowPunct/>
              <w:topLinePunct w:val="0"/>
              <w:autoSpaceDE/>
              <w:autoSpaceDN/>
              <w:bidi w:val="0"/>
              <w:spacing w:line="440" w:lineRule="exact"/>
              <w:ind w:firstLine="480" w:firstLineChars="200"/>
              <w:rPr>
                <w:rFonts w:hint="eastAsia" w:cs="Times New Roman"/>
                <w:bCs/>
                <w:color w:val="auto"/>
                <w:sz w:val="24"/>
                <w:highlight w:val="none"/>
                <w:lang w:val="en-US" w:eastAsia="zh-CN"/>
              </w:rPr>
            </w:pPr>
            <w:r>
              <w:rPr>
                <w:rFonts w:hint="eastAsia" w:cs="Times New Roman"/>
                <w:bCs/>
                <w:color w:val="auto"/>
                <w:sz w:val="24"/>
                <w:highlight w:val="none"/>
                <w:lang w:val="en-US" w:eastAsia="zh-CN"/>
              </w:rPr>
              <w:t>（5）废导热油</w:t>
            </w:r>
          </w:p>
          <w:p w14:paraId="7C5DA4FD">
            <w:pPr>
              <w:keepNext w:val="0"/>
              <w:keepLines w:val="0"/>
              <w:pageBreakBefore w:val="0"/>
              <w:widowControl w:val="0"/>
              <w:kinsoku/>
              <w:wordWrap/>
              <w:overflowPunct/>
              <w:topLinePunct w:val="0"/>
              <w:autoSpaceDE/>
              <w:autoSpaceDN/>
              <w:bidi w:val="0"/>
              <w:spacing w:line="440" w:lineRule="exact"/>
              <w:ind w:firstLine="480" w:firstLineChars="200"/>
              <w:rPr>
                <w:rFonts w:hint="eastAsia" w:cs="Times New Roman"/>
                <w:bCs/>
                <w:color w:val="auto"/>
                <w:sz w:val="24"/>
                <w:highlight w:val="none"/>
                <w:lang w:val="en-US" w:eastAsia="zh-CN"/>
              </w:rPr>
            </w:pPr>
            <w:r>
              <w:rPr>
                <w:rFonts w:hint="eastAsia" w:cs="Times New Roman"/>
                <w:bCs/>
                <w:color w:val="auto"/>
                <w:sz w:val="24"/>
                <w:highlight w:val="none"/>
                <w:lang w:val="en-US" w:eastAsia="zh-CN"/>
              </w:rPr>
              <w:t>废导热油，根据市场监督管理局特种设备监督检验所的检验结果（酸值、粘度、闪点等指标）决定，如有更换桶装暂存至厂区现有危废间送有资质单位处置。</w:t>
            </w:r>
          </w:p>
          <w:p w14:paraId="3D80FE2B">
            <w:pPr>
              <w:pStyle w:val="2"/>
              <w:keepNext w:val="0"/>
              <w:keepLines w:val="0"/>
              <w:pageBreakBefore w:val="0"/>
              <w:widowControl w:val="0"/>
              <w:kinsoku/>
              <w:wordWrap/>
              <w:overflowPunct/>
              <w:topLinePunct w:val="0"/>
              <w:autoSpaceDE/>
              <w:autoSpaceDN/>
              <w:bidi w:val="0"/>
              <w:snapToGrid/>
              <w:spacing w:after="0" w:line="440" w:lineRule="exact"/>
              <w:ind w:left="0" w:leftChars="0" w:firstLine="480" w:firstLineChars="200"/>
              <w:rPr>
                <w:rFonts w:hint="eastAsia" w:cs="Times New Roman"/>
                <w:b w:val="0"/>
                <w:bCs w:val="0"/>
                <w:color w:val="auto"/>
                <w:sz w:val="24"/>
                <w:highlight w:val="none"/>
                <w:lang w:val="en-US" w:eastAsia="zh-CN"/>
              </w:rPr>
            </w:pPr>
            <w:r>
              <w:rPr>
                <w:rFonts w:hint="eastAsia" w:cs="Times New Roman"/>
                <w:b w:val="0"/>
                <w:bCs w:val="0"/>
                <w:color w:val="auto"/>
                <w:sz w:val="24"/>
                <w:highlight w:val="none"/>
                <w:lang w:val="en-US" w:eastAsia="zh-CN"/>
              </w:rPr>
              <w:t>（6）除尘灰</w:t>
            </w:r>
          </w:p>
          <w:p w14:paraId="6C8F7CEB">
            <w:pPr>
              <w:pStyle w:val="4"/>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cs="Times New Roman"/>
                <w:b w:val="0"/>
                <w:bCs w:val="0"/>
                <w:color w:val="auto"/>
                <w:sz w:val="24"/>
                <w:szCs w:val="24"/>
                <w:highlight w:val="none"/>
                <w:vertAlign w:val="baseline"/>
                <w:lang w:val="en-US" w:eastAsia="zh-CN"/>
              </w:rPr>
            </w:pPr>
            <w:r>
              <w:rPr>
                <w:rFonts w:hint="eastAsia" w:cs="Times New Roman"/>
                <w:b w:val="0"/>
                <w:bCs w:val="0"/>
                <w:color w:val="auto"/>
                <w:sz w:val="24"/>
                <w:szCs w:val="24"/>
                <w:highlight w:val="none"/>
                <w:vertAlign w:val="baseline"/>
                <w:lang w:val="en-US" w:eastAsia="zh-CN"/>
              </w:rPr>
              <w:t>根据前文计算，被收集的颗粒物量为2.007t/a，袋装暂存至一般固废间送往饲料加工厂商作为饲料制造原料。</w:t>
            </w:r>
          </w:p>
          <w:p w14:paraId="62BB3788">
            <w:pPr>
              <w:pStyle w:val="2"/>
              <w:keepNext w:val="0"/>
              <w:keepLines w:val="0"/>
              <w:pageBreakBefore w:val="0"/>
              <w:widowControl w:val="0"/>
              <w:kinsoku/>
              <w:wordWrap/>
              <w:overflowPunct/>
              <w:topLinePunct w:val="0"/>
              <w:autoSpaceDE/>
              <w:autoSpaceDN/>
              <w:bidi w:val="0"/>
              <w:snapToGrid/>
              <w:spacing w:after="0" w:line="440" w:lineRule="exact"/>
              <w:ind w:left="0" w:leftChars="0" w:firstLine="480" w:firstLineChars="200"/>
              <w:rPr>
                <w:rFonts w:hint="default" w:cs="Times New Roman"/>
                <w:b w:val="0"/>
                <w:bCs w:val="0"/>
                <w:color w:val="auto"/>
                <w:sz w:val="24"/>
                <w:highlight w:val="none"/>
                <w:lang w:val="en-US" w:eastAsia="zh-CN"/>
              </w:rPr>
            </w:pPr>
            <w:r>
              <w:rPr>
                <w:rFonts w:hint="eastAsia" w:cs="Times New Roman"/>
                <w:b w:val="0"/>
                <w:bCs w:val="0"/>
                <w:color w:val="auto"/>
                <w:sz w:val="24"/>
                <w:highlight w:val="none"/>
                <w:lang w:val="en-US" w:eastAsia="zh-CN"/>
              </w:rPr>
              <w:t>（7）废润滑油</w:t>
            </w:r>
          </w:p>
          <w:p w14:paraId="3A6B5BF1">
            <w:pPr>
              <w:pStyle w:val="4"/>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default"/>
                <w:color w:val="auto"/>
                <w:highlight w:val="none"/>
                <w:lang w:val="en-US"/>
              </w:rPr>
            </w:pPr>
            <w:r>
              <w:rPr>
                <w:rFonts w:hint="eastAsia" w:cs="Times New Roman"/>
                <w:b w:val="0"/>
                <w:bCs w:val="0"/>
                <w:color w:val="auto"/>
                <w:sz w:val="24"/>
                <w:szCs w:val="24"/>
                <w:highlight w:val="none"/>
                <w:vertAlign w:val="baseline"/>
                <w:lang w:val="en-US" w:eastAsia="zh-CN"/>
              </w:rPr>
              <w:t>修理替换后的废润滑油桶装暂存至厂区现有危废间送有资质单位处置。</w:t>
            </w:r>
          </w:p>
          <w:p w14:paraId="7E05F58E">
            <w:pPr>
              <w:keepNext w:val="0"/>
              <w:keepLines w:val="0"/>
              <w:pageBreakBefore w:val="0"/>
              <w:widowControl w:val="0"/>
              <w:kinsoku/>
              <w:wordWrap/>
              <w:overflowPunct/>
              <w:topLinePunct w:val="0"/>
              <w:autoSpaceDE/>
              <w:autoSpaceDN/>
              <w:bidi w:val="0"/>
              <w:spacing w:line="440" w:lineRule="exact"/>
              <w:ind w:firstLine="480" w:firstLineChars="200"/>
              <w:rPr>
                <w:rFonts w:hint="default" w:cs="Times New Roman"/>
                <w:bCs/>
                <w:color w:val="auto"/>
                <w:sz w:val="24"/>
                <w:highlight w:val="none"/>
                <w:lang w:val="en-US" w:eastAsia="zh-CN"/>
              </w:rPr>
            </w:pPr>
            <w:r>
              <w:rPr>
                <w:rFonts w:hint="default" w:ascii="Times New Roman" w:hAnsi="Times New Roman" w:eastAsia="宋体" w:cs="Times New Roman"/>
                <w:bCs/>
                <w:color w:val="auto"/>
                <w:sz w:val="24"/>
                <w:highlight w:val="none"/>
              </w:rPr>
              <w:t>综上所述，本项目固体废物均能够</w:t>
            </w:r>
            <w:r>
              <w:rPr>
                <w:rFonts w:hint="default" w:ascii="Times New Roman" w:hAnsi="Times New Roman" w:eastAsia="宋体" w:cs="Times New Roman"/>
                <w:bCs/>
                <w:color w:val="auto"/>
                <w:sz w:val="24"/>
                <w:highlight w:val="none"/>
                <w:lang w:val="en-US" w:eastAsia="zh-CN"/>
              </w:rPr>
              <w:t>实现</w:t>
            </w:r>
            <w:r>
              <w:rPr>
                <w:rFonts w:hint="default" w:ascii="Times New Roman" w:hAnsi="Times New Roman" w:eastAsia="宋体" w:cs="Times New Roman"/>
                <w:bCs/>
                <w:color w:val="auto"/>
                <w:sz w:val="24"/>
                <w:highlight w:val="none"/>
              </w:rPr>
              <w:t>妥善处置，</w:t>
            </w:r>
            <w:r>
              <w:rPr>
                <w:rFonts w:hint="default" w:ascii="Times New Roman" w:hAnsi="Times New Roman" w:eastAsia="宋体" w:cs="Times New Roman"/>
                <w:bCs/>
                <w:color w:val="auto"/>
                <w:sz w:val="24"/>
                <w:highlight w:val="none"/>
                <w:lang w:val="en-US" w:eastAsia="zh-CN"/>
              </w:rPr>
              <w:t>不会造成二次污染</w:t>
            </w:r>
            <w:r>
              <w:rPr>
                <w:rFonts w:hint="default" w:ascii="Times New Roman" w:hAnsi="Times New Roman" w:eastAsia="宋体" w:cs="Times New Roman"/>
                <w:bCs/>
                <w:color w:val="auto"/>
                <w:sz w:val="24"/>
                <w:highlight w:val="none"/>
              </w:rPr>
              <w:t>对环境影响较小。</w:t>
            </w:r>
          </w:p>
          <w:p w14:paraId="7F73D044">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kern w:val="24"/>
                <w:sz w:val="24"/>
                <w:szCs w:val="21"/>
                <w:highlight w:val="none"/>
                <w:lang w:val="en-US" w:eastAsia="zh-CN" w:bidi="ar-SA"/>
              </w:rPr>
              <w:t>5、</w:t>
            </w:r>
            <w:r>
              <w:rPr>
                <w:rFonts w:hint="eastAsia" w:cs="Times New Roman"/>
                <w:b/>
                <w:color w:val="auto"/>
                <w:sz w:val="24"/>
                <w:szCs w:val="24"/>
                <w:highlight w:val="none"/>
                <w:lang w:val="en-US" w:eastAsia="zh-CN"/>
              </w:rPr>
              <w:t>土壤及地下水环境</w:t>
            </w:r>
          </w:p>
          <w:p w14:paraId="753FD937">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（1）污染源及污染途径分析</w:t>
            </w:r>
          </w:p>
          <w:p w14:paraId="4841C62D">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本项目污染物能污染土壤及地下水的途径主要为</w:t>
            </w:r>
            <w:r>
              <w:rPr>
                <w:rFonts w:hint="eastAsia" w:cs="Times New Roman"/>
                <w:color w:val="auto"/>
                <w:sz w:val="24"/>
                <w:szCs w:val="24"/>
                <w:highlight w:val="none"/>
                <w:lang w:val="en-US" w:eastAsia="zh-CN"/>
              </w:rPr>
              <w:t>生产车间</w:t>
            </w:r>
            <w:r>
              <w:rPr>
                <w:rFonts w:hint="eastAsia" w:ascii="Times New Roman" w:hAnsi="Times New Roman" w:eastAsia="宋体" w:cs="Times New Roman"/>
                <w:color w:val="auto"/>
                <w:sz w:val="24"/>
                <w:szCs w:val="24"/>
                <w:highlight w:val="none"/>
              </w:rPr>
              <w:t>防渗措施不到位，在生产过程、污水、液体危废转运过程中操作不当引起泄漏污染土壤和地下水。</w:t>
            </w:r>
          </w:p>
          <w:p w14:paraId="296293CA">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（2）污染防治措施</w:t>
            </w:r>
          </w:p>
          <w:p w14:paraId="544861FF">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地下水和土壤的污染防治措施按照</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源头控制、分区防渗、污染监控、应急响应</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相结合的原则，从污染物的产生、入渗、扩散、应急响应全方位进行防控。</w:t>
            </w:r>
          </w:p>
          <w:p w14:paraId="2DBA103C">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color w:val="auto"/>
                <w:sz w:val="24"/>
                <w:szCs w:val="24"/>
                <w:highlight w:val="none"/>
              </w:rPr>
              <w:t>①</w:t>
            </w:r>
            <w:r>
              <w:rPr>
                <w:rFonts w:hint="eastAsia" w:ascii="Times New Roman" w:hAnsi="Times New Roman" w:eastAsia="宋体" w:cs="Times New Roman"/>
                <w:color w:val="auto"/>
                <w:sz w:val="24"/>
                <w:szCs w:val="24"/>
                <w:highlight w:val="none"/>
              </w:rPr>
              <w:t>源头控制措施</w:t>
            </w:r>
          </w:p>
          <w:p w14:paraId="2F482470">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项目</w:t>
            </w:r>
            <w:r>
              <w:rPr>
                <w:rFonts w:hint="eastAsia" w:cs="Times New Roman"/>
                <w:color w:val="auto"/>
                <w:sz w:val="24"/>
                <w:szCs w:val="24"/>
                <w:highlight w:val="none"/>
                <w:lang w:val="en-US" w:eastAsia="zh-CN"/>
              </w:rPr>
              <w:t>无</w:t>
            </w:r>
            <w:r>
              <w:rPr>
                <w:rFonts w:ascii="Times New Roman" w:hAnsi="Times New Roman" w:eastAsia="宋体" w:cs="Times New Roman"/>
                <w:color w:val="auto"/>
                <w:sz w:val="24"/>
                <w:szCs w:val="24"/>
                <w:highlight w:val="none"/>
              </w:rPr>
              <w:t>暂存的危险品，</w:t>
            </w:r>
            <w:r>
              <w:rPr>
                <w:rFonts w:hint="eastAsia" w:cs="Times New Roman"/>
                <w:color w:val="auto"/>
                <w:sz w:val="24"/>
                <w:szCs w:val="24"/>
                <w:highlight w:val="none"/>
                <w:lang w:val="en-US" w:eastAsia="zh-CN"/>
              </w:rPr>
              <w:t>从源头抑制了</w:t>
            </w:r>
            <w:r>
              <w:rPr>
                <w:rFonts w:ascii="Times New Roman" w:hAnsi="Times New Roman" w:eastAsia="宋体" w:cs="Times New Roman"/>
                <w:color w:val="auto"/>
                <w:sz w:val="24"/>
                <w:szCs w:val="24"/>
                <w:highlight w:val="none"/>
              </w:rPr>
              <w:t>泄漏</w:t>
            </w:r>
            <w:r>
              <w:rPr>
                <w:rFonts w:hint="eastAsia" w:cs="Times New Roman"/>
                <w:color w:val="auto"/>
                <w:sz w:val="24"/>
                <w:szCs w:val="24"/>
                <w:highlight w:val="none"/>
                <w:lang w:eastAsia="zh-CN"/>
              </w:rPr>
              <w:t>事件</w:t>
            </w:r>
            <w:r>
              <w:rPr>
                <w:rFonts w:ascii="Times New Roman" w:hAnsi="Times New Roman" w:eastAsia="宋体" w:cs="Times New Roman"/>
                <w:color w:val="auto"/>
                <w:sz w:val="24"/>
                <w:szCs w:val="24"/>
                <w:highlight w:val="none"/>
              </w:rPr>
              <w:t>发生的概率</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生产车间防渗措施</w:t>
            </w:r>
            <w:r>
              <w:rPr>
                <w:rFonts w:hint="eastAsia" w:ascii="Times New Roman" w:hAnsi="Times New Roman" w:eastAsia="宋体" w:cs="Times New Roman"/>
                <w:color w:val="auto"/>
                <w:sz w:val="24"/>
                <w:szCs w:val="24"/>
                <w:highlight w:val="none"/>
              </w:rPr>
              <w:t>良好，在做好运营期维护、检查等措施情况下，基本不会对地下水、土壤环境造成大的影响。</w:t>
            </w:r>
          </w:p>
          <w:p w14:paraId="25D8082F">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color w:val="auto"/>
                <w:sz w:val="24"/>
                <w:szCs w:val="24"/>
                <w:highlight w:val="none"/>
              </w:rPr>
              <w:t>②</w:t>
            </w:r>
            <w:r>
              <w:rPr>
                <w:rFonts w:hint="eastAsia" w:ascii="Times New Roman" w:hAnsi="Times New Roman" w:eastAsia="宋体" w:cs="Times New Roman"/>
                <w:color w:val="auto"/>
                <w:sz w:val="24"/>
                <w:szCs w:val="24"/>
                <w:highlight w:val="none"/>
              </w:rPr>
              <w:t>过程防控措施</w:t>
            </w:r>
          </w:p>
          <w:p w14:paraId="4659A2D7">
            <w:pPr>
              <w:adjustRightInd w:val="0"/>
              <w:snapToGrid w:val="0"/>
              <w:spacing w:line="440" w:lineRule="exact"/>
              <w:ind w:firstLine="480" w:firstLineChars="200"/>
              <w:rPr>
                <w:color w:val="auto"/>
                <w:highlight w:val="none"/>
              </w:rPr>
            </w:pPr>
            <w:r>
              <w:rPr>
                <w:rFonts w:hint="eastAsia" w:ascii="Times New Roman" w:hAnsi="Times New Roman" w:eastAsia="宋体" w:cs="Times New Roman"/>
                <w:color w:val="auto"/>
                <w:sz w:val="24"/>
                <w:szCs w:val="24"/>
                <w:highlight w:val="none"/>
              </w:rPr>
              <w:t>优化地面布局，设置地面硬化、</w:t>
            </w:r>
            <w:r>
              <w:rPr>
                <w:rFonts w:hint="eastAsia" w:cs="Times New Roman"/>
                <w:color w:val="auto"/>
                <w:sz w:val="24"/>
                <w:szCs w:val="24"/>
                <w:highlight w:val="none"/>
                <w:lang w:val="en-US" w:eastAsia="zh-CN"/>
              </w:rPr>
              <w:t>在生产车间内北侧导热油罐存放区</w:t>
            </w:r>
            <w:r>
              <w:rPr>
                <w:rFonts w:hint="eastAsia" w:ascii="Times New Roman" w:hAnsi="Times New Roman" w:eastAsia="宋体" w:cs="Times New Roman"/>
                <w:color w:val="auto"/>
                <w:sz w:val="24"/>
                <w:szCs w:val="24"/>
                <w:highlight w:val="none"/>
              </w:rPr>
              <w:t>设置围堰，以防止土壤环境污染；应根据相关标</w:t>
            </w:r>
            <w:r>
              <w:rPr>
                <w:rFonts w:hint="eastAsia" w:cs="Times New Roman"/>
                <w:color w:val="auto"/>
                <w:sz w:val="24"/>
                <w:szCs w:val="24"/>
                <w:highlight w:val="none"/>
                <w:lang w:eastAsia="zh-CN"/>
              </w:rPr>
              <w:t>准和</w:t>
            </w:r>
            <w:r>
              <w:rPr>
                <w:rFonts w:hint="eastAsia" w:ascii="Times New Roman" w:hAnsi="Times New Roman" w:eastAsia="宋体" w:cs="Times New Roman"/>
                <w:color w:val="auto"/>
                <w:sz w:val="24"/>
                <w:szCs w:val="24"/>
                <w:highlight w:val="none"/>
              </w:rPr>
              <w:t>规范要求，对</w:t>
            </w:r>
            <w:r>
              <w:rPr>
                <w:rFonts w:hint="eastAsia" w:ascii="Times New Roman" w:hAnsi="Times New Roman" w:eastAsia="宋体" w:cs="Times New Roman"/>
                <w:color w:val="auto"/>
                <w:sz w:val="24"/>
                <w:szCs w:val="24"/>
                <w:highlight w:val="none"/>
                <w:lang w:val="en-US" w:eastAsia="zh-CN"/>
              </w:rPr>
              <w:t>电导热油</w:t>
            </w:r>
            <w:r>
              <w:rPr>
                <w:rFonts w:hint="eastAsia" w:cs="Times New Roman"/>
                <w:color w:val="auto"/>
                <w:sz w:val="24"/>
                <w:szCs w:val="24"/>
                <w:highlight w:val="none"/>
                <w:lang w:val="en-US" w:eastAsia="zh-CN"/>
              </w:rPr>
              <w:t>罐</w:t>
            </w:r>
            <w:r>
              <w:rPr>
                <w:rFonts w:hint="eastAsia" w:ascii="Times New Roman" w:hAnsi="Times New Roman" w:eastAsia="宋体" w:cs="Times New Roman"/>
                <w:color w:val="auto"/>
                <w:sz w:val="24"/>
                <w:szCs w:val="24"/>
                <w:highlight w:val="none"/>
                <w:lang w:val="en-US" w:eastAsia="zh-CN"/>
              </w:rPr>
              <w:t>地面防渗措施为在混凝土上铺设复合土工膜+水泥砂浆抹灰及环氧树脂耐油防腐地坪，渗透系数≤ 10</w:t>
            </w:r>
            <w:r>
              <w:rPr>
                <w:rFonts w:hint="eastAsia" w:ascii="Times New Roman" w:hAnsi="Times New Roman" w:eastAsia="宋体" w:cs="Times New Roman"/>
                <w:color w:val="auto"/>
                <w:sz w:val="24"/>
                <w:szCs w:val="24"/>
                <w:highlight w:val="none"/>
                <w:vertAlign w:val="superscript"/>
                <w:lang w:val="en-US" w:eastAsia="zh-CN"/>
              </w:rPr>
              <w:t>-10</w:t>
            </w:r>
            <w:r>
              <w:rPr>
                <w:rFonts w:hint="eastAsia" w:ascii="Times New Roman" w:hAnsi="Times New Roman" w:eastAsia="宋体" w:cs="Times New Roman"/>
                <w:color w:val="auto"/>
                <w:sz w:val="24"/>
                <w:szCs w:val="24"/>
                <w:highlight w:val="none"/>
                <w:lang w:val="en-US" w:eastAsia="zh-CN"/>
              </w:rPr>
              <w:t>cm/s；围堰设置C30/P8 抗渗混凝土，同地面防渗等级</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内壁 + 底面做2 mm HDPE 膜或环氧玻璃钢，与地面防渗层无缝搭接、焊接密封</w:t>
            </w:r>
            <w:r>
              <w:rPr>
                <w:rFonts w:hint="eastAsia" w:ascii="Times New Roman" w:hAnsi="Times New Roman" w:eastAsia="宋体" w:cs="Times New Roman"/>
                <w:color w:val="auto"/>
                <w:sz w:val="24"/>
                <w:szCs w:val="24"/>
                <w:highlight w:val="none"/>
              </w:rPr>
              <w:t>，以防止土壤环境污染，进行分区防渗。</w:t>
            </w:r>
          </w:p>
          <w:p w14:paraId="34FCD730">
            <w:pPr>
              <w:pStyle w:val="30"/>
              <w:keepNext w:val="0"/>
              <w:keepLines w:val="0"/>
              <w:pageBreakBefore w:val="0"/>
              <w:widowControl w:val="0"/>
              <w:numPr>
                <w:ilvl w:val="0"/>
                <w:numId w:val="0"/>
              </w:numPr>
              <w:kinsoku/>
              <w:wordWrap/>
              <w:overflowPunct/>
              <w:topLinePunct w:val="0"/>
              <w:autoSpaceDE/>
              <w:autoSpaceDN/>
              <w:bidi w:val="0"/>
              <w:adjustRightInd w:val="0"/>
              <w:snapToGrid/>
              <w:spacing w:line="400" w:lineRule="exact"/>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综上，项目对可能产生土壤及地下水影响各项途径均进行有效预防，在确保各项防渗措施得以落实，并加强维护和厂区环境管理的前提下，可有效控制厂区内的液态污染物下渗现象，避免污染土壤、地下水。</w:t>
            </w:r>
          </w:p>
          <w:p w14:paraId="45C007A1">
            <w:pPr>
              <w:pStyle w:val="30"/>
              <w:keepNext w:val="0"/>
              <w:keepLines w:val="0"/>
              <w:pageBreakBefore w:val="0"/>
              <w:widowControl w:val="0"/>
              <w:numPr>
                <w:ilvl w:val="0"/>
                <w:numId w:val="0"/>
              </w:numPr>
              <w:kinsoku/>
              <w:wordWrap/>
              <w:overflowPunct/>
              <w:topLinePunct w:val="0"/>
              <w:autoSpaceDE/>
              <w:autoSpaceDN/>
              <w:bidi w:val="0"/>
              <w:adjustRightInd w:val="0"/>
              <w:snapToGrid/>
              <w:spacing w:line="400" w:lineRule="exact"/>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本项目对地下水及土壤环境的影响可以接受，从地下水及土壤环境影响的角度分析，项目的建设是可行的。</w:t>
            </w:r>
          </w:p>
          <w:p w14:paraId="01053503">
            <w:pPr>
              <w:pStyle w:val="30"/>
              <w:keepNext w:val="0"/>
              <w:keepLines w:val="0"/>
              <w:pageBreakBefore w:val="0"/>
              <w:widowControl w:val="0"/>
              <w:numPr>
                <w:ilvl w:val="0"/>
                <w:numId w:val="0"/>
              </w:numPr>
              <w:kinsoku/>
              <w:wordWrap/>
              <w:overflowPunct/>
              <w:topLinePunct w:val="0"/>
              <w:autoSpaceDE/>
              <w:autoSpaceDN/>
              <w:bidi w:val="0"/>
              <w:spacing w:line="440" w:lineRule="exact"/>
              <w:rPr>
                <w:rFonts w:hint="eastAsia" w:cs="Times New Roman"/>
                <w:b/>
                <w:color w:val="auto"/>
                <w:kern w:val="24"/>
                <w:sz w:val="24"/>
                <w:szCs w:val="21"/>
                <w:highlight w:val="none"/>
                <w:lang w:val="en-US" w:eastAsia="zh-CN" w:bidi="ar-SA"/>
              </w:rPr>
            </w:pPr>
            <w:r>
              <w:rPr>
                <w:rFonts w:hint="eastAsia" w:ascii="Times New Roman" w:hAnsi="Times New Roman" w:eastAsia="宋体" w:cs="Times New Roman"/>
                <w:b/>
                <w:color w:val="auto"/>
                <w:kern w:val="24"/>
                <w:sz w:val="24"/>
                <w:szCs w:val="21"/>
                <w:highlight w:val="none"/>
                <w:lang w:val="en-US" w:eastAsia="zh-CN" w:bidi="ar-SA"/>
              </w:rPr>
              <w:t>6、</w:t>
            </w:r>
            <w:r>
              <w:rPr>
                <w:rFonts w:hint="eastAsia" w:cs="Times New Roman"/>
                <w:b/>
                <w:color w:val="auto"/>
                <w:kern w:val="24"/>
                <w:sz w:val="24"/>
                <w:szCs w:val="21"/>
                <w:highlight w:val="none"/>
                <w:lang w:val="en-US" w:eastAsia="zh-CN" w:bidi="ar-SA"/>
              </w:rPr>
              <w:t>环境风险</w:t>
            </w:r>
          </w:p>
          <w:p w14:paraId="025AE283">
            <w:pPr>
              <w:adjustRightInd w:val="0"/>
              <w:snapToGrid w:val="0"/>
              <w:spacing w:line="440" w:lineRule="exact"/>
              <w:ind w:firstLine="480"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根据《建设项目环境风险评价技术导则》（HJ169-2018）附录B中的有毒有害和易燃易爆物质的生产、使用和存储，本项目涉及少量附录B中油类物质（矿物油类）；</w:t>
            </w:r>
            <w:r>
              <w:rPr>
                <w:rFonts w:hint="eastAsia" w:ascii="Times New Roman" w:hAnsi="Times New Roman" w:eastAsia="宋体" w:cs="Times New Roman"/>
                <w:color w:val="auto"/>
                <w:sz w:val="24"/>
                <w:szCs w:val="24"/>
                <w:highlight w:val="none"/>
              </w:rPr>
              <w:t>Q值计算方法计算所涉及的每种危险物质在项目区内的最大存在总量与其在《建设项目环境风险评价技术导则》（HJ169-2018）中附录B中对应的临界量的比值Q：</w:t>
            </w:r>
          </w:p>
          <w:p w14:paraId="5749520E">
            <w:pPr>
              <w:adjustRightInd w:val="0"/>
              <w:snapToGrid w:val="0"/>
              <w:spacing w:line="440" w:lineRule="exact"/>
              <w:jc w:val="center"/>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Q=q1/Q1+q2/Q2+…qn/Qn</w:t>
            </w:r>
          </w:p>
          <w:p w14:paraId="56C28C7E">
            <w:pPr>
              <w:adjustRightInd w:val="0"/>
              <w:snapToGrid w:val="0"/>
              <w:spacing w:line="440" w:lineRule="exact"/>
              <w:ind w:firstLine="480"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式中：q1，q2,…,qn——每种危险物质的最大存在总量，t。</w:t>
            </w:r>
          </w:p>
          <w:p w14:paraId="36183100">
            <w:pPr>
              <w:adjustRightInd w:val="0"/>
              <w:snapToGrid w:val="0"/>
              <w:spacing w:line="440" w:lineRule="exact"/>
              <w:ind w:firstLine="480"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Q1，Q2，…,Qn—— 每种危险物质的临界量，t。</w:t>
            </w:r>
          </w:p>
          <w:p w14:paraId="3D829C81">
            <w:pPr>
              <w:adjustRightInd w:val="0"/>
              <w:snapToGrid w:val="0"/>
              <w:spacing w:line="440" w:lineRule="exact"/>
              <w:ind w:firstLine="480"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当Q＜1时，该项目环境风险潜势为Ⅰ。</w:t>
            </w:r>
          </w:p>
          <w:p w14:paraId="48B5A449">
            <w:pPr>
              <w:adjustRightInd w:val="0"/>
              <w:snapToGrid w:val="0"/>
              <w:spacing w:line="440" w:lineRule="exact"/>
              <w:ind w:firstLine="480"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当Q≥1时，将Q值划分为：（1）1≤Q＜10；（2）10≤Q＜100；（3）Q≥100。</w:t>
            </w:r>
          </w:p>
          <w:p w14:paraId="72F43342">
            <w:pPr>
              <w:adjustRightInd w:val="0"/>
              <w:snapToGrid w:val="0"/>
              <w:spacing w:line="440" w:lineRule="exact"/>
              <w:ind w:firstLine="480"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经计算，本项目</w:t>
            </w:r>
            <w:r>
              <w:rPr>
                <w:rFonts w:hint="eastAsia" w:cs="Times New Roman"/>
                <w:color w:val="auto"/>
                <w:sz w:val="24"/>
                <w:szCs w:val="24"/>
                <w:highlight w:val="none"/>
                <w:lang w:val="en-US" w:eastAsia="zh-CN"/>
              </w:rPr>
              <w:t>导热油、</w:t>
            </w:r>
            <w:r>
              <w:rPr>
                <w:rFonts w:hint="eastAsia" w:ascii="Times New Roman" w:hAnsi="Times New Roman" w:eastAsia="宋体" w:cs="Times New Roman"/>
                <w:color w:val="auto"/>
                <w:sz w:val="24"/>
                <w:szCs w:val="24"/>
                <w:highlight w:val="none"/>
                <w:lang w:val="en-US" w:eastAsia="zh-CN"/>
              </w:rPr>
              <w:t>废</w:t>
            </w:r>
            <w:r>
              <w:rPr>
                <w:rFonts w:hint="eastAsia" w:cs="Times New Roman"/>
                <w:color w:val="auto"/>
                <w:sz w:val="24"/>
                <w:szCs w:val="24"/>
                <w:highlight w:val="none"/>
                <w:lang w:val="en-US" w:eastAsia="zh-CN"/>
              </w:rPr>
              <w:t>导热油、废润滑油、报废油</w:t>
            </w:r>
            <w:r>
              <w:rPr>
                <w:rFonts w:hint="eastAsia" w:ascii="Times New Roman" w:hAnsi="Times New Roman" w:eastAsia="宋体" w:cs="Times New Roman"/>
                <w:color w:val="auto"/>
                <w:sz w:val="24"/>
                <w:szCs w:val="24"/>
                <w:highlight w:val="none"/>
                <w:lang w:val="en-US" w:eastAsia="zh-CN"/>
              </w:rPr>
              <w:t>最大存在量</w:t>
            </w:r>
            <w:r>
              <w:rPr>
                <w:rFonts w:hint="eastAsia" w:cs="Times New Roman"/>
                <w:color w:val="auto"/>
                <w:sz w:val="24"/>
                <w:szCs w:val="24"/>
                <w:highlight w:val="none"/>
                <w:lang w:val="en-US" w:eastAsia="zh-CN"/>
              </w:rPr>
              <w:t>10.2</w:t>
            </w:r>
            <w:r>
              <w:rPr>
                <w:rFonts w:hint="eastAsia" w:ascii="Times New Roman" w:hAnsi="Times New Roman" w:eastAsia="宋体" w:cs="Times New Roman"/>
                <w:color w:val="auto"/>
                <w:sz w:val="24"/>
                <w:szCs w:val="24"/>
                <w:highlight w:val="none"/>
              </w:rPr>
              <w:t>t，Q=</w:t>
            </w:r>
            <w:r>
              <w:rPr>
                <w:rFonts w:hint="eastAsia" w:cs="Times New Roman"/>
                <w:color w:val="auto"/>
                <w:sz w:val="24"/>
                <w:szCs w:val="24"/>
                <w:highlight w:val="none"/>
                <w:lang w:val="en-US" w:eastAsia="zh-CN"/>
              </w:rPr>
              <w:t>10.2</w:t>
            </w:r>
            <w:r>
              <w:rPr>
                <w:rFonts w:hint="eastAsia" w:ascii="Times New Roman" w:hAnsi="Times New Roman" w:eastAsia="宋体" w:cs="Times New Roman"/>
                <w:color w:val="auto"/>
                <w:sz w:val="24"/>
                <w:szCs w:val="24"/>
                <w:highlight w:val="none"/>
              </w:rPr>
              <w:t>/2500=0.0</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408</w:t>
            </w:r>
            <w:r>
              <w:rPr>
                <w:rFonts w:hint="eastAsia" w:ascii="Times New Roman" w:hAnsi="Times New Roman" w:eastAsia="宋体" w:cs="Times New Roman"/>
                <w:color w:val="auto"/>
                <w:sz w:val="24"/>
                <w:szCs w:val="24"/>
                <w:highlight w:val="none"/>
              </w:rPr>
              <w:t>＜1。环境风险潜势为Ⅰ。对项目环境风险进行简单分析即可。</w:t>
            </w:r>
          </w:p>
          <w:p w14:paraId="0BED4E5A">
            <w:pPr>
              <w:pStyle w:val="2"/>
              <w:keepNext w:val="0"/>
              <w:keepLines w:val="0"/>
              <w:pageBreakBefore w:val="0"/>
              <w:widowControl w:val="0"/>
              <w:kinsoku/>
              <w:wordWrap/>
              <w:overflowPunct/>
              <w:topLinePunct w:val="0"/>
              <w:autoSpaceDE/>
              <w:autoSpaceDN/>
              <w:bidi w:val="0"/>
              <w:adjustRightInd w:val="0"/>
              <w:snapToGrid/>
              <w:spacing w:after="0" w:line="440" w:lineRule="exact"/>
              <w:ind w:left="0" w:leftChars="0" w:firstLine="0" w:firstLineChars="0"/>
              <w:jc w:val="center"/>
              <w:textAlignment w:val="baseline"/>
              <w:rPr>
                <w:rFonts w:hint="eastAsia"/>
                <w:color w:val="auto"/>
                <w:highlight w:val="none"/>
              </w:rPr>
            </w:pPr>
            <w:r>
              <w:rPr>
                <w:rFonts w:hint="eastAsia" w:cs="Times New Roman"/>
                <w:color w:val="auto"/>
                <w:sz w:val="24"/>
                <w:szCs w:val="24"/>
                <w:highlight w:val="none"/>
                <w:lang w:val="en-US" w:eastAsia="zh-CN"/>
              </w:rPr>
              <w:t>表4-9 本项目各项废油最大存在量及临界量</w:t>
            </w:r>
          </w:p>
          <w:tbl>
            <w:tblPr>
              <w:tblStyle w:val="22"/>
              <w:tblW w:w="82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1268"/>
              <w:gridCol w:w="1355"/>
              <w:gridCol w:w="871"/>
              <w:gridCol w:w="3654"/>
            </w:tblGrid>
            <w:tr w14:paraId="2DE8A9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1130" w:type="dxa"/>
                  <w:tcBorders>
                    <w:tl2br w:val="nil"/>
                    <w:tr2bl w:val="nil"/>
                  </w:tcBorders>
                  <w:vAlign w:val="center"/>
                </w:tcPr>
                <w:p w14:paraId="108DC7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项目名称</w:t>
                  </w:r>
                </w:p>
              </w:tc>
              <w:tc>
                <w:tcPr>
                  <w:tcW w:w="1268" w:type="dxa"/>
                  <w:tcBorders>
                    <w:tl2br w:val="nil"/>
                    <w:tr2bl w:val="nil"/>
                  </w:tcBorders>
                  <w:vAlign w:val="center"/>
                </w:tcPr>
                <w:p w14:paraId="2F6B8F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物质名称</w:t>
                  </w:r>
                </w:p>
              </w:tc>
              <w:tc>
                <w:tcPr>
                  <w:tcW w:w="1355" w:type="dxa"/>
                  <w:tcBorders>
                    <w:tl2br w:val="nil"/>
                    <w:tr2bl w:val="nil"/>
                  </w:tcBorders>
                  <w:vAlign w:val="center"/>
                </w:tcPr>
                <w:p w14:paraId="7E339F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最大存在量</w:t>
                  </w:r>
                </w:p>
              </w:tc>
              <w:tc>
                <w:tcPr>
                  <w:tcW w:w="871" w:type="dxa"/>
                  <w:tcBorders>
                    <w:tl2br w:val="nil"/>
                    <w:tr2bl w:val="nil"/>
                  </w:tcBorders>
                  <w:vAlign w:val="center"/>
                </w:tcPr>
                <w:p w14:paraId="64679F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储存区临界量</w:t>
                  </w:r>
                </w:p>
              </w:tc>
              <w:tc>
                <w:tcPr>
                  <w:tcW w:w="3654" w:type="dxa"/>
                  <w:tcBorders>
                    <w:tl2br w:val="nil"/>
                    <w:tr2bl w:val="nil"/>
                  </w:tcBorders>
                  <w:vAlign w:val="center"/>
                </w:tcPr>
                <w:p w14:paraId="3D4B5F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储存位置</w:t>
                  </w:r>
                </w:p>
              </w:tc>
            </w:tr>
            <w:tr w14:paraId="47A73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130" w:type="dxa"/>
                  <w:tcBorders>
                    <w:tl2br w:val="nil"/>
                    <w:tr2bl w:val="nil"/>
                  </w:tcBorders>
                  <w:vAlign w:val="center"/>
                </w:tcPr>
                <w:p w14:paraId="26A187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导热油</w:t>
                  </w:r>
                </w:p>
              </w:tc>
              <w:tc>
                <w:tcPr>
                  <w:tcW w:w="1268" w:type="dxa"/>
                  <w:vMerge w:val="restart"/>
                  <w:tcBorders>
                    <w:tl2br w:val="nil"/>
                    <w:tr2bl w:val="nil"/>
                  </w:tcBorders>
                  <w:vAlign w:val="center"/>
                </w:tcPr>
                <w:p w14:paraId="17FF01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矿物油（烷烃类：正戊烷/环戊烷）</w:t>
                  </w:r>
                </w:p>
              </w:tc>
              <w:tc>
                <w:tcPr>
                  <w:tcW w:w="1355" w:type="dxa"/>
                  <w:tcBorders>
                    <w:tl2br w:val="nil"/>
                    <w:tr2bl w:val="nil"/>
                  </w:tcBorders>
                  <w:vAlign w:val="center"/>
                </w:tcPr>
                <w:p w14:paraId="0CA9A4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2.55t</w:t>
                  </w:r>
                </w:p>
              </w:tc>
              <w:tc>
                <w:tcPr>
                  <w:tcW w:w="871" w:type="dxa"/>
                  <w:vMerge w:val="restart"/>
                  <w:tcBorders>
                    <w:tl2br w:val="nil"/>
                    <w:tr2bl w:val="nil"/>
                  </w:tcBorders>
                  <w:vAlign w:val="center"/>
                </w:tcPr>
                <w:p w14:paraId="5469AA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20t</w:t>
                  </w:r>
                </w:p>
              </w:tc>
              <w:tc>
                <w:tcPr>
                  <w:tcW w:w="3654" w:type="dxa"/>
                  <w:tcBorders>
                    <w:tl2br w:val="nil"/>
                    <w:tr2bl w:val="nil"/>
                  </w:tcBorders>
                  <w:vAlign w:val="center"/>
                </w:tcPr>
                <w:p w14:paraId="5670FA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rPr>
                  </w:pPr>
                  <w:r>
                    <w:rPr>
                      <w:rFonts w:hint="eastAsia" w:cs="Times New Roman"/>
                      <w:color w:val="auto"/>
                      <w:sz w:val="21"/>
                      <w:szCs w:val="21"/>
                      <w:highlight w:val="none"/>
                      <w:vertAlign w:val="baseline"/>
                      <w:lang w:val="en-US" w:eastAsia="zh-CN"/>
                    </w:rPr>
                    <w:t>导热油罐</w:t>
                  </w:r>
                </w:p>
              </w:tc>
            </w:tr>
            <w:tr w14:paraId="73140C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1130" w:type="dxa"/>
                  <w:tcBorders>
                    <w:tl2br w:val="nil"/>
                    <w:tr2bl w:val="nil"/>
                  </w:tcBorders>
                  <w:vAlign w:val="center"/>
                </w:tcPr>
                <w:p w14:paraId="6B465E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废导热油</w:t>
                  </w:r>
                </w:p>
              </w:tc>
              <w:tc>
                <w:tcPr>
                  <w:tcW w:w="1268" w:type="dxa"/>
                  <w:vMerge w:val="continue"/>
                  <w:tcBorders>
                    <w:tl2br w:val="nil"/>
                    <w:tr2bl w:val="nil"/>
                  </w:tcBorders>
                  <w:vAlign w:val="center"/>
                </w:tcPr>
                <w:p w14:paraId="11CB85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1355" w:type="dxa"/>
                  <w:tcBorders>
                    <w:tl2br w:val="nil"/>
                    <w:tr2bl w:val="nil"/>
                  </w:tcBorders>
                  <w:vAlign w:val="center"/>
                </w:tcPr>
                <w:p w14:paraId="2633B1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2.55t</w:t>
                  </w:r>
                </w:p>
              </w:tc>
              <w:tc>
                <w:tcPr>
                  <w:tcW w:w="871" w:type="dxa"/>
                  <w:vMerge w:val="continue"/>
                  <w:tcBorders>
                    <w:tl2br w:val="nil"/>
                    <w:tr2bl w:val="nil"/>
                  </w:tcBorders>
                  <w:vAlign w:val="center"/>
                </w:tcPr>
                <w:p w14:paraId="23B811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rPr>
                  </w:pPr>
                </w:p>
              </w:tc>
              <w:tc>
                <w:tcPr>
                  <w:tcW w:w="3654" w:type="dxa"/>
                  <w:tcBorders>
                    <w:tl2br w:val="nil"/>
                    <w:tr2bl w:val="nil"/>
                  </w:tcBorders>
                  <w:vAlign w:val="center"/>
                </w:tcPr>
                <w:p w14:paraId="3741D5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rPr>
                  </w:pPr>
                  <w:r>
                    <w:rPr>
                      <w:rFonts w:hint="eastAsia" w:cs="Times New Roman"/>
                      <w:b w:val="0"/>
                      <w:bCs/>
                      <w:color w:val="auto"/>
                      <w:sz w:val="21"/>
                      <w:szCs w:val="21"/>
                      <w:highlight w:val="none"/>
                      <w:vertAlign w:val="baseline"/>
                      <w:lang w:val="en-US" w:eastAsia="zh-CN"/>
                    </w:rPr>
                    <w:t>更换后桶装暂存至厂区现有危废间送有资质单位处置</w:t>
                  </w:r>
                </w:p>
              </w:tc>
            </w:tr>
            <w:tr w14:paraId="4FE2C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52" w:hRule="atLeast"/>
                <w:jc w:val="center"/>
              </w:trPr>
              <w:tc>
                <w:tcPr>
                  <w:tcW w:w="1130" w:type="dxa"/>
                  <w:tcBorders>
                    <w:tl2br w:val="nil"/>
                    <w:tr2bl w:val="nil"/>
                  </w:tcBorders>
                  <w:vAlign w:val="center"/>
                </w:tcPr>
                <w:p w14:paraId="556E3B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废润滑油</w:t>
                  </w:r>
                </w:p>
              </w:tc>
              <w:tc>
                <w:tcPr>
                  <w:tcW w:w="1268" w:type="dxa"/>
                  <w:vMerge w:val="continue"/>
                  <w:tcBorders>
                    <w:tl2br w:val="nil"/>
                    <w:tr2bl w:val="nil"/>
                  </w:tcBorders>
                  <w:vAlign w:val="center"/>
                </w:tcPr>
                <w:p w14:paraId="39E349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1355" w:type="dxa"/>
                  <w:tcBorders>
                    <w:tl2br w:val="nil"/>
                    <w:tr2bl w:val="nil"/>
                  </w:tcBorders>
                  <w:vAlign w:val="center"/>
                </w:tcPr>
                <w:p w14:paraId="51EED5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0.4t</w:t>
                  </w:r>
                </w:p>
              </w:tc>
              <w:tc>
                <w:tcPr>
                  <w:tcW w:w="871" w:type="dxa"/>
                  <w:vMerge w:val="continue"/>
                  <w:tcBorders>
                    <w:tl2br w:val="nil"/>
                    <w:tr2bl w:val="nil"/>
                  </w:tcBorders>
                  <w:vAlign w:val="center"/>
                </w:tcPr>
                <w:p w14:paraId="4B8262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rPr>
                  </w:pPr>
                </w:p>
              </w:tc>
              <w:tc>
                <w:tcPr>
                  <w:tcW w:w="3654" w:type="dxa"/>
                  <w:tcBorders>
                    <w:tl2br w:val="nil"/>
                    <w:tr2bl w:val="nil"/>
                  </w:tcBorders>
                  <w:vAlign w:val="center"/>
                </w:tcPr>
                <w:p w14:paraId="37C581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lang w:val="en-US" w:eastAsia="zh-CN"/>
                    </w:rPr>
                    <w:t>修理替换后的废润滑油桶装暂存至厂区现有危废间送有资质单位处置</w:t>
                  </w:r>
                </w:p>
              </w:tc>
            </w:tr>
            <w:tr w14:paraId="4377FC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3" w:hRule="atLeast"/>
                <w:jc w:val="center"/>
              </w:trPr>
              <w:tc>
                <w:tcPr>
                  <w:tcW w:w="1130" w:type="dxa"/>
                  <w:tcBorders>
                    <w:tl2br w:val="nil"/>
                    <w:tr2bl w:val="nil"/>
                  </w:tcBorders>
                  <w:vAlign w:val="center"/>
                </w:tcPr>
                <w:p w14:paraId="36822A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报废油</w:t>
                  </w:r>
                </w:p>
              </w:tc>
              <w:tc>
                <w:tcPr>
                  <w:tcW w:w="1268" w:type="dxa"/>
                  <w:tcBorders>
                    <w:tl2br w:val="nil"/>
                    <w:tr2bl w:val="nil"/>
                  </w:tcBorders>
                  <w:vAlign w:val="center"/>
                </w:tcPr>
                <w:p w14:paraId="6AC8D2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植物源性的甘油三酯混合物</w:t>
                  </w:r>
                </w:p>
              </w:tc>
              <w:tc>
                <w:tcPr>
                  <w:tcW w:w="1355" w:type="dxa"/>
                  <w:tcBorders>
                    <w:tl2br w:val="nil"/>
                    <w:tr2bl w:val="nil"/>
                  </w:tcBorders>
                  <w:vAlign w:val="center"/>
                </w:tcPr>
                <w:p w14:paraId="3964C7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4.7t</w:t>
                  </w:r>
                </w:p>
              </w:tc>
              <w:tc>
                <w:tcPr>
                  <w:tcW w:w="871" w:type="dxa"/>
                  <w:tcBorders>
                    <w:tl2br w:val="nil"/>
                    <w:tr2bl w:val="nil"/>
                  </w:tcBorders>
                  <w:vAlign w:val="center"/>
                </w:tcPr>
                <w:p w14:paraId="4D166B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3654" w:type="dxa"/>
                  <w:tcBorders>
                    <w:tl2br w:val="nil"/>
                    <w:tr2bl w:val="nil"/>
                  </w:tcBorders>
                  <w:vAlign w:val="center"/>
                </w:tcPr>
                <w:p w14:paraId="0B5497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rPr>
                  </w:pPr>
                  <w:r>
                    <w:rPr>
                      <w:rFonts w:hint="eastAsia" w:cs="Times New Roman"/>
                      <w:b w:val="0"/>
                      <w:bCs/>
                      <w:color w:val="auto"/>
                      <w:sz w:val="21"/>
                      <w:szCs w:val="21"/>
                      <w:highlight w:val="none"/>
                      <w:vertAlign w:val="baseline"/>
                      <w:lang w:val="en-US" w:eastAsia="zh-CN"/>
                    </w:rPr>
                    <w:t>利用油泵及管道将废油输送至吨桶，暂存至一般固废间送往饲料加工厂商作为饲料制造原料</w:t>
                  </w:r>
                </w:p>
              </w:tc>
            </w:tr>
          </w:tbl>
          <w:p w14:paraId="2681315C">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（1）环境风险识别及风险分析</w:t>
            </w:r>
          </w:p>
          <w:p w14:paraId="4128E432">
            <w:pPr>
              <w:adjustRightInd w:val="0"/>
              <w:snapToGrid w:val="0"/>
              <w:spacing w:line="440" w:lineRule="exact"/>
              <w:ind w:firstLine="480" w:firstLineChars="200"/>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项目运营期间可能出现的风险事故</w:t>
            </w:r>
            <w:r>
              <w:rPr>
                <w:rFonts w:hint="eastAsia" w:ascii="Times New Roman" w:hAnsi="Times New Roman" w:eastAsia="宋体" w:cs="Times New Roman"/>
                <w:color w:val="auto"/>
                <w:sz w:val="24"/>
                <w:szCs w:val="24"/>
                <w:highlight w:val="none"/>
                <w:lang w:val="en-US" w:eastAsia="zh-CN"/>
              </w:rPr>
              <w:t>包含：</w:t>
            </w:r>
            <w:r>
              <w:rPr>
                <w:rFonts w:hint="eastAsia" w:cs="Times New Roman"/>
                <w:color w:val="auto"/>
                <w:sz w:val="24"/>
                <w:szCs w:val="24"/>
                <w:highlight w:val="none"/>
                <w:lang w:val="en-US" w:eastAsia="zh-CN"/>
              </w:rPr>
              <w:t>废导热油</w:t>
            </w:r>
            <w:r>
              <w:rPr>
                <w:rFonts w:hint="eastAsia" w:ascii="Times New Roman" w:hAnsi="Times New Roman" w:eastAsia="宋体" w:cs="Times New Roman"/>
                <w:color w:val="auto"/>
                <w:sz w:val="24"/>
                <w:szCs w:val="24"/>
                <w:highlight w:val="none"/>
                <w:lang w:val="en-US" w:eastAsia="zh-CN"/>
              </w:rPr>
              <w:t xml:space="preserve">发生泄漏，若储存间地面存在破损情况，可能导致地面土壤和地下水受到污染；项目原辅料及燃料均为易燃品，极易发生火灾，火灾产生的次生污染物会对大气环境造成一定程度的影响。此外，火灾产生的高温及烟雾可能对人体造成伤害，还会烧毁设备、厂房等，进而造成经济损失。 </w:t>
            </w:r>
          </w:p>
          <w:p w14:paraId="79F81353">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（2）应急预案</w:t>
            </w:r>
          </w:p>
          <w:p w14:paraId="137A3A60">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当发生火灾等恶性事故时，立即切断电源，迅速转移人员，减少物资损失和人员伤亡，同时向公司报告和拨打火灾报警电话。组织业余消防队员利用一切可能的消防器材，全力灭火抢险，抢险灭火人员要戴正压式空气呼吸器，穿防火服，从上风向接近火源。当公安和消防负责人员到达，则由公安消防人员实施应急救援总指挥，公司应急救援指挥部受其指挥开展抢险救援工作</w:t>
            </w:r>
            <w:r>
              <w:rPr>
                <w:rFonts w:hint="eastAsia" w:ascii="Times New Roman" w:hAnsi="Times New Roman" w:eastAsia="宋体" w:cs="Times New Roman"/>
                <w:color w:val="auto"/>
                <w:sz w:val="24"/>
                <w:szCs w:val="24"/>
                <w:highlight w:val="none"/>
              </w:rPr>
              <w:t>。</w:t>
            </w:r>
          </w:p>
          <w:p w14:paraId="2A560A4B">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建设单位现有建设内容已办理突发环境事故应急预案</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厂区现有预案编号为：1508222025014L</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为</w:t>
            </w:r>
            <w:r>
              <w:rPr>
                <w:rFonts w:hint="eastAsia" w:cs="Times New Roman"/>
                <w:color w:val="auto"/>
                <w:sz w:val="24"/>
                <w:szCs w:val="24"/>
                <w:highlight w:val="none"/>
                <w:lang w:eastAsia="zh-CN"/>
              </w:rPr>
              <w:t>进一步</w:t>
            </w:r>
            <w:r>
              <w:rPr>
                <w:rFonts w:hint="eastAsia" w:cs="Times New Roman"/>
                <w:color w:val="auto"/>
                <w:sz w:val="24"/>
                <w:szCs w:val="24"/>
                <w:highlight w:val="none"/>
                <w:lang w:val="en-US" w:eastAsia="zh-CN"/>
              </w:rPr>
              <w:t>防范项目突发环境事故</w:t>
            </w:r>
            <w:r>
              <w:rPr>
                <w:rFonts w:hint="eastAsia" w:ascii="Times New Roman" w:hAnsi="Times New Roman" w:eastAsia="宋体" w:cs="Times New Roman"/>
                <w:color w:val="auto"/>
                <w:sz w:val="24"/>
                <w:szCs w:val="24"/>
                <w:highlight w:val="none"/>
              </w:rPr>
              <w:t>的工作，建设单位应</w:t>
            </w:r>
            <w:r>
              <w:rPr>
                <w:rFonts w:hint="eastAsia" w:cs="Times New Roman"/>
                <w:color w:val="auto"/>
                <w:sz w:val="24"/>
                <w:szCs w:val="24"/>
                <w:highlight w:val="none"/>
                <w:lang w:val="en-US" w:eastAsia="zh-CN"/>
              </w:rPr>
              <w:t>在建成后</w:t>
            </w:r>
            <w:r>
              <w:rPr>
                <w:rFonts w:hint="eastAsia" w:ascii="Times New Roman" w:hAnsi="Times New Roman" w:eastAsia="宋体" w:cs="Times New Roman"/>
                <w:color w:val="auto"/>
                <w:sz w:val="24"/>
                <w:szCs w:val="24"/>
                <w:highlight w:val="none"/>
              </w:rPr>
              <w:t>尽快</w:t>
            </w:r>
            <w:r>
              <w:rPr>
                <w:rFonts w:hint="eastAsia" w:cs="Times New Roman"/>
                <w:color w:val="auto"/>
                <w:sz w:val="24"/>
                <w:szCs w:val="24"/>
                <w:highlight w:val="none"/>
                <w:lang w:val="en-US" w:eastAsia="zh-CN"/>
              </w:rPr>
              <w:t>更新现有的</w:t>
            </w:r>
            <w:r>
              <w:rPr>
                <w:rFonts w:hint="eastAsia" w:ascii="Times New Roman" w:hAnsi="Times New Roman" w:eastAsia="宋体" w:cs="Times New Roman"/>
                <w:color w:val="auto"/>
                <w:sz w:val="24"/>
                <w:szCs w:val="24"/>
                <w:highlight w:val="none"/>
              </w:rPr>
              <w:t>项目突发环境事故应急预案。</w:t>
            </w:r>
          </w:p>
          <w:p w14:paraId="525AD0CB">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（3）风险防范措施</w:t>
            </w:r>
          </w:p>
          <w:p w14:paraId="3A3372D9">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为进一步减少风险隐患</w:t>
            </w:r>
            <w:r>
              <w:rPr>
                <w:rFonts w:ascii="Times New Roman" w:hAnsi="Times New Roman" w:eastAsia="宋体" w:cs="Times New Roman"/>
                <w:color w:val="auto"/>
                <w:sz w:val="24"/>
                <w:szCs w:val="24"/>
                <w:highlight w:val="none"/>
              </w:rPr>
              <w:t>，本次评价建议单位做好如下防范措施：</w:t>
            </w:r>
          </w:p>
          <w:p w14:paraId="36D02F0A">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color w:val="auto"/>
                <w:sz w:val="24"/>
                <w:szCs w:val="24"/>
                <w:highlight w:val="none"/>
              </w:rPr>
              <w:t>①</w:t>
            </w:r>
            <w:r>
              <w:rPr>
                <w:rFonts w:ascii="Times New Roman" w:hAnsi="Times New Roman" w:eastAsia="宋体" w:cs="Times New Roman"/>
                <w:color w:val="auto"/>
                <w:sz w:val="24"/>
                <w:szCs w:val="24"/>
                <w:highlight w:val="none"/>
              </w:rPr>
              <w:t>成立专门的责任机构，保证事故发生时组织相关力量及时控制事故的危害，在第一时间，有序有效地控制事故污染，把事故危害减小到</w:t>
            </w:r>
            <w:r>
              <w:rPr>
                <w:rFonts w:hint="eastAsia" w:cs="Times New Roman"/>
                <w:color w:val="auto"/>
                <w:sz w:val="24"/>
                <w:szCs w:val="24"/>
                <w:highlight w:val="none"/>
                <w:lang w:eastAsia="zh-CN"/>
              </w:rPr>
              <w:t>最小</w:t>
            </w:r>
            <w:r>
              <w:rPr>
                <w:rFonts w:hint="eastAsia" w:ascii="Times New Roman" w:hAnsi="Times New Roman" w:eastAsia="宋体" w:cs="Times New Roman"/>
                <w:color w:val="auto"/>
                <w:sz w:val="24"/>
                <w:szCs w:val="24"/>
                <w:highlight w:val="none"/>
              </w:rPr>
              <w:t>；</w:t>
            </w:r>
          </w:p>
          <w:p w14:paraId="68A862B8">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color w:val="auto"/>
                <w:sz w:val="24"/>
                <w:szCs w:val="24"/>
                <w:highlight w:val="none"/>
              </w:rPr>
              <w:t>②</w:t>
            </w:r>
            <w:r>
              <w:rPr>
                <w:rFonts w:ascii="Times New Roman" w:hAnsi="Times New Roman" w:eastAsia="宋体" w:cs="Times New Roman"/>
                <w:color w:val="auto"/>
                <w:sz w:val="24"/>
                <w:szCs w:val="24"/>
                <w:highlight w:val="none"/>
              </w:rPr>
              <w:t>健全各项制度，强化安全管理意识，禁止烟火，落实各项安全措施，可有效避免环境风险事故发生，加强用电设备及线路的检修和管理</w:t>
            </w:r>
            <w:r>
              <w:rPr>
                <w:rFonts w:hint="eastAsia" w:ascii="Times New Roman" w:hAnsi="Times New Roman" w:eastAsia="宋体" w:cs="Times New Roman"/>
                <w:color w:val="auto"/>
                <w:sz w:val="24"/>
                <w:szCs w:val="24"/>
                <w:highlight w:val="none"/>
              </w:rPr>
              <w:t>；</w:t>
            </w:r>
          </w:p>
          <w:p w14:paraId="7E20FD5C">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color w:val="auto"/>
                <w:sz w:val="24"/>
                <w:szCs w:val="24"/>
                <w:highlight w:val="none"/>
              </w:rPr>
              <w:t>③</w:t>
            </w:r>
            <w:r>
              <w:rPr>
                <w:rFonts w:ascii="Times New Roman" w:hAnsi="Times New Roman" w:eastAsia="宋体" w:cs="Times New Roman"/>
                <w:color w:val="auto"/>
                <w:sz w:val="24"/>
                <w:szCs w:val="24"/>
                <w:highlight w:val="none"/>
              </w:rPr>
              <w:t>严格按照消防安全部门要求，配备相关的应急设施、设备、器材和材料</w:t>
            </w:r>
            <w:r>
              <w:rPr>
                <w:rFonts w:hint="eastAsia" w:ascii="Times New Roman" w:hAnsi="Times New Roman" w:eastAsia="宋体" w:cs="Times New Roman"/>
                <w:color w:val="auto"/>
                <w:sz w:val="24"/>
                <w:szCs w:val="24"/>
                <w:highlight w:val="none"/>
              </w:rPr>
              <w:t>，</w:t>
            </w:r>
            <w:r>
              <w:rPr>
                <w:rFonts w:ascii="Times New Roman" w:hAnsi="Times New Roman" w:eastAsia="宋体" w:cs="Times New Roman"/>
                <w:color w:val="auto"/>
                <w:sz w:val="24"/>
                <w:szCs w:val="24"/>
                <w:highlight w:val="none"/>
              </w:rPr>
              <w:t>在生产、办公区配备适当数量的手提式或悬挂式干粉、泡沫灭火器，用于扑灭初期火源；</w:t>
            </w:r>
          </w:p>
          <w:p w14:paraId="1B54A6BB">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color w:val="auto"/>
                <w:sz w:val="24"/>
                <w:szCs w:val="24"/>
                <w:highlight w:val="none"/>
              </w:rPr>
              <w:t>④</w:t>
            </w:r>
            <w:r>
              <w:rPr>
                <w:rFonts w:ascii="Times New Roman" w:hAnsi="Times New Roman" w:eastAsia="宋体" w:cs="Times New Roman"/>
                <w:color w:val="auto"/>
                <w:sz w:val="24"/>
                <w:szCs w:val="24"/>
                <w:highlight w:val="none"/>
              </w:rPr>
              <w:t>加强各相关部门之间的联系，一旦出现环境风险事故，马上联系各相关部门，迅速</w:t>
            </w:r>
            <w:r>
              <w:rPr>
                <w:rFonts w:hint="eastAsia" w:cs="Times New Roman"/>
                <w:color w:val="auto"/>
                <w:sz w:val="24"/>
                <w:szCs w:val="24"/>
                <w:highlight w:val="none"/>
                <w:lang w:eastAsia="zh-CN"/>
              </w:rPr>
              <w:t>作出反应</w:t>
            </w:r>
            <w:r>
              <w:rPr>
                <w:rFonts w:ascii="Times New Roman" w:hAnsi="Times New Roman" w:eastAsia="宋体" w:cs="Times New Roman"/>
                <w:color w:val="auto"/>
                <w:sz w:val="24"/>
                <w:szCs w:val="24"/>
                <w:highlight w:val="none"/>
              </w:rPr>
              <w:t>；</w:t>
            </w:r>
          </w:p>
          <w:p w14:paraId="3797D331">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color w:val="auto"/>
                <w:sz w:val="24"/>
                <w:szCs w:val="24"/>
                <w:highlight w:val="none"/>
              </w:rPr>
              <w:t>⑤</w:t>
            </w:r>
            <w:r>
              <w:rPr>
                <w:rFonts w:ascii="Times New Roman" w:hAnsi="Times New Roman" w:eastAsia="宋体" w:cs="Times New Roman"/>
                <w:color w:val="auto"/>
                <w:sz w:val="24"/>
                <w:szCs w:val="24"/>
                <w:highlight w:val="none"/>
              </w:rPr>
              <w:t>加强人员的培训和事故应急演练；</w:t>
            </w:r>
          </w:p>
          <w:p w14:paraId="18A5E15E">
            <w:pPr>
              <w:adjustRightInd w:val="0"/>
              <w:snapToGrid w:val="0"/>
              <w:spacing w:line="440" w:lineRule="exact"/>
              <w:ind w:firstLine="480" w:firstLineChars="200"/>
              <w:rPr>
                <w:rFonts w:hint="eastAsia" w:ascii="Times New Roman" w:hAnsi="Times New Roman" w:eastAsia="宋体" w:cs="Times New Roman"/>
                <w:color w:val="auto"/>
                <w:sz w:val="24"/>
                <w:szCs w:val="24"/>
                <w:highlight w:val="none"/>
              </w:rPr>
            </w:pPr>
            <w:r>
              <w:rPr>
                <w:color w:val="auto"/>
                <w:sz w:val="24"/>
                <w:szCs w:val="24"/>
                <w:highlight w:val="none"/>
              </w:rPr>
              <w:t>⑥</w:t>
            </w:r>
            <w:r>
              <w:rPr>
                <w:rFonts w:ascii="Times New Roman" w:hAnsi="Times New Roman" w:eastAsia="宋体" w:cs="Times New Roman"/>
                <w:color w:val="auto"/>
                <w:sz w:val="24"/>
                <w:szCs w:val="24"/>
                <w:highlight w:val="none"/>
              </w:rPr>
              <w:t>如火势较大时，迅速成立火灾应急小组，第一时间拨打</w:t>
            </w:r>
            <w:r>
              <w:rPr>
                <w:rFonts w:hint="eastAsia" w:cs="Times New Roman"/>
                <w:color w:val="auto"/>
                <w:sz w:val="24"/>
                <w:szCs w:val="24"/>
                <w:highlight w:val="none"/>
                <w:lang w:eastAsia="zh-CN"/>
              </w:rPr>
              <w:t>“</w:t>
            </w:r>
            <w:r>
              <w:rPr>
                <w:rFonts w:ascii="Times New Roman" w:hAnsi="Times New Roman" w:eastAsia="宋体" w:cs="Times New Roman"/>
                <w:color w:val="auto"/>
                <w:sz w:val="24"/>
                <w:szCs w:val="24"/>
                <w:highlight w:val="none"/>
              </w:rPr>
              <w:t>119</w:t>
            </w:r>
            <w:r>
              <w:rPr>
                <w:rFonts w:hint="eastAsia" w:cs="Times New Roman"/>
                <w:color w:val="auto"/>
                <w:sz w:val="24"/>
                <w:szCs w:val="24"/>
                <w:highlight w:val="none"/>
                <w:lang w:eastAsia="zh-CN"/>
              </w:rPr>
              <w:t>”</w:t>
            </w:r>
            <w:r>
              <w:rPr>
                <w:rFonts w:ascii="Times New Roman" w:hAnsi="Times New Roman" w:eastAsia="宋体" w:cs="Times New Roman"/>
                <w:color w:val="auto"/>
                <w:sz w:val="24"/>
                <w:szCs w:val="24"/>
                <w:highlight w:val="none"/>
              </w:rPr>
              <w:t>火警电话报警，同时组织火场人员按疏散路线撤离至安全地带；对于电气线路也应绝对安全可靠，防止短路起火等，确保安全生产</w:t>
            </w:r>
            <w:r>
              <w:rPr>
                <w:rFonts w:hint="eastAsia" w:ascii="Times New Roman" w:hAnsi="Times New Roman" w:eastAsia="宋体" w:cs="Times New Roman"/>
                <w:color w:val="auto"/>
                <w:sz w:val="24"/>
                <w:szCs w:val="24"/>
                <w:highlight w:val="none"/>
              </w:rPr>
              <w:t>；</w:t>
            </w:r>
          </w:p>
          <w:p w14:paraId="3C81EE89">
            <w:pPr>
              <w:adjustRightInd w:val="0"/>
              <w:snapToGrid w:val="0"/>
              <w:spacing w:line="440" w:lineRule="exact"/>
              <w:ind w:firstLine="480" w:firstLineChars="20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⑦</w:t>
            </w:r>
            <w:r>
              <w:rPr>
                <w:rFonts w:hint="eastAsia" w:ascii="Times New Roman" w:hAnsi="Times New Roman" w:eastAsia="宋体" w:cs="Times New Roman"/>
                <w:color w:val="auto"/>
                <w:sz w:val="24"/>
                <w:szCs w:val="24"/>
                <w:highlight w:val="none"/>
                <w:lang w:val="en-US" w:eastAsia="zh-CN"/>
              </w:rPr>
              <w:t>危废间</w:t>
            </w:r>
            <w:r>
              <w:rPr>
                <w:rFonts w:hint="default" w:ascii="Times New Roman" w:hAnsi="Times New Roman" w:eastAsia="宋体" w:cs="Times New Roman"/>
                <w:color w:val="auto"/>
                <w:sz w:val="24"/>
                <w:szCs w:val="24"/>
                <w:highlight w:val="none"/>
                <w:lang w:val="en-US" w:eastAsia="zh-CN"/>
              </w:rPr>
              <w:t>地面及裙角进行防渗处理，地面防渗措施为在混凝土上铺设复合土工膜+水泥砂浆抹灰</w:t>
            </w:r>
            <w:r>
              <w:rPr>
                <w:rFonts w:hint="eastAsia" w:ascii="Times New Roman" w:hAnsi="Times New Roman" w:eastAsia="宋体" w:cs="Times New Roman"/>
                <w:color w:val="auto"/>
                <w:sz w:val="24"/>
                <w:szCs w:val="24"/>
                <w:highlight w:val="none"/>
                <w:lang w:val="en-US" w:eastAsia="zh-CN"/>
              </w:rPr>
              <w:t>及</w:t>
            </w:r>
            <w:r>
              <w:rPr>
                <w:rFonts w:hint="default" w:ascii="Times New Roman" w:hAnsi="Times New Roman" w:eastAsia="宋体" w:cs="Times New Roman"/>
                <w:color w:val="auto"/>
                <w:sz w:val="24"/>
                <w:szCs w:val="24"/>
                <w:highlight w:val="none"/>
                <w:lang w:val="en-US" w:eastAsia="zh-CN"/>
              </w:rPr>
              <w:t>环氧树脂耐油防腐地坪，</w:t>
            </w:r>
            <w:r>
              <w:rPr>
                <w:rFonts w:hint="eastAsia" w:ascii="Times New Roman" w:hAnsi="Times New Roman" w:eastAsia="宋体" w:cs="Times New Roman"/>
                <w:color w:val="auto"/>
                <w:sz w:val="24"/>
                <w:szCs w:val="24"/>
                <w:highlight w:val="none"/>
                <w:lang w:val="en-US" w:eastAsia="zh-CN"/>
              </w:rPr>
              <w:t>渗透系数</w:t>
            </w:r>
            <w:r>
              <w:rPr>
                <w:rFonts w:hint="default" w:ascii="Times New Roman" w:hAnsi="Times New Roman" w:eastAsia="宋体" w:cs="Times New Roman"/>
                <w:color w:val="auto"/>
                <w:sz w:val="24"/>
                <w:szCs w:val="24"/>
                <w:highlight w:val="none"/>
                <w:lang w:val="en-US" w:eastAsia="zh-CN"/>
              </w:rPr>
              <w:t>≤ 10</w:t>
            </w:r>
            <w:r>
              <w:rPr>
                <w:rFonts w:hint="default" w:ascii="Times New Roman" w:hAnsi="Times New Roman" w:eastAsia="宋体" w:cs="Times New Roman"/>
                <w:color w:val="auto"/>
                <w:sz w:val="24"/>
                <w:szCs w:val="24"/>
                <w:highlight w:val="none"/>
                <w:vertAlign w:val="superscript"/>
                <w:lang w:val="en-US" w:eastAsia="zh-CN"/>
              </w:rPr>
              <w:t>-</w:t>
            </w:r>
            <w:r>
              <w:rPr>
                <w:rFonts w:hint="eastAsia" w:ascii="Times New Roman" w:hAnsi="Times New Roman" w:eastAsia="宋体" w:cs="Times New Roman"/>
                <w:color w:val="auto"/>
                <w:sz w:val="24"/>
                <w:szCs w:val="24"/>
                <w:highlight w:val="none"/>
                <w:vertAlign w:val="superscript"/>
                <w:lang w:val="en-US" w:eastAsia="zh-CN"/>
              </w:rPr>
              <w:t>10</w:t>
            </w:r>
            <w:r>
              <w:rPr>
                <w:rFonts w:hint="default" w:ascii="Times New Roman" w:hAnsi="Times New Roman" w:eastAsia="宋体" w:cs="Times New Roman"/>
                <w:color w:val="auto"/>
                <w:sz w:val="24"/>
                <w:szCs w:val="24"/>
                <w:highlight w:val="none"/>
                <w:lang w:val="en-US" w:eastAsia="zh-CN"/>
              </w:rPr>
              <w:t>cm/s</w:t>
            </w:r>
            <w:r>
              <w:rPr>
                <w:rFonts w:hint="eastAsia" w:ascii="Times New Roman" w:hAnsi="Times New Roman" w:eastAsia="宋体" w:cs="Times New Roman"/>
                <w:color w:val="auto"/>
                <w:sz w:val="24"/>
                <w:szCs w:val="24"/>
                <w:highlight w:val="none"/>
                <w:lang w:val="en-US" w:eastAsia="zh-CN"/>
              </w:rPr>
              <w:t>并设置</w:t>
            </w:r>
            <w:r>
              <w:rPr>
                <w:rFonts w:hint="eastAsia" w:ascii="Times New Roman" w:hAnsi="Times New Roman" w:eastAsia="宋体" w:cs="Times New Roman"/>
                <w:color w:val="auto"/>
                <w:sz w:val="24"/>
                <w:szCs w:val="24"/>
                <w:highlight w:val="none"/>
                <w:lang w:eastAsia="zh-CN"/>
              </w:rPr>
              <w:t>收集池、导流槽等设施</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机修间地面及裙角进行污染防渗处理，防止油类物质泄露污染土壤。</w:t>
            </w:r>
          </w:p>
          <w:p w14:paraId="01A3B241">
            <w:pPr>
              <w:pStyle w:val="2"/>
              <w:keepNext w:val="0"/>
              <w:keepLines w:val="0"/>
              <w:pageBreakBefore w:val="0"/>
              <w:widowControl w:val="0"/>
              <w:kinsoku/>
              <w:wordWrap/>
              <w:overflowPunct/>
              <w:topLinePunct w:val="0"/>
              <w:autoSpaceDE/>
              <w:autoSpaceDN/>
              <w:bidi w:val="0"/>
              <w:snapToGrid/>
              <w:spacing w:after="0" w:line="440" w:lineRule="exact"/>
              <w:ind w:left="0" w:leftChars="0" w:firstLine="480" w:firstLineChars="200"/>
              <w:rPr>
                <w:rFonts w:hint="default"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⑧</w:t>
            </w:r>
            <w:r>
              <w:rPr>
                <w:rFonts w:hint="default" w:ascii="Times New Roman" w:hAnsi="Times New Roman" w:eastAsia="宋体" w:cs="Times New Roman"/>
                <w:b w:val="0"/>
                <w:bCs/>
                <w:color w:val="auto"/>
                <w:sz w:val="24"/>
                <w:szCs w:val="24"/>
                <w:highlight w:val="none"/>
                <w:lang w:val="en-US" w:eastAsia="zh-CN"/>
              </w:rPr>
              <w:t>导热油罐、</w:t>
            </w:r>
            <w:r>
              <w:rPr>
                <w:rFonts w:hint="eastAsia" w:ascii="Times New Roman" w:hAnsi="Times New Roman" w:eastAsia="宋体" w:cs="Times New Roman"/>
                <w:b w:val="0"/>
                <w:bCs/>
                <w:color w:val="auto"/>
                <w:sz w:val="24"/>
                <w:szCs w:val="24"/>
                <w:highlight w:val="none"/>
                <w:lang w:val="en-US" w:eastAsia="zh-CN"/>
              </w:rPr>
              <w:t>废导热油桶</w:t>
            </w:r>
            <w:r>
              <w:rPr>
                <w:rFonts w:hint="default" w:ascii="Times New Roman" w:hAnsi="Times New Roman" w:eastAsia="宋体" w:cs="Times New Roman"/>
                <w:b w:val="0"/>
                <w:bCs/>
                <w:color w:val="auto"/>
                <w:sz w:val="24"/>
                <w:szCs w:val="24"/>
                <w:highlight w:val="none"/>
                <w:lang w:val="en-US" w:eastAsia="zh-CN"/>
              </w:rPr>
              <w:t>风险防范措施</w:t>
            </w:r>
          </w:p>
          <w:p w14:paraId="54D3F976">
            <w:pPr>
              <w:pStyle w:val="4"/>
              <w:keepNext w:val="0"/>
              <w:keepLines w:val="0"/>
              <w:pageBreakBefore w:val="0"/>
              <w:widowControl w:val="0"/>
              <w:kinsoku/>
              <w:wordWrap/>
              <w:overflowPunct/>
              <w:topLinePunct w:val="0"/>
              <w:autoSpaceDE/>
              <w:autoSpaceDN/>
              <w:bidi w:val="0"/>
              <w:snapToGrid/>
              <w:spacing w:after="0" w:line="440" w:lineRule="exact"/>
              <w:ind w:left="0" w:leftChars="0" w:firstLine="480" w:firstLineChars="200"/>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电导热油</w:t>
            </w:r>
            <w:r>
              <w:rPr>
                <w:rFonts w:hint="eastAsia" w:cs="Times New Roman"/>
                <w:color w:val="auto"/>
                <w:sz w:val="24"/>
                <w:szCs w:val="24"/>
                <w:highlight w:val="none"/>
                <w:lang w:val="en-US" w:eastAsia="zh-CN"/>
              </w:rPr>
              <w:t>罐地面</w:t>
            </w:r>
            <w:r>
              <w:rPr>
                <w:rFonts w:hint="eastAsia" w:ascii="Times New Roman" w:hAnsi="Times New Roman" w:eastAsia="宋体" w:cs="Times New Roman"/>
                <w:color w:val="auto"/>
                <w:sz w:val="24"/>
                <w:szCs w:val="24"/>
                <w:highlight w:val="none"/>
                <w:lang w:val="en-US" w:eastAsia="zh-CN"/>
              </w:rPr>
              <w:t>防渗措施为在混凝土上铺设复合土工膜+水泥砂浆抹灰及环氧树脂耐油防腐地坪，渗透系数≤ 10</w:t>
            </w:r>
            <w:r>
              <w:rPr>
                <w:rFonts w:hint="eastAsia" w:ascii="Times New Roman" w:hAnsi="Times New Roman" w:eastAsia="宋体" w:cs="Times New Roman"/>
                <w:color w:val="auto"/>
                <w:sz w:val="24"/>
                <w:szCs w:val="24"/>
                <w:highlight w:val="none"/>
                <w:vertAlign w:val="superscript"/>
                <w:lang w:val="en-US" w:eastAsia="zh-CN"/>
              </w:rPr>
              <w:t>-10</w:t>
            </w:r>
            <w:r>
              <w:rPr>
                <w:rFonts w:hint="eastAsia" w:ascii="Times New Roman" w:hAnsi="Times New Roman" w:eastAsia="宋体" w:cs="Times New Roman"/>
                <w:color w:val="auto"/>
                <w:sz w:val="24"/>
                <w:szCs w:val="24"/>
                <w:highlight w:val="none"/>
                <w:lang w:val="en-US" w:eastAsia="zh-CN"/>
              </w:rPr>
              <w:t>cm/s；围堰设置C30/P8 抗渗混凝土，同地面防渗等级</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内壁 + 底面做2 mm HDPE 膜或环氧玻璃钢，与地面防渗层无缝搭接、焊接密封</w:t>
            </w:r>
            <w:r>
              <w:rPr>
                <w:rFonts w:hint="eastAsia" w:cs="Times New Roman"/>
                <w:color w:val="auto"/>
                <w:sz w:val="24"/>
                <w:szCs w:val="24"/>
                <w:highlight w:val="none"/>
                <w:lang w:val="en-US" w:eastAsia="zh-CN"/>
              </w:rPr>
              <w:t>；</w:t>
            </w:r>
          </w:p>
          <w:p w14:paraId="4A72ED7D">
            <w:pPr>
              <w:pStyle w:val="4"/>
              <w:keepNext w:val="0"/>
              <w:keepLines w:val="0"/>
              <w:pageBreakBefore w:val="0"/>
              <w:widowControl w:val="0"/>
              <w:kinsoku/>
              <w:wordWrap/>
              <w:overflowPunct/>
              <w:topLinePunct w:val="0"/>
              <w:autoSpaceDE/>
              <w:autoSpaceDN/>
              <w:bidi w:val="0"/>
              <w:snapToGrid/>
              <w:spacing w:after="0" w:line="440" w:lineRule="exact"/>
              <w:ind w:left="0" w:leftChars="0" w:firstLine="480" w:firstLineChars="200"/>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B.</w:t>
            </w:r>
            <w:r>
              <w:rPr>
                <w:rFonts w:hint="default" w:ascii="Times New Roman" w:hAnsi="Times New Roman" w:eastAsia="宋体" w:cs="Times New Roman"/>
                <w:b w:val="0"/>
                <w:bCs/>
                <w:color w:val="auto"/>
                <w:sz w:val="24"/>
                <w:szCs w:val="24"/>
                <w:highlight w:val="none"/>
                <w:lang w:val="en-US"/>
              </w:rPr>
              <w:t>防流散措施</w:t>
            </w:r>
            <w:r>
              <w:rPr>
                <w:rFonts w:hint="eastAsia" w:ascii="Times New Roman" w:hAnsi="Times New Roman" w:eastAsia="宋体" w:cs="Times New Roman"/>
                <w:b w:val="0"/>
                <w:bCs/>
                <w:color w:val="auto"/>
                <w:sz w:val="24"/>
                <w:szCs w:val="24"/>
                <w:highlight w:val="none"/>
                <w:lang w:val="en-US" w:eastAsia="zh-CN"/>
              </w:rPr>
              <w:t>：电</w:t>
            </w:r>
            <w:r>
              <w:rPr>
                <w:rFonts w:hint="default" w:ascii="Times New Roman" w:hAnsi="Times New Roman" w:eastAsia="宋体" w:cs="Times New Roman"/>
                <w:b w:val="0"/>
                <w:bCs/>
                <w:color w:val="auto"/>
                <w:sz w:val="24"/>
                <w:szCs w:val="24"/>
                <w:highlight w:val="none"/>
                <w:lang w:val="en-US"/>
              </w:rPr>
              <w:t>导热油炉及附属导热油储罐、输送泵等设备周围，必须设置防止导热油流散的措施，如围堰或集油槽</w:t>
            </w:r>
            <w:r>
              <w:rPr>
                <w:rFonts w:hint="eastAsia" w:ascii="Times New Roman" w:hAnsi="Times New Roman" w:eastAsia="宋体" w:cs="Times New Roman"/>
                <w:b w:val="0"/>
                <w:bCs/>
                <w:color w:val="auto"/>
                <w:sz w:val="24"/>
                <w:szCs w:val="24"/>
                <w:highlight w:val="none"/>
                <w:lang w:val="en-US" w:eastAsia="zh-CN"/>
              </w:rPr>
              <w:t>；</w:t>
            </w:r>
          </w:p>
          <w:p w14:paraId="710EBB42">
            <w:pPr>
              <w:pStyle w:val="4"/>
              <w:keepNext w:val="0"/>
              <w:keepLines w:val="0"/>
              <w:pageBreakBefore w:val="0"/>
              <w:widowControl w:val="0"/>
              <w:kinsoku/>
              <w:wordWrap/>
              <w:overflowPunct/>
              <w:topLinePunct w:val="0"/>
              <w:autoSpaceDE/>
              <w:autoSpaceDN/>
              <w:bidi w:val="0"/>
              <w:snapToGrid/>
              <w:spacing w:after="0" w:line="440" w:lineRule="exact"/>
              <w:ind w:left="0" w:leftChars="0" w:firstLine="480" w:firstLineChars="200"/>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C.</w:t>
            </w:r>
            <w:r>
              <w:rPr>
                <w:rFonts w:hint="default" w:ascii="Times New Roman" w:hAnsi="Times New Roman" w:eastAsia="宋体" w:cs="Times New Roman"/>
                <w:b w:val="0"/>
                <w:bCs/>
                <w:color w:val="auto"/>
                <w:sz w:val="24"/>
                <w:szCs w:val="24"/>
                <w:highlight w:val="none"/>
                <w:lang w:val="en-US"/>
              </w:rPr>
              <w:t>设备防护要求对可能导致泄漏的法兰、阀门等部位需采取防喷射措施</w:t>
            </w:r>
            <w:r>
              <w:rPr>
                <w:rFonts w:hint="eastAsia" w:ascii="Times New Roman" w:hAnsi="Times New Roman" w:eastAsia="宋体" w:cs="Times New Roman"/>
                <w:b w:val="0"/>
                <w:bCs/>
                <w:color w:val="auto"/>
                <w:sz w:val="24"/>
                <w:szCs w:val="24"/>
                <w:highlight w:val="none"/>
                <w:lang w:val="en-US" w:eastAsia="zh-CN"/>
              </w:rPr>
              <w:t>；</w:t>
            </w:r>
          </w:p>
          <w:p w14:paraId="4BA2E780">
            <w:pPr>
              <w:pStyle w:val="4"/>
              <w:keepNext w:val="0"/>
              <w:keepLines w:val="0"/>
              <w:pageBreakBefore w:val="0"/>
              <w:widowControl w:val="0"/>
              <w:kinsoku/>
              <w:wordWrap/>
              <w:overflowPunct/>
              <w:topLinePunct w:val="0"/>
              <w:autoSpaceDE/>
              <w:autoSpaceDN/>
              <w:bidi w:val="0"/>
              <w:snapToGrid/>
              <w:spacing w:after="0" w:line="440" w:lineRule="exact"/>
              <w:ind w:left="0" w:leftChars="0" w:firstLine="480" w:firstLineChars="200"/>
              <w:rPr>
                <w:rFonts w:hint="default" w:ascii="Times New Roman" w:hAnsi="Times New Roman" w:eastAsia="宋体" w:cs="Times New Roman"/>
                <w:b w:val="0"/>
                <w:bCs/>
                <w:color w:val="auto"/>
                <w:sz w:val="24"/>
                <w:szCs w:val="24"/>
                <w:highlight w:val="none"/>
                <w:lang w:val="en-US"/>
              </w:rPr>
            </w:pPr>
            <w:r>
              <w:rPr>
                <w:rFonts w:hint="eastAsia" w:ascii="Times New Roman" w:hAnsi="Times New Roman" w:eastAsia="宋体" w:cs="Times New Roman"/>
                <w:b w:val="0"/>
                <w:bCs/>
                <w:color w:val="auto"/>
                <w:sz w:val="24"/>
                <w:szCs w:val="24"/>
                <w:highlight w:val="none"/>
                <w:lang w:val="en-US" w:eastAsia="zh-CN"/>
              </w:rPr>
              <w:t>D.</w:t>
            </w:r>
            <w:r>
              <w:rPr>
                <w:rFonts w:hint="default" w:ascii="Times New Roman" w:hAnsi="Times New Roman" w:eastAsia="宋体" w:cs="Times New Roman"/>
                <w:b w:val="0"/>
                <w:bCs/>
                <w:color w:val="auto"/>
                <w:sz w:val="24"/>
                <w:szCs w:val="24"/>
                <w:highlight w:val="none"/>
                <w:lang w:val="en-US"/>
              </w:rPr>
              <w:t>紧急切断装置</w:t>
            </w:r>
            <w:r>
              <w:rPr>
                <w:rFonts w:hint="eastAsia" w:ascii="Times New Roman" w:hAnsi="Times New Roman" w:eastAsia="宋体"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rPr>
              <w:t>导热油管道进入生产设施处应设置紧急切断阀，系统需安装安全泄放装置。</w:t>
            </w:r>
          </w:p>
          <w:p w14:paraId="42F645A7">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采取以上措施后，可有效降低事故发生的概率。</w:t>
            </w:r>
          </w:p>
          <w:p w14:paraId="22C7C0F0">
            <w:pPr>
              <w:adjustRightInd w:val="0"/>
              <w:snapToGrid w:val="0"/>
              <w:spacing w:line="440" w:lineRule="exact"/>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（4）环境风险评价结论</w:t>
            </w:r>
          </w:p>
          <w:p w14:paraId="35724CDC">
            <w:pPr>
              <w:adjustRightInd w:val="0"/>
              <w:snapToGrid w:val="0"/>
              <w:spacing w:line="440" w:lineRule="exact"/>
              <w:ind w:firstLine="480" w:firstLineChars="200"/>
              <w:rPr>
                <w:rFonts w:hint="eastAsia" w:ascii="Times New Roman" w:hAnsi="Times New Roman" w:eastAsia="宋体" w:cs="Times New Roman"/>
                <w:b/>
                <w:color w:val="auto"/>
                <w:sz w:val="24"/>
                <w:szCs w:val="24"/>
                <w:highlight w:val="none"/>
              </w:rPr>
            </w:pPr>
            <w:r>
              <w:rPr>
                <w:rFonts w:ascii="Times New Roman" w:hAnsi="Times New Roman" w:eastAsia="宋体" w:cs="Times New Roman"/>
                <w:color w:val="auto"/>
                <w:sz w:val="24"/>
                <w:szCs w:val="24"/>
                <w:highlight w:val="none"/>
              </w:rPr>
              <w:t>本项目运营过程中不存在重大危险源，项目风险事故主要为火灾事故，建设单位在做好各项风险防范措施的条件下，并严格按照提出的措施要求进行生产管理，达到安全生产的目的，项目生产运营造成的环境风险是可以接受的。</w:t>
            </w:r>
          </w:p>
          <w:p w14:paraId="1A2B176D">
            <w:pPr>
              <w:pStyle w:val="30"/>
              <w:keepNext w:val="0"/>
              <w:keepLines w:val="0"/>
              <w:pageBreakBefore w:val="0"/>
              <w:widowControl w:val="0"/>
              <w:numPr>
                <w:ilvl w:val="0"/>
                <w:numId w:val="0"/>
              </w:numPr>
              <w:kinsoku/>
              <w:wordWrap/>
              <w:overflowPunct/>
              <w:topLinePunct w:val="0"/>
              <w:autoSpaceDE/>
              <w:autoSpaceDN/>
              <w:bidi w:val="0"/>
              <w:adjustRightInd w:val="0"/>
              <w:snapToGrid/>
              <w:spacing w:line="440" w:lineRule="exact"/>
              <w:ind w:firstLine="482" w:firstLineChars="200"/>
              <w:textAlignment w:val="baseline"/>
              <w:rPr>
                <w:rFonts w:hint="default"/>
                <w:b/>
                <w:color w:val="auto"/>
                <w:szCs w:val="21"/>
                <w:highlight w:val="none"/>
                <w:lang w:val="en-US"/>
              </w:rPr>
            </w:pPr>
            <w:r>
              <w:rPr>
                <w:rFonts w:hint="eastAsia" w:cs="Times New Roman"/>
                <w:b/>
                <w:color w:val="auto"/>
                <w:kern w:val="24"/>
                <w:sz w:val="24"/>
                <w:szCs w:val="21"/>
                <w:highlight w:val="none"/>
                <w:lang w:val="en-US" w:eastAsia="zh-CN" w:bidi="ar-SA"/>
              </w:rPr>
              <w:t>7</w:t>
            </w:r>
            <w:r>
              <w:rPr>
                <w:rFonts w:ascii="Times New Roman" w:hAnsi="Times New Roman" w:eastAsia="宋体" w:cs="Times New Roman"/>
                <w:b/>
                <w:color w:val="auto"/>
                <w:kern w:val="24"/>
                <w:sz w:val="24"/>
                <w:szCs w:val="21"/>
                <w:highlight w:val="none"/>
                <w:lang w:val="en-US" w:eastAsia="zh-CN" w:bidi="ar-SA"/>
              </w:rPr>
              <w:t>、</w:t>
            </w:r>
            <w:r>
              <w:rPr>
                <w:b/>
                <w:color w:val="auto"/>
                <w:szCs w:val="21"/>
                <w:highlight w:val="none"/>
              </w:rPr>
              <w:t>建设项目</w:t>
            </w:r>
            <w:r>
              <w:rPr>
                <w:rFonts w:hint="eastAsia" w:ascii="宋体" w:hAnsi="宋体"/>
                <w:b/>
                <w:color w:val="auto"/>
                <w:szCs w:val="21"/>
                <w:highlight w:val="none"/>
                <w:lang w:eastAsia="zh-CN"/>
              </w:rPr>
              <w:t>“</w:t>
            </w:r>
            <w:r>
              <w:rPr>
                <w:rFonts w:ascii="宋体" w:hAnsi="宋体"/>
                <w:b/>
                <w:color w:val="auto"/>
                <w:szCs w:val="21"/>
                <w:highlight w:val="none"/>
              </w:rPr>
              <w:t>三同时</w:t>
            </w:r>
            <w:r>
              <w:rPr>
                <w:rFonts w:hint="eastAsia" w:ascii="宋体" w:hAnsi="宋体"/>
                <w:b/>
                <w:color w:val="auto"/>
                <w:szCs w:val="21"/>
                <w:highlight w:val="none"/>
                <w:lang w:eastAsia="zh-CN"/>
              </w:rPr>
              <w:t>”</w:t>
            </w:r>
            <w:r>
              <w:rPr>
                <w:rFonts w:hint="eastAsia" w:ascii="宋体" w:hAnsi="宋体"/>
                <w:b/>
                <w:color w:val="auto"/>
                <w:szCs w:val="21"/>
                <w:highlight w:val="none"/>
                <w:lang w:val="en-US" w:eastAsia="zh-CN"/>
              </w:rPr>
              <w:t>及环保投资</w:t>
            </w:r>
          </w:p>
          <w:p w14:paraId="768A46C4">
            <w:pPr>
              <w:keepNext w:val="0"/>
              <w:keepLines w:val="0"/>
              <w:pageBreakBefore w:val="0"/>
              <w:widowControl w:val="0"/>
              <w:kinsoku/>
              <w:wordWrap/>
              <w:overflowPunct/>
              <w:topLinePunct w:val="0"/>
              <w:autoSpaceDE/>
              <w:autoSpaceDN/>
              <w:bidi w:val="0"/>
              <w:spacing w:line="440" w:lineRule="exact"/>
              <w:ind w:firstLine="480" w:firstLineChars="200"/>
              <w:rPr>
                <w:rFonts w:hint="eastAsia"/>
                <w:color w:val="auto"/>
                <w:sz w:val="24"/>
                <w:szCs w:val="21"/>
                <w:highlight w:val="none"/>
              </w:rPr>
            </w:pPr>
            <w:r>
              <w:rPr>
                <w:color w:val="auto"/>
                <w:sz w:val="24"/>
                <w:szCs w:val="21"/>
                <w:highlight w:val="none"/>
              </w:rPr>
              <w:t>根据建设项目环境管理办法，污染防治设施必须与主体</w:t>
            </w:r>
            <w:r>
              <w:rPr>
                <w:rFonts w:hint="eastAsia"/>
                <w:color w:val="auto"/>
                <w:sz w:val="24"/>
                <w:szCs w:val="21"/>
                <w:highlight w:val="none"/>
                <w:lang w:val="en-US" w:eastAsia="zh-CN"/>
              </w:rPr>
              <w:t>工程</w:t>
            </w:r>
            <w:r>
              <w:rPr>
                <w:color w:val="auto"/>
                <w:sz w:val="24"/>
                <w:szCs w:val="21"/>
                <w:highlight w:val="none"/>
              </w:rPr>
              <w:t>同时设计、同时施工、同时投入使用。在本项目完成后，应对环境保护设施进行验收。本项目竣工环境保护验收内容见</w:t>
            </w:r>
            <w:r>
              <w:rPr>
                <w:rFonts w:hint="eastAsia"/>
                <w:color w:val="auto"/>
                <w:sz w:val="24"/>
                <w:szCs w:val="21"/>
                <w:highlight w:val="none"/>
              </w:rPr>
              <w:t>下</w:t>
            </w:r>
            <w:r>
              <w:rPr>
                <w:color w:val="auto"/>
                <w:sz w:val="24"/>
                <w:szCs w:val="21"/>
                <w:highlight w:val="none"/>
              </w:rPr>
              <w:t>表</w:t>
            </w:r>
            <w:r>
              <w:rPr>
                <w:rFonts w:hint="eastAsia"/>
                <w:color w:val="auto"/>
                <w:sz w:val="24"/>
                <w:szCs w:val="21"/>
                <w:highlight w:val="none"/>
                <w:lang w:val="en-US" w:eastAsia="zh-CN"/>
              </w:rPr>
              <w:t>4-9</w:t>
            </w:r>
            <w:r>
              <w:rPr>
                <w:color w:val="auto"/>
                <w:sz w:val="24"/>
                <w:szCs w:val="21"/>
                <w:highlight w:val="none"/>
              </w:rPr>
              <w:t>。</w:t>
            </w:r>
          </w:p>
          <w:p w14:paraId="1D696B24">
            <w:pPr>
              <w:keepNext w:val="0"/>
              <w:keepLines w:val="0"/>
              <w:pageBreakBefore w:val="0"/>
              <w:widowControl w:val="0"/>
              <w:kinsoku/>
              <w:wordWrap/>
              <w:overflowPunct/>
              <w:topLinePunct w:val="0"/>
              <w:autoSpaceDE/>
              <w:autoSpaceDN/>
              <w:bidi w:val="0"/>
              <w:spacing w:line="440" w:lineRule="exact"/>
              <w:ind w:right="-26"/>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表4-</w:t>
            </w:r>
            <w:r>
              <w:rPr>
                <w:rFonts w:hint="eastAsia"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rPr>
              <w:t xml:space="preserve">   建设项目环境保护</w:t>
            </w:r>
            <w:r>
              <w:rPr>
                <w:rFonts w:hint="eastAsia" w:cs="Times New Roman"/>
                <w:b/>
                <w:bCs/>
                <w:color w:val="auto"/>
                <w:sz w:val="24"/>
                <w:highlight w:val="none"/>
                <w:lang w:eastAsia="zh-CN"/>
              </w:rPr>
              <w:t>“</w:t>
            </w:r>
            <w:r>
              <w:rPr>
                <w:rFonts w:hint="default" w:ascii="Times New Roman" w:hAnsi="Times New Roman" w:eastAsia="宋体" w:cs="Times New Roman"/>
                <w:b/>
                <w:bCs/>
                <w:color w:val="auto"/>
                <w:sz w:val="24"/>
                <w:highlight w:val="none"/>
              </w:rPr>
              <w:t>三同时</w:t>
            </w:r>
            <w:r>
              <w:rPr>
                <w:rFonts w:hint="eastAsia" w:cs="Times New Roman"/>
                <w:b/>
                <w:bCs/>
                <w:color w:val="auto"/>
                <w:sz w:val="24"/>
                <w:highlight w:val="none"/>
                <w:lang w:eastAsia="zh-CN"/>
              </w:rPr>
              <w:t>”</w:t>
            </w:r>
            <w:r>
              <w:rPr>
                <w:rFonts w:hint="default" w:ascii="Times New Roman" w:hAnsi="Times New Roman" w:eastAsia="宋体" w:cs="Times New Roman"/>
                <w:b/>
                <w:bCs/>
                <w:color w:val="auto"/>
                <w:sz w:val="24"/>
                <w:highlight w:val="none"/>
              </w:rPr>
              <w:t>验收一览表</w:t>
            </w:r>
          </w:p>
          <w:tbl>
            <w:tblPr>
              <w:tblStyle w:val="21"/>
              <w:tblW w:w="843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11"/>
              <w:gridCol w:w="1002"/>
              <w:gridCol w:w="1378"/>
              <w:gridCol w:w="2767"/>
              <w:gridCol w:w="2579"/>
            </w:tblGrid>
            <w:tr w14:paraId="619D73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5" w:hRule="atLeast"/>
                <w:jc w:val="center"/>
              </w:trPr>
              <w:tc>
                <w:tcPr>
                  <w:tcW w:w="421" w:type="pct"/>
                  <w:vAlign w:val="center"/>
                </w:tcPr>
                <w:p w14:paraId="60676AE6">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类别</w:t>
                  </w:r>
                </w:p>
              </w:tc>
              <w:tc>
                <w:tcPr>
                  <w:tcW w:w="593" w:type="pct"/>
                  <w:vAlign w:val="center"/>
                </w:tcPr>
                <w:p w14:paraId="21AA91BF">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污染源</w:t>
                  </w:r>
                </w:p>
              </w:tc>
              <w:tc>
                <w:tcPr>
                  <w:tcW w:w="816" w:type="pct"/>
                  <w:vAlign w:val="center"/>
                </w:tcPr>
                <w:p w14:paraId="6D24FEB3">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污染物</w:t>
                  </w:r>
                </w:p>
              </w:tc>
              <w:tc>
                <w:tcPr>
                  <w:tcW w:w="1639" w:type="pct"/>
                  <w:vAlign w:val="center"/>
                </w:tcPr>
                <w:p w14:paraId="30F0A215">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环保设施</w:t>
                  </w:r>
                </w:p>
              </w:tc>
              <w:tc>
                <w:tcPr>
                  <w:tcW w:w="1528" w:type="pct"/>
                  <w:vAlign w:val="center"/>
                </w:tcPr>
                <w:p w14:paraId="35AA58D9">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sz w:val="21"/>
                      <w:szCs w:val="21"/>
                      <w:highlight w:val="none"/>
                    </w:rPr>
                    <w:t>验收标准</w:t>
                  </w:r>
                </w:p>
              </w:tc>
            </w:tr>
            <w:tr w14:paraId="7C586C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976" w:hRule="atLeast"/>
                <w:jc w:val="center"/>
              </w:trPr>
              <w:tc>
                <w:tcPr>
                  <w:tcW w:w="421" w:type="pct"/>
                  <w:vMerge w:val="restart"/>
                  <w:tcBorders>
                    <w:top w:val="single" w:color="auto" w:sz="4" w:space="0"/>
                  </w:tcBorders>
                  <w:vAlign w:val="center"/>
                </w:tcPr>
                <w:p w14:paraId="26FE5F36">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废气</w:t>
                  </w:r>
                </w:p>
              </w:tc>
              <w:tc>
                <w:tcPr>
                  <w:tcW w:w="593" w:type="pct"/>
                  <w:tcBorders>
                    <w:top w:val="single" w:color="auto" w:sz="4" w:space="0"/>
                  </w:tcBorders>
                  <w:vAlign w:val="center"/>
                </w:tcPr>
                <w:p w14:paraId="7FAD1DDC">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室外料胚储存筒仓进料口</w:t>
                  </w:r>
                </w:p>
              </w:tc>
              <w:tc>
                <w:tcPr>
                  <w:tcW w:w="816" w:type="pct"/>
                  <w:vAlign w:val="center"/>
                </w:tcPr>
                <w:p w14:paraId="544166EF">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1639" w:type="pct"/>
                  <w:vAlign w:val="center"/>
                </w:tcPr>
                <w:p w14:paraId="0BABDFD1">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cs="Times New Roman"/>
                      <w:color w:val="auto"/>
                      <w:kern w:val="0"/>
                      <w:sz w:val="21"/>
                      <w:szCs w:val="21"/>
                      <w:highlight w:val="none"/>
                      <w:lang w:val="en-US" w:eastAsia="zh-CN" w:bidi="ar"/>
                    </w:rPr>
                    <w:t>采用1台旋风除尘器+1台布袋除尘器处理后经1根15米高的排气筒排放</w:t>
                  </w:r>
                </w:p>
              </w:tc>
              <w:tc>
                <w:tcPr>
                  <w:tcW w:w="1528" w:type="pct"/>
                  <w:tcBorders>
                    <w:top w:val="single" w:color="auto" w:sz="4" w:space="0"/>
                  </w:tcBorders>
                  <w:shd w:val="clear" w:color="auto" w:fill="auto"/>
                  <w:vAlign w:val="center"/>
                </w:tcPr>
                <w:p w14:paraId="4B47BD99">
                  <w:pPr>
                    <w:keepNext w:val="0"/>
                    <w:keepLines w:val="0"/>
                    <w:pageBreakBefore w:val="0"/>
                    <w:widowControl/>
                    <w:suppressLineNumbers w:val="0"/>
                    <w:kinsoku/>
                    <w:wordWrap/>
                    <w:overflowPunct/>
                    <w:topLinePunct w:val="0"/>
                    <w:bidi w:val="0"/>
                    <w:spacing w:line="240" w:lineRule="auto"/>
                    <w:jc w:val="center"/>
                    <w:rPr>
                      <w:rFonts w:hint="default" w:ascii="Times New Roman" w:hAnsi="Times New Roman" w:eastAsia="宋体" w:cs="Times New Roman"/>
                      <w:bCs/>
                      <w:color w:val="auto"/>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bidi="ar"/>
                    </w:rPr>
                    <w:t>《大气污染物综合排放标准》（GB16297-1996）表2中二级标准</w:t>
                  </w:r>
                </w:p>
              </w:tc>
            </w:tr>
            <w:tr w14:paraId="422D9E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091" w:hRule="atLeast"/>
                <w:jc w:val="center"/>
              </w:trPr>
              <w:tc>
                <w:tcPr>
                  <w:tcW w:w="421" w:type="pct"/>
                  <w:vMerge w:val="continue"/>
                  <w:vAlign w:val="center"/>
                </w:tcPr>
                <w:p w14:paraId="66B37B69">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0"/>
                      <w:sz w:val="21"/>
                      <w:szCs w:val="21"/>
                      <w:highlight w:val="none"/>
                    </w:rPr>
                  </w:pPr>
                </w:p>
              </w:tc>
              <w:tc>
                <w:tcPr>
                  <w:tcW w:w="593" w:type="pct"/>
                  <w:vMerge w:val="restart"/>
                  <w:tcBorders>
                    <w:top w:val="single" w:color="auto" w:sz="4" w:space="0"/>
                  </w:tcBorders>
                  <w:vAlign w:val="center"/>
                </w:tcPr>
                <w:p w14:paraId="7EE28561">
                  <w:pPr>
                    <w:keepLines w:val="0"/>
                    <w:pageBreakBefore w:val="0"/>
                    <w:widowControl w:val="0"/>
                    <w:kinsoku/>
                    <w:wordWrap/>
                    <w:overflowPunct/>
                    <w:topLinePunct w:val="0"/>
                    <w:autoSpaceDE/>
                    <w:autoSpaceDN/>
                    <w:bidi w:val="0"/>
                    <w:adjustRightInd/>
                    <w:snapToGrid/>
                    <w:spacing w:line="240" w:lineRule="auto"/>
                    <w:contextualSpacing/>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无组织</w:t>
                  </w:r>
                </w:p>
              </w:tc>
              <w:tc>
                <w:tcPr>
                  <w:tcW w:w="816" w:type="pct"/>
                  <w:vAlign w:val="center"/>
                </w:tcPr>
                <w:p w14:paraId="4047FB77">
                  <w:pPr>
                    <w:pStyle w:val="40"/>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颗粒物</w:t>
                  </w:r>
                </w:p>
              </w:tc>
              <w:tc>
                <w:tcPr>
                  <w:tcW w:w="1639" w:type="pct"/>
                  <w:vAlign w:val="center"/>
                </w:tcPr>
                <w:p w14:paraId="6231B70E">
                  <w:pPr>
                    <w:pStyle w:val="40"/>
                    <w:keepNext w:val="0"/>
                    <w:keepLines w:val="0"/>
                    <w:pageBreakBefore w:val="0"/>
                    <w:kinsoku/>
                    <w:wordWrap/>
                    <w:overflowPunct/>
                    <w:topLinePunct w:val="0"/>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eastAsia" w:ascii="Times New Roman" w:cs="Times New Roman"/>
                      <w:b w:val="0"/>
                      <w:bCs/>
                      <w:color w:val="auto"/>
                      <w:sz w:val="21"/>
                      <w:szCs w:val="21"/>
                      <w:highlight w:val="none"/>
                      <w:lang w:val="en-US" w:eastAsia="zh-CN"/>
                    </w:rPr>
                    <w:t>车间封闭</w:t>
                  </w:r>
                </w:p>
              </w:tc>
              <w:tc>
                <w:tcPr>
                  <w:tcW w:w="1528" w:type="pct"/>
                  <w:vAlign w:val="center"/>
                </w:tcPr>
                <w:p w14:paraId="737B5E08">
                  <w:pPr>
                    <w:keepNext w:val="0"/>
                    <w:keepLines w:val="0"/>
                    <w:pageBreakBefore w:val="0"/>
                    <w:widowControl/>
                    <w:suppressLineNumbers w:val="0"/>
                    <w:kinsoku/>
                    <w:wordWrap/>
                    <w:overflowPunct/>
                    <w:topLinePunct w:val="0"/>
                    <w:bidi w:val="0"/>
                    <w:spacing w:line="240" w:lineRule="auto"/>
                    <w:jc w:val="center"/>
                    <w:rPr>
                      <w:rFonts w:hint="default" w:ascii="Times New Roman" w:hAnsi="Times New Roman" w:eastAsia="宋体" w:cs="Times New Roman"/>
                      <w:bCs/>
                      <w:color w:val="auto"/>
                      <w:sz w:val="21"/>
                      <w:szCs w:val="21"/>
                      <w:highlight w:val="none"/>
                      <w:lang w:val="en-US"/>
                    </w:rPr>
                  </w:pPr>
                  <w:r>
                    <w:rPr>
                      <w:rFonts w:hint="default" w:ascii="Times New Roman" w:hAnsi="Times New Roman" w:eastAsia="宋体" w:cs="Times New Roman"/>
                      <w:color w:val="auto"/>
                      <w:sz w:val="21"/>
                      <w:szCs w:val="21"/>
                      <w:highlight w:val="none"/>
                    </w:rPr>
                    <w:t>《大气污染物综合排放标准》（GB16297-1996）表2中无组织排放限值中</w:t>
                  </w:r>
                  <w:r>
                    <w:rPr>
                      <w:rFonts w:hint="default" w:ascii="Times New Roman" w:hAnsi="Times New Roman" w:eastAsia="宋体" w:cs="Times New Roman"/>
                      <w:color w:val="auto"/>
                      <w:sz w:val="21"/>
                      <w:szCs w:val="21"/>
                      <w:highlight w:val="none"/>
                      <w:lang w:val="en-US" w:eastAsia="zh-CN"/>
                    </w:rPr>
                    <w:t>二级标准</w:t>
                  </w:r>
                </w:p>
              </w:tc>
            </w:tr>
            <w:tr w14:paraId="75FE8F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1" w:type="pct"/>
                  <w:vMerge w:val="continue"/>
                  <w:vAlign w:val="center"/>
                </w:tcPr>
                <w:p w14:paraId="6052DF6F">
                  <w:pPr>
                    <w:keepNext w:val="0"/>
                    <w:keepLines w:val="0"/>
                    <w:pageBreakBefore w:val="0"/>
                    <w:widowControl/>
                    <w:suppressLineNumbers w:val="0"/>
                    <w:kinsoku/>
                    <w:wordWrap/>
                    <w:overflowPunct/>
                    <w:topLinePunct w:val="0"/>
                    <w:bidi w:val="0"/>
                    <w:spacing w:line="240" w:lineRule="auto"/>
                    <w:jc w:val="center"/>
                    <w:rPr>
                      <w:color w:val="auto"/>
                      <w:highlight w:val="none"/>
                    </w:rPr>
                  </w:pPr>
                </w:p>
              </w:tc>
              <w:tc>
                <w:tcPr>
                  <w:tcW w:w="593" w:type="pct"/>
                  <w:vMerge w:val="continue"/>
                  <w:vAlign w:val="center"/>
                </w:tcPr>
                <w:p w14:paraId="69BFF9D2">
                  <w:pPr>
                    <w:keepNext w:val="0"/>
                    <w:keepLines w:val="0"/>
                    <w:pageBreakBefore w:val="0"/>
                    <w:widowControl/>
                    <w:suppressLineNumbers w:val="0"/>
                    <w:kinsoku/>
                    <w:wordWrap/>
                    <w:overflowPunct/>
                    <w:topLinePunct w:val="0"/>
                    <w:bidi w:val="0"/>
                    <w:spacing w:line="240" w:lineRule="auto"/>
                    <w:jc w:val="center"/>
                    <w:rPr>
                      <w:color w:val="auto"/>
                      <w:sz w:val="21"/>
                      <w:szCs w:val="21"/>
                      <w:highlight w:val="none"/>
                    </w:rPr>
                  </w:pPr>
                </w:p>
              </w:tc>
              <w:tc>
                <w:tcPr>
                  <w:tcW w:w="816" w:type="pct"/>
                  <w:vAlign w:val="center"/>
                </w:tcPr>
                <w:p w14:paraId="58761A2F">
                  <w:pPr>
                    <w:keepNext w:val="0"/>
                    <w:keepLines w:val="0"/>
                    <w:pageBreakBefore w:val="0"/>
                    <w:widowControl/>
                    <w:suppressLineNumbers w:val="0"/>
                    <w:kinsoku/>
                    <w:wordWrap/>
                    <w:overflowPunct/>
                    <w:topLinePunct w:val="0"/>
                    <w:bidi w:val="0"/>
                    <w:spacing w:line="240" w:lineRule="auto"/>
                    <w:jc w:val="center"/>
                    <w:rPr>
                      <w:rFonts w:hint="default"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挥发性有机物（以非甲烷总烃计）</w:t>
                  </w:r>
                </w:p>
              </w:tc>
              <w:tc>
                <w:tcPr>
                  <w:tcW w:w="1639" w:type="pct"/>
                  <w:vAlign w:val="center"/>
                </w:tcPr>
                <w:p w14:paraId="4D5EA555">
                  <w:pPr>
                    <w:keepNext w:val="0"/>
                    <w:keepLines w:val="0"/>
                    <w:pageBreakBefore w:val="0"/>
                    <w:widowControl/>
                    <w:suppressLineNumbers w:val="0"/>
                    <w:kinsoku/>
                    <w:wordWrap/>
                    <w:overflowPunct/>
                    <w:topLinePunct w:val="0"/>
                    <w:bidi w:val="0"/>
                    <w:spacing w:line="240" w:lineRule="auto"/>
                    <w:jc w:val="center"/>
                    <w:rPr>
                      <w:rFonts w:hint="eastAsia" w:ascii="Times New Roman" w:cs="Times New Roman"/>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生产车间</w:t>
                  </w:r>
                  <w:r>
                    <w:rPr>
                      <w:rFonts w:hint="eastAsia" w:cs="Times New Roman"/>
                      <w:b w:val="0"/>
                      <w:bCs/>
                      <w:color w:val="auto"/>
                      <w:sz w:val="21"/>
                      <w:szCs w:val="21"/>
                      <w:highlight w:val="none"/>
                      <w:lang w:val="en-US" w:eastAsia="zh-CN"/>
                    </w:rPr>
                    <w:t>、生产设备全封闭</w:t>
                  </w:r>
                </w:p>
              </w:tc>
              <w:tc>
                <w:tcPr>
                  <w:tcW w:w="1528" w:type="pct"/>
                  <w:vAlign w:val="center"/>
                </w:tcPr>
                <w:p w14:paraId="00E7E4AB">
                  <w:pPr>
                    <w:keepNext w:val="0"/>
                    <w:keepLines w:val="0"/>
                    <w:pageBreakBefore w:val="0"/>
                    <w:widowControl/>
                    <w:suppressLineNumbers w:val="0"/>
                    <w:kinsoku/>
                    <w:wordWrap/>
                    <w:overflowPunct/>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《挥发性有机物无组织排放控制标准》</w:t>
                  </w:r>
                  <w:r>
                    <w:rPr>
                      <w:rFonts w:hint="default" w:ascii="Times New Roman" w:hAnsi="Times New Roman"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GB37822-2019</w:t>
                  </w:r>
                  <w:r>
                    <w:rPr>
                      <w:rFonts w:hint="default" w:ascii="Times New Roman" w:hAnsi="Times New Roman"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中限值要求</w:t>
                  </w:r>
                </w:p>
              </w:tc>
            </w:tr>
            <w:tr w14:paraId="3ACFDA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601" w:hRule="atLeast"/>
                <w:jc w:val="center"/>
              </w:trPr>
              <w:tc>
                <w:tcPr>
                  <w:tcW w:w="421" w:type="pct"/>
                  <w:vAlign w:val="center"/>
                </w:tcPr>
                <w:p w14:paraId="7C3A0791">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废水</w:t>
                  </w:r>
                </w:p>
              </w:tc>
              <w:tc>
                <w:tcPr>
                  <w:tcW w:w="593" w:type="pct"/>
                  <w:shd w:val="clear" w:color="auto" w:fill="auto"/>
                  <w:vAlign w:val="center"/>
                </w:tcPr>
                <w:p w14:paraId="5269A879">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生产废水</w:t>
                  </w:r>
                </w:p>
              </w:tc>
              <w:tc>
                <w:tcPr>
                  <w:tcW w:w="816" w:type="pct"/>
                  <w:shd w:val="clear" w:color="auto" w:fill="auto"/>
                  <w:vAlign w:val="center"/>
                </w:tcPr>
                <w:p w14:paraId="77EA1563">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b w:val="0"/>
                      <w:bCs/>
                      <w:color w:val="auto"/>
                      <w:sz w:val="21"/>
                      <w:szCs w:val="21"/>
                      <w:highlight w:val="none"/>
                      <w:vertAlign w:val="baseline"/>
                      <w:lang w:val="en-US" w:eastAsia="zh-CN"/>
                    </w:rPr>
                    <w:t>pH值、悬浮物、五日生化需氧量、化学需氧量、氨氮、磷酸盐（总磷）、动植物油、色度</w:t>
                  </w:r>
                </w:p>
              </w:tc>
              <w:tc>
                <w:tcPr>
                  <w:tcW w:w="1639" w:type="pct"/>
                  <w:shd w:val="clear" w:color="auto" w:fill="auto"/>
                  <w:vAlign w:val="center"/>
                </w:tcPr>
                <w:p w14:paraId="61EE5141">
                  <w:pPr>
                    <w:pStyle w:val="12"/>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生产废水经厂区现有的处理量为120m</w:t>
                  </w:r>
                  <w:r>
                    <w:rPr>
                      <w:rFonts w:hint="eastAsia" w:ascii="Times New Roman" w:hAnsi="Times New Roman" w:eastAsia="宋体" w:cs="Times New Roman"/>
                      <w:b w:val="0"/>
                      <w:bCs w:val="0"/>
                      <w:color w:val="auto"/>
                      <w:sz w:val="21"/>
                      <w:szCs w:val="21"/>
                      <w:highlight w:val="none"/>
                      <w:vertAlign w:val="superscript"/>
                      <w:lang w:val="en-US" w:eastAsia="zh-CN"/>
                    </w:rPr>
                    <w:t>3</w:t>
                  </w:r>
                  <w:r>
                    <w:rPr>
                      <w:rFonts w:hint="eastAsia" w:ascii="Times New Roman" w:hAnsi="Times New Roman" w:eastAsia="宋体" w:cs="Times New Roman"/>
                      <w:b w:val="0"/>
                      <w:bCs w:val="0"/>
                      <w:color w:val="auto"/>
                      <w:sz w:val="21"/>
                      <w:szCs w:val="21"/>
                      <w:highlight w:val="none"/>
                      <w:vertAlign w:val="baseline"/>
                      <w:lang w:val="en-US" w:eastAsia="zh-CN"/>
                    </w:rPr>
                    <w:t>/d的污水处理站处理后，排入市政污水管网</w:t>
                  </w:r>
                  <w:r>
                    <w:rPr>
                      <w:rFonts w:hint="eastAsia" w:cs="Times New Roman"/>
                      <w:b w:val="0"/>
                      <w:bCs w:val="0"/>
                      <w:color w:val="auto"/>
                      <w:sz w:val="21"/>
                      <w:szCs w:val="21"/>
                      <w:highlight w:val="none"/>
                      <w:vertAlign w:val="baseline"/>
                      <w:lang w:val="en-US" w:eastAsia="zh-CN"/>
                    </w:rPr>
                    <w:t>后由磴口县中涵水务有限公司处理</w:t>
                  </w:r>
                </w:p>
              </w:tc>
              <w:tc>
                <w:tcPr>
                  <w:tcW w:w="1528" w:type="pct"/>
                  <w:shd w:val="clear" w:color="auto" w:fill="auto"/>
                  <w:vAlign w:val="center"/>
                </w:tcPr>
                <w:p w14:paraId="0FA17E77">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w:t>
                  </w:r>
                </w:p>
              </w:tc>
            </w:tr>
            <w:tr w14:paraId="5FC512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76" w:hRule="atLeast"/>
                <w:jc w:val="center"/>
              </w:trPr>
              <w:tc>
                <w:tcPr>
                  <w:tcW w:w="421" w:type="pct"/>
                  <w:vAlign w:val="center"/>
                </w:tcPr>
                <w:p w14:paraId="5341CC96">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噪声</w:t>
                  </w:r>
                </w:p>
              </w:tc>
              <w:tc>
                <w:tcPr>
                  <w:tcW w:w="593" w:type="pct"/>
                  <w:vAlign w:val="center"/>
                </w:tcPr>
                <w:p w14:paraId="4E7D306C">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生产设备</w:t>
                  </w:r>
                </w:p>
              </w:tc>
              <w:tc>
                <w:tcPr>
                  <w:tcW w:w="816" w:type="pct"/>
                  <w:vAlign w:val="center"/>
                </w:tcPr>
                <w:p w14:paraId="59C24112">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噪声</w:t>
                  </w:r>
                </w:p>
              </w:tc>
              <w:tc>
                <w:tcPr>
                  <w:tcW w:w="1639" w:type="pct"/>
                  <w:vAlign w:val="center"/>
                </w:tcPr>
                <w:p w14:paraId="2ECA2070">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选择低噪声设备、基础减振、车间封闭隔声处理</w:t>
                  </w:r>
                </w:p>
              </w:tc>
              <w:tc>
                <w:tcPr>
                  <w:tcW w:w="1528" w:type="pct"/>
                  <w:vAlign w:val="center"/>
                </w:tcPr>
                <w:p w14:paraId="7EBDAC09">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《工业企业厂界环境噪声排放标准》</w:t>
                  </w:r>
                  <w:r>
                    <w:rPr>
                      <w:rFonts w:hint="default" w:ascii="Times New Roman" w:hAnsi="Times New Roman" w:eastAsia="宋体" w:cs="Times New Roman"/>
                      <w:color w:val="auto"/>
                      <w:sz w:val="21"/>
                      <w:szCs w:val="21"/>
                      <w:highlight w:val="none"/>
                      <w:lang w:eastAsia="zh-CN"/>
                    </w:rPr>
                    <w:t>GB 12348-2008</w:t>
                  </w:r>
                  <w:r>
                    <w:rPr>
                      <w:rFonts w:hint="default" w:ascii="Times New Roman" w:hAnsi="Times New Roman" w:eastAsia="宋体" w:cs="Times New Roman"/>
                      <w:color w:val="auto"/>
                      <w:sz w:val="21"/>
                      <w:szCs w:val="21"/>
                      <w:highlight w:val="none"/>
                      <w:lang w:val="en-US" w:eastAsia="zh-CN"/>
                    </w:rPr>
                    <w:t>中</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类标准</w:t>
                  </w:r>
                </w:p>
              </w:tc>
            </w:tr>
            <w:tr w14:paraId="3DF217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668" w:hRule="atLeast"/>
                <w:jc w:val="center"/>
              </w:trPr>
              <w:tc>
                <w:tcPr>
                  <w:tcW w:w="421" w:type="pct"/>
                  <w:vMerge w:val="restart"/>
                  <w:vAlign w:val="center"/>
                </w:tcPr>
                <w:p w14:paraId="61616711">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固体废物</w:t>
                  </w:r>
                </w:p>
              </w:tc>
              <w:tc>
                <w:tcPr>
                  <w:tcW w:w="593" w:type="pct"/>
                  <w:vMerge w:val="restart"/>
                  <w:vAlign w:val="center"/>
                </w:tcPr>
                <w:p w14:paraId="7310E20B">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一般固体废物</w:t>
                  </w:r>
                </w:p>
              </w:tc>
              <w:tc>
                <w:tcPr>
                  <w:tcW w:w="816" w:type="pct"/>
                  <w:vAlign w:val="center"/>
                </w:tcPr>
                <w:p w14:paraId="47ABBF19">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杂质</w:t>
                  </w:r>
                  <w:r>
                    <w:rPr>
                      <w:rFonts w:hint="default" w:ascii="Times New Roman" w:hAnsi="Times New Roman" w:eastAsia="宋体" w:cs="Times New Roman"/>
                      <w:color w:val="auto"/>
                      <w:sz w:val="21"/>
                      <w:szCs w:val="21"/>
                      <w:highlight w:val="none"/>
                      <w:lang w:val="en-US" w:eastAsia="zh-CN"/>
                    </w:rPr>
                    <w:t>、葵花籽壳</w:t>
                  </w:r>
                  <w:r>
                    <w:rPr>
                      <w:rFonts w:hint="eastAsia" w:ascii="Times New Roman" w:cs="Times New Roman"/>
                      <w:color w:val="auto"/>
                      <w:sz w:val="21"/>
                      <w:szCs w:val="21"/>
                      <w:highlight w:val="none"/>
                      <w:lang w:val="en-US" w:eastAsia="zh-CN"/>
                    </w:rPr>
                    <w:t>、滤渣</w:t>
                  </w:r>
                </w:p>
              </w:tc>
              <w:tc>
                <w:tcPr>
                  <w:tcW w:w="1639" w:type="pct"/>
                  <w:vAlign w:val="center"/>
                </w:tcPr>
                <w:p w14:paraId="5E764597">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袋装送往饲料加工厂商作为饲料制造原料</w:t>
                  </w:r>
                </w:p>
              </w:tc>
              <w:tc>
                <w:tcPr>
                  <w:tcW w:w="1528" w:type="pct"/>
                  <w:vMerge w:val="restart"/>
                  <w:vAlign w:val="center"/>
                </w:tcPr>
                <w:p w14:paraId="1CDD90BA">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《一般工业固体废物贮存和填埋污染控制标准》（GB18599-2020）</w:t>
                  </w:r>
                </w:p>
              </w:tc>
            </w:tr>
            <w:tr w14:paraId="488434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52" w:hRule="atLeast"/>
                <w:jc w:val="center"/>
              </w:trPr>
              <w:tc>
                <w:tcPr>
                  <w:tcW w:w="421" w:type="pct"/>
                  <w:vMerge w:val="continue"/>
                  <w:vAlign w:val="center"/>
                </w:tcPr>
                <w:p w14:paraId="51C4F33A">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rPr>
                  </w:pPr>
                </w:p>
              </w:tc>
              <w:tc>
                <w:tcPr>
                  <w:tcW w:w="593" w:type="pct"/>
                  <w:vMerge w:val="continue"/>
                  <w:vAlign w:val="center"/>
                </w:tcPr>
                <w:p w14:paraId="4C385F4D">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rPr>
                  </w:pPr>
                </w:p>
              </w:tc>
              <w:tc>
                <w:tcPr>
                  <w:tcW w:w="816" w:type="pct"/>
                  <w:vAlign w:val="center"/>
                </w:tcPr>
                <w:p w14:paraId="46CF1615">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lang w:val="en-US"/>
                    </w:rPr>
                  </w:pPr>
                  <w:r>
                    <w:rPr>
                      <w:rFonts w:hint="eastAsia"/>
                      <w:color w:val="auto"/>
                      <w:sz w:val="21"/>
                      <w:szCs w:val="21"/>
                      <w:highlight w:val="none"/>
                      <w:lang w:val="en-US" w:eastAsia="zh-CN"/>
                    </w:rPr>
                    <w:t>废硅藻土、废饼粉</w:t>
                  </w:r>
                </w:p>
              </w:tc>
              <w:tc>
                <w:tcPr>
                  <w:tcW w:w="1639" w:type="pct"/>
                  <w:vAlign w:val="center"/>
                </w:tcPr>
                <w:p w14:paraId="763B3045">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lang w:val="en-US"/>
                    </w:rPr>
                  </w:pPr>
                  <w:r>
                    <w:rPr>
                      <w:rFonts w:hint="eastAsia" w:cs="Times New Roman"/>
                      <w:b w:val="0"/>
                      <w:bCs/>
                      <w:color w:val="auto"/>
                      <w:sz w:val="21"/>
                      <w:szCs w:val="21"/>
                      <w:highlight w:val="none"/>
                      <w:vertAlign w:val="baseline"/>
                      <w:lang w:val="en-US" w:eastAsia="zh-CN"/>
                    </w:rPr>
                    <w:t>均袋装暂存至一般固废暂存间后由供应商定期更换后拉运处理</w:t>
                  </w:r>
                </w:p>
              </w:tc>
              <w:tc>
                <w:tcPr>
                  <w:tcW w:w="1528" w:type="pct"/>
                  <w:vMerge w:val="continue"/>
                  <w:vAlign w:val="center"/>
                </w:tcPr>
                <w:p w14:paraId="512D5D9F">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rPr>
                  </w:pPr>
                </w:p>
              </w:tc>
            </w:tr>
            <w:tr w14:paraId="4B6473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752" w:hRule="atLeast"/>
                <w:jc w:val="center"/>
              </w:trPr>
              <w:tc>
                <w:tcPr>
                  <w:tcW w:w="421" w:type="pct"/>
                  <w:vMerge w:val="continue"/>
                  <w:vAlign w:val="center"/>
                </w:tcPr>
                <w:p w14:paraId="44775DB7">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rPr>
                  </w:pPr>
                </w:p>
              </w:tc>
              <w:tc>
                <w:tcPr>
                  <w:tcW w:w="593" w:type="pct"/>
                  <w:vMerge w:val="continue"/>
                  <w:vAlign w:val="center"/>
                </w:tcPr>
                <w:p w14:paraId="1D2E3B92">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rPr>
                  </w:pPr>
                </w:p>
              </w:tc>
              <w:tc>
                <w:tcPr>
                  <w:tcW w:w="816" w:type="pct"/>
                  <w:vAlign w:val="center"/>
                </w:tcPr>
                <w:p w14:paraId="2326004A">
                  <w:pPr>
                    <w:pStyle w:val="40"/>
                    <w:keepNext w:val="0"/>
                    <w:keepLines w:val="0"/>
                    <w:pageBreakBefore w:val="0"/>
                    <w:widowControl w:val="0"/>
                    <w:kinsoku/>
                    <w:wordWrap/>
                    <w:overflowPunct/>
                    <w:topLinePunct w:val="0"/>
                    <w:bidi w:val="0"/>
                    <w:snapToGrid/>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报废油</w:t>
                  </w:r>
                </w:p>
              </w:tc>
              <w:tc>
                <w:tcPr>
                  <w:tcW w:w="1639" w:type="pct"/>
                  <w:vAlign w:val="center"/>
                </w:tcPr>
                <w:p w14:paraId="590EE1E1">
                  <w:pPr>
                    <w:pStyle w:val="40"/>
                    <w:keepNext w:val="0"/>
                    <w:keepLines w:val="0"/>
                    <w:pageBreakBefore w:val="0"/>
                    <w:widowControl w:val="0"/>
                    <w:kinsoku/>
                    <w:wordWrap/>
                    <w:overflowPunct/>
                    <w:topLinePunct w:val="0"/>
                    <w:bidi w:val="0"/>
                    <w:snapToGrid/>
                    <w:spacing w:line="240" w:lineRule="auto"/>
                    <w:jc w:val="center"/>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利用油泵及管道将废油输送至吨桶，暂存至一般固废间送往饲料加工厂商作为饲料制造原料</w:t>
                  </w:r>
                </w:p>
              </w:tc>
              <w:tc>
                <w:tcPr>
                  <w:tcW w:w="1528" w:type="pct"/>
                  <w:vMerge w:val="continue"/>
                  <w:vAlign w:val="center"/>
                </w:tcPr>
                <w:p w14:paraId="7B2A599D">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rPr>
                  </w:pPr>
                </w:p>
              </w:tc>
            </w:tr>
            <w:tr w14:paraId="290CE1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76" w:hRule="atLeast"/>
                <w:jc w:val="center"/>
              </w:trPr>
              <w:tc>
                <w:tcPr>
                  <w:tcW w:w="421" w:type="pct"/>
                  <w:vMerge w:val="continue"/>
                  <w:vAlign w:val="center"/>
                </w:tcPr>
                <w:p w14:paraId="37B7CFFB">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rPr>
                  </w:pPr>
                </w:p>
              </w:tc>
              <w:tc>
                <w:tcPr>
                  <w:tcW w:w="593" w:type="pct"/>
                  <w:vMerge w:val="restart"/>
                  <w:vAlign w:val="center"/>
                </w:tcPr>
                <w:p w14:paraId="063220D4">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危险废物</w:t>
                  </w:r>
                </w:p>
              </w:tc>
              <w:tc>
                <w:tcPr>
                  <w:tcW w:w="816" w:type="pct"/>
                  <w:vAlign w:val="center"/>
                </w:tcPr>
                <w:p w14:paraId="28BB9BE9">
                  <w:pPr>
                    <w:pStyle w:val="40"/>
                    <w:keepNext w:val="0"/>
                    <w:keepLines w:val="0"/>
                    <w:pageBreakBefore w:val="0"/>
                    <w:widowControl w:val="0"/>
                    <w:kinsoku/>
                    <w:wordWrap/>
                    <w:overflowPunct/>
                    <w:topLinePunct w:val="0"/>
                    <w:bidi w:val="0"/>
                    <w:snapToGrid/>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废导热油</w:t>
                  </w:r>
                </w:p>
              </w:tc>
              <w:tc>
                <w:tcPr>
                  <w:tcW w:w="1639" w:type="pct"/>
                  <w:vAlign w:val="center"/>
                </w:tcPr>
                <w:p w14:paraId="0973A18F">
                  <w:pPr>
                    <w:pStyle w:val="40"/>
                    <w:keepNext w:val="0"/>
                    <w:keepLines w:val="0"/>
                    <w:pageBreakBefore w:val="0"/>
                    <w:widowControl w:val="0"/>
                    <w:kinsoku/>
                    <w:wordWrap/>
                    <w:overflowPunct/>
                    <w:topLinePunct w:val="0"/>
                    <w:bidi w:val="0"/>
                    <w:snapToGrid/>
                    <w:spacing w:line="240" w:lineRule="auto"/>
                    <w:jc w:val="center"/>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根据特检所对导热油的检验结果，进行更换，如有更换桶装暂存至厂区现有危废间送有资质单位处置。</w:t>
                  </w:r>
                </w:p>
              </w:tc>
              <w:tc>
                <w:tcPr>
                  <w:tcW w:w="1528" w:type="pct"/>
                  <w:vMerge w:val="restart"/>
                  <w:vAlign w:val="center"/>
                </w:tcPr>
                <w:p w14:paraId="5F89FC9E">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《危险废物贮存污染控制标准》（GB18597-2023）</w:t>
                  </w:r>
                </w:p>
              </w:tc>
            </w:tr>
            <w:tr w14:paraId="531206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776" w:hRule="atLeast"/>
                <w:jc w:val="center"/>
              </w:trPr>
              <w:tc>
                <w:tcPr>
                  <w:tcW w:w="421" w:type="pct"/>
                  <w:vMerge w:val="continue"/>
                  <w:vAlign w:val="center"/>
                </w:tcPr>
                <w:p w14:paraId="644B5596">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rPr>
                  </w:pPr>
                </w:p>
              </w:tc>
              <w:tc>
                <w:tcPr>
                  <w:tcW w:w="593" w:type="pct"/>
                  <w:vMerge w:val="continue"/>
                  <w:vAlign w:val="center"/>
                </w:tcPr>
                <w:p w14:paraId="1219990A">
                  <w:pPr>
                    <w:keepNext w:val="0"/>
                    <w:keepLines w:val="0"/>
                    <w:pageBreakBefore w:val="0"/>
                    <w:kinsoku/>
                    <w:wordWrap/>
                    <w:overflowPunct/>
                    <w:topLinePunct w:val="0"/>
                    <w:bidi w:val="0"/>
                    <w:spacing w:line="240" w:lineRule="auto"/>
                    <w:jc w:val="center"/>
                    <w:rPr>
                      <w:rFonts w:hint="eastAsia" w:cs="Times New Roman"/>
                      <w:color w:val="auto"/>
                      <w:sz w:val="21"/>
                      <w:szCs w:val="21"/>
                      <w:highlight w:val="none"/>
                      <w:lang w:val="en-US" w:eastAsia="zh-CN"/>
                    </w:rPr>
                  </w:pPr>
                </w:p>
              </w:tc>
              <w:tc>
                <w:tcPr>
                  <w:tcW w:w="816" w:type="pct"/>
                  <w:vAlign w:val="center"/>
                </w:tcPr>
                <w:p w14:paraId="554F421C">
                  <w:pPr>
                    <w:pStyle w:val="40"/>
                    <w:keepNext w:val="0"/>
                    <w:keepLines w:val="0"/>
                    <w:pageBreakBefore w:val="0"/>
                    <w:widowControl w:val="0"/>
                    <w:kinsoku/>
                    <w:wordWrap/>
                    <w:overflowPunct/>
                    <w:topLinePunct w:val="0"/>
                    <w:bidi w:val="0"/>
                    <w:snapToGrid/>
                    <w:spacing w:line="240" w:lineRule="auto"/>
                    <w:jc w:val="center"/>
                    <w:rPr>
                      <w:rFonts w:hint="eastAsia"/>
                      <w:color w:val="auto"/>
                      <w:sz w:val="21"/>
                      <w:szCs w:val="21"/>
                      <w:highlight w:val="none"/>
                      <w:lang w:val="en-US" w:eastAsia="zh-CN"/>
                    </w:rPr>
                  </w:pPr>
                  <w:r>
                    <w:rPr>
                      <w:rFonts w:hint="eastAsia" w:cs="Times New Roman"/>
                      <w:b w:val="0"/>
                      <w:bCs/>
                      <w:color w:val="auto"/>
                      <w:sz w:val="21"/>
                      <w:szCs w:val="21"/>
                      <w:highlight w:val="none"/>
                      <w:vertAlign w:val="baseline"/>
                      <w:lang w:val="en-US" w:eastAsia="zh-CN"/>
                    </w:rPr>
                    <w:t>废润滑油</w:t>
                  </w:r>
                </w:p>
              </w:tc>
              <w:tc>
                <w:tcPr>
                  <w:tcW w:w="1639" w:type="pct"/>
                  <w:vAlign w:val="center"/>
                </w:tcPr>
                <w:p w14:paraId="2B156892">
                  <w:pPr>
                    <w:pStyle w:val="40"/>
                    <w:keepNext w:val="0"/>
                    <w:keepLines w:val="0"/>
                    <w:pageBreakBefore w:val="0"/>
                    <w:widowControl w:val="0"/>
                    <w:kinsoku/>
                    <w:wordWrap/>
                    <w:overflowPunct/>
                    <w:topLinePunct w:val="0"/>
                    <w:bidi w:val="0"/>
                    <w:snapToGrid/>
                    <w:spacing w:line="240" w:lineRule="auto"/>
                    <w:jc w:val="center"/>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修理替换后的废润滑油桶装暂存至厂区现有危废间送有资质单位处置</w:t>
                  </w:r>
                </w:p>
              </w:tc>
              <w:tc>
                <w:tcPr>
                  <w:tcW w:w="1528" w:type="pct"/>
                  <w:vMerge w:val="continue"/>
                  <w:vAlign w:val="center"/>
                </w:tcPr>
                <w:p w14:paraId="0C343335">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lang w:val="en-US" w:eastAsia="zh-CN"/>
                    </w:rPr>
                  </w:pPr>
                </w:p>
              </w:tc>
            </w:tr>
          </w:tbl>
          <w:p w14:paraId="2F51DD24">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本项目总投资400万元，其中环保投资34万元，占总投资额8.5%，环保投资组成情况如下表4-10。</w:t>
            </w:r>
          </w:p>
          <w:p w14:paraId="1C99D926">
            <w:pPr>
              <w:pStyle w:val="12"/>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表4-10  建设项目环保投资估算一览表</w:t>
            </w:r>
          </w:p>
          <w:tbl>
            <w:tblPr>
              <w:tblStyle w:val="22"/>
              <w:tblW w:w="809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5"/>
              <w:gridCol w:w="1198"/>
              <w:gridCol w:w="4293"/>
              <w:gridCol w:w="773"/>
              <w:gridCol w:w="1188"/>
            </w:tblGrid>
            <w:tr w14:paraId="56B9D9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9" w:hRule="atLeast"/>
              </w:trPr>
              <w:tc>
                <w:tcPr>
                  <w:tcW w:w="645" w:type="dxa"/>
                  <w:tcBorders>
                    <w:tl2br w:val="nil"/>
                    <w:tr2bl w:val="nil"/>
                  </w:tcBorders>
                  <w:vAlign w:val="center"/>
                </w:tcPr>
                <w:p w14:paraId="38F5BAFF">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序号</w:t>
                  </w:r>
                </w:p>
              </w:tc>
              <w:tc>
                <w:tcPr>
                  <w:tcW w:w="1198" w:type="dxa"/>
                  <w:tcBorders>
                    <w:tl2br w:val="nil"/>
                    <w:tr2bl w:val="nil"/>
                  </w:tcBorders>
                  <w:vAlign w:val="center"/>
                </w:tcPr>
                <w:p w14:paraId="1EACB588">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污染源</w:t>
                  </w:r>
                </w:p>
              </w:tc>
              <w:tc>
                <w:tcPr>
                  <w:tcW w:w="4293" w:type="dxa"/>
                  <w:tcBorders>
                    <w:tl2br w:val="nil"/>
                    <w:tr2bl w:val="nil"/>
                  </w:tcBorders>
                  <w:vAlign w:val="center"/>
                </w:tcPr>
                <w:p w14:paraId="46AB2466">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污染防治措施</w:t>
                  </w:r>
                </w:p>
              </w:tc>
              <w:tc>
                <w:tcPr>
                  <w:tcW w:w="773" w:type="dxa"/>
                  <w:tcBorders>
                    <w:tl2br w:val="nil"/>
                    <w:tr2bl w:val="nil"/>
                  </w:tcBorders>
                  <w:vAlign w:val="center"/>
                </w:tcPr>
                <w:p w14:paraId="11C8D015">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数量</w:t>
                  </w:r>
                </w:p>
              </w:tc>
              <w:tc>
                <w:tcPr>
                  <w:tcW w:w="1188" w:type="dxa"/>
                  <w:tcBorders>
                    <w:tl2br w:val="nil"/>
                    <w:tr2bl w:val="nil"/>
                  </w:tcBorders>
                  <w:vAlign w:val="center"/>
                </w:tcPr>
                <w:p w14:paraId="5913AF50">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环保投资（万元）</w:t>
                  </w:r>
                </w:p>
              </w:tc>
            </w:tr>
            <w:tr w14:paraId="0ADB8C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645" w:type="dxa"/>
                  <w:tcBorders>
                    <w:tl2br w:val="nil"/>
                    <w:tr2bl w:val="nil"/>
                  </w:tcBorders>
                  <w:vAlign w:val="center"/>
                </w:tcPr>
                <w:p w14:paraId="3FC154F0">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w:t>
                  </w:r>
                </w:p>
              </w:tc>
              <w:tc>
                <w:tcPr>
                  <w:tcW w:w="1198" w:type="dxa"/>
                  <w:tcBorders>
                    <w:tl2br w:val="nil"/>
                    <w:tr2bl w:val="nil"/>
                  </w:tcBorders>
                  <w:vAlign w:val="center"/>
                </w:tcPr>
                <w:p w14:paraId="562C9CFE">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color w:val="auto"/>
                      <w:sz w:val="21"/>
                      <w:szCs w:val="21"/>
                      <w:highlight w:val="none"/>
                      <w:lang w:val="en-US" w:eastAsia="zh-CN"/>
                    </w:rPr>
                    <w:t>室外料胚储存筒仓进料口</w:t>
                  </w:r>
                </w:p>
              </w:tc>
              <w:tc>
                <w:tcPr>
                  <w:tcW w:w="4293" w:type="dxa"/>
                  <w:tcBorders>
                    <w:tl2br w:val="nil"/>
                    <w:tr2bl w:val="nil"/>
                  </w:tcBorders>
                  <w:vAlign w:val="center"/>
                </w:tcPr>
                <w:p w14:paraId="35DACF9B">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default" w:ascii="Times New Roman" w:hAnsi="Times New Roman" w:cs="Times New Roman"/>
                      <w:color w:val="auto"/>
                      <w:kern w:val="0"/>
                      <w:sz w:val="21"/>
                      <w:szCs w:val="21"/>
                      <w:highlight w:val="none"/>
                      <w:lang w:val="en-US" w:eastAsia="zh-CN" w:bidi="ar"/>
                    </w:rPr>
                    <w:t>采用1台旋风除尘器+1台布袋除尘器处理后经1根15米高的排气筒排放</w:t>
                  </w:r>
                </w:p>
              </w:tc>
              <w:tc>
                <w:tcPr>
                  <w:tcW w:w="773" w:type="dxa"/>
                  <w:tcBorders>
                    <w:tl2br w:val="nil"/>
                    <w:tr2bl w:val="nil"/>
                  </w:tcBorders>
                  <w:vAlign w:val="center"/>
                </w:tcPr>
                <w:p w14:paraId="1C92A44C">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1套</w:t>
                  </w:r>
                </w:p>
              </w:tc>
              <w:tc>
                <w:tcPr>
                  <w:tcW w:w="1188" w:type="dxa"/>
                  <w:vMerge w:val="restart"/>
                  <w:tcBorders>
                    <w:tl2br w:val="nil"/>
                    <w:tr2bl w:val="nil"/>
                  </w:tcBorders>
                  <w:vAlign w:val="center"/>
                </w:tcPr>
                <w:p w14:paraId="10F49267">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15</w:t>
                  </w:r>
                </w:p>
              </w:tc>
            </w:tr>
            <w:tr w14:paraId="4BCFF4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645" w:type="dxa"/>
                  <w:vMerge w:val="restart"/>
                  <w:tcBorders>
                    <w:tl2br w:val="nil"/>
                    <w:tr2bl w:val="nil"/>
                  </w:tcBorders>
                  <w:vAlign w:val="center"/>
                </w:tcPr>
                <w:p w14:paraId="642D9B0E">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3</w:t>
                  </w:r>
                </w:p>
              </w:tc>
              <w:tc>
                <w:tcPr>
                  <w:tcW w:w="1198" w:type="dxa"/>
                  <w:vMerge w:val="restart"/>
                  <w:tcBorders>
                    <w:tl2br w:val="nil"/>
                    <w:tr2bl w:val="nil"/>
                  </w:tcBorders>
                  <w:vAlign w:val="center"/>
                </w:tcPr>
                <w:p w14:paraId="6E9901E3">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厂界无组织</w:t>
                  </w:r>
                </w:p>
              </w:tc>
              <w:tc>
                <w:tcPr>
                  <w:tcW w:w="4293" w:type="dxa"/>
                  <w:tcBorders>
                    <w:tl2br w:val="nil"/>
                    <w:tr2bl w:val="nil"/>
                  </w:tcBorders>
                  <w:vAlign w:val="center"/>
                </w:tcPr>
                <w:p w14:paraId="1C5AF303">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颗粒物产生过程中生产车间全封闭</w:t>
                  </w:r>
                </w:p>
              </w:tc>
              <w:tc>
                <w:tcPr>
                  <w:tcW w:w="773" w:type="dxa"/>
                  <w:vMerge w:val="restart"/>
                  <w:tcBorders>
                    <w:tl2br w:val="nil"/>
                    <w:tr2bl w:val="nil"/>
                  </w:tcBorders>
                  <w:vAlign w:val="center"/>
                </w:tcPr>
                <w:p w14:paraId="5877E9D2">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w:t>
                  </w:r>
                </w:p>
              </w:tc>
              <w:tc>
                <w:tcPr>
                  <w:tcW w:w="1188" w:type="dxa"/>
                  <w:vMerge w:val="continue"/>
                  <w:tcBorders>
                    <w:tl2br w:val="nil"/>
                    <w:tr2bl w:val="nil"/>
                  </w:tcBorders>
                  <w:vAlign w:val="center"/>
                </w:tcPr>
                <w:p w14:paraId="19544111">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p>
              </w:tc>
            </w:tr>
            <w:tr w14:paraId="671040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645" w:type="dxa"/>
                  <w:vMerge w:val="continue"/>
                  <w:tcBorders>
                    <w:tl2br w:val="nil"/>
                    <w:tr2bl w:val="nil"/>
                  </w:tcBorders>
                  <w:vAlign w:val="center"/>
                </w:tcPr>
                <w:p w14:paraId="77BD2196">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sz w:val="21"/>
                      <w:szCs w:val="21"/>
                      <w:highlight w:val="none"/>
                      <w:vertAlign w:val="baseline"/>
                      <w:lang w:val="en-US" w:eastAsia="zh-CN"/>
                    </w:rPr>
                  </w:pPr>
                </w:p>
              </w:tc>
              <w:tc>
                <w:tcPr>
                  <w:tcW w:w="1198" w:type="dxa"/>
                  <w:vMerge w:val="continue"/>
                  <w:tcBorders>
                    <w:tl2br w:val="nil"/>
                    <w:tr2bl w:val="nil"/>
                  </w:tcBorders>
                  <w:vAlign w:val="center"/>
                </w:tcPr>
                <w:p w14:paraId="2C3A0139">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sz w:val="21"/>
                      <w:szCs w:val="21"/>
                      <w:highlight w:val="none"/>
                      <w:vertAlign w:val="baseline"/>
                      <w:lang w:val="en-US" w:eastAsia="zh-CN"/>
                    </w:rPr>
                  </w:pPr>
                </w:p>
              </w:tc>
              <w:tc>
                <w:tcPr>
                  <w:tcW w:w="4293" w:type="dxa"/>
                  <w:tcBorders>
                    <w:tl2br w:val="nil"/>
                    <w:tr2bl w:val="nil"/>
                  </w:tcBorders>
                  <w:vAlign w:val="center"/>
                </w:tcPr>
                <w:p w14:paraId="4812A1AF">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挥发性有机物（以非甲烷总烃计），生产车间、生产设备全封闭</w:t>
                  </w:r>
                </w:p>
              </w:tc>
              <w:tc>
                <w:tcPr>
                  <w:tcW w:w="773" w:type="dxa"/>
                  <w:vMerge w:val="continue"/>
                  <w:tcBorders>
                    <w:tl2br w:val="nil"/>
                    <w:tr2bl w:val="nil"/>
                  </w:tcBorders>
                  <w:vAlign w:val="center"/>
                </w:tcPr>
                <w:p w14:paraId="4F33A1C1">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sz w:val="21"/>
                      <w:szCs w:val="21"/>
                      <w:highlight w:val="none"/>
                      <w:vertAlign w:val="baseline"/>
                      <w:lang w:val="en-US" w:eastAsia="zh-CN"/>
                    </w:rPr>
                  </w:pPr>
                </w:p>
              </w:tc>
              <w:tc>
                <w:tcPr>
                  <w:tcW w:w="1188" w:type="dxa"/>
                  <w:vMerge w:val="continue"/>
                  <w:tcBorders>
                    <w:tl2br w:val="nil"/>
                    <w:tr2bl w:val="nil"/>
                  </w:tcBorders>
                  <w:vAlign w:val="center"/>
                </w:tcPr>
                <w:p w14:paraId="761A80BA">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p>
              </w:tc>
            </w:tr>
            <w:tr w14:paraId="451EF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645" w:type="dxa"/>
                  <w:tcBorders>
                    <w:tl2br w:val="nil"/>
                    <w:tr2bl w:val="nil"/>
                  </w:tcBorders>
                  <w:vAlign w:val="center"/>
                </w:tcPr>
                <w:p w14:paraId="02E49AAA">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5</w:t>
                  </w:r>
                </w:p>
              </w:tc>
              <w:tc>
                <w:tcPr>
                  <w:tcW w:w="1198" w:type="dxa"/>
                  <w:tcBorders>
                    <w:tl2br w:val="nil"/>
                    <w:tr2bl w:val="nil"/>
                  </w:tcBorders>
                  <w:vAlign w:val="center"/>
                </w:tcPr>
                <w:p w14:paraId="50D6A937">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设备噪声</w:t>
                  </w:r>
                </w:p>
              </w:tc>
              <w:tc>
                <w:tcPr>
                  <w:tcW w:w="4293" w:type="dxa"/>
                  <w:tcBorders>
                    <w:tl2br w:val="nil"/>
                    <w:tr2bl w:val="nil"/>
                  </w:tcBorders>
                  <w:vAlign w:val="center"/>
                </w:tcPr>
                <w:p w14:paraId="7C5E49BA">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选择低噪声设备、基础减振、车间封闭隔声处理</w:t>
                  </w:r>
                </w:p>
              </w:tc>
              <w:tc>
                <w:tcPr>
                  <w:tcW w:w="773" w:type="dxa"/>
                  <w:tcBorders>
                    <w:tl2br w:val="nil"/>
                    <w:tr2bl w:val="nil"/>
                  </w:tcBorders>
                  <w:vAlign w:val="center"/>
                </w:tcPr>
                <w:p w14:paraId="2576D6FC">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w:t>
                  </w:r>
                </w:p>
              </w:tc>
              <w:tc>
                <w:tcPr>
                  <w:tcW w:w="1188" w:type="dxa"/>
                  <w:tcBorders>
                    <w:tl2br w:val="nil"/>
                    <w:tr2bl w:val="nil"/>
                  </w:tcBorders>
                  <w:vAlign w:val="center"/>
                </w:tcPr>
                <w:p w14:paraId="42857060">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4</w:t>
                  </w:r>
                </w:p>
              </w:tc>
            </w:tr>
            <w:tr w14:paraId="41CD37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65" w:hRule="atLeast"/>
              </w:trPr>
              <w:tc>
                <w:tcPr>
                  <w:tcW w:w="645" w:type="dxa"/>
                  <w:vMerge w:val="restart"/>
                  <w:tcBorders>
                    <w:tl2br w:val="nil"/>
                    <w:tr2bl w:val="nil"/>
                  </w:tcBorders>
                  <w:vAlign w:val="center"/>
                </w:tcPr>
                <w:p w14:paraId="1C088FAE">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6</w:t>
                  </w:r>
                </w:p>
              </w:tc>
              <w:tc>
                <w:tcPr>
                  <w:tcW w:w="1198" w:type="dxa"/>
                  <w:vMerge w:val="restart"/>
                  <w:tcBorders>
                    <w:tl2br w:val="nil"/>
                    <w:tr2bl w:val="nil"/>
                  </w:tcBorders>
                  <w:vAlign w:val="center"/>
                </w:tcPr>
                <w:p w14:paraId="22367C3A">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一般固废</w:t>
                  </w:r>
                </w:p>
              </w:tc>
              <w:tc>
                <w:tcPr>
                  <w:tcW w:w="4293" w:type="dxa"/>
                  <w:tcBorders>
                    <w:tl2br w:val="nil"/>
                    <w:tr2bl w:val="nil"/>
                  </w:tcBorders>
                  <w:vAlign w:val="center"/>
                </w:tcPr>
                <w:p w14:paraId="5CA2F5FF">
                  <w:pPr>
                    <w:pStyle w:val="12"/>
                    <w:keepNext w:val="0"/>
                    <w:keepLines w:val="0"/>
                    <w:pageBreakBefore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olor w:val="auto"/>
                      <w:highlight w:val="none"/>
                      <w:lang w:val="en-US" w:eastAsia="zh-CN"/>
                    </w:rPr>
                    <w:t>杂质、葵花籽壳、滤渣，袋装送往饲料加工厂商作为饲料制造原料</w:t>
                  </w:r>
                </w:p>
              </w:tc>
              <w:tc>
                <w:tcPr>
                  <w:tcW w:w="773" w:type="dxa"/>
                  <w:tcBorders>
                    <w:tl2br w:val="nil"/>
                    <w:tr2bl w:val="nil"/>
                  </w:tcBorders>
                  <w:vAlign w:val="center"/>
                </w:tcPr>
                <w:p w14:paraId="29D1430D">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w:t>
                  </w:r>
                </w:p>
              </w:tc>
              <w:tc>
                <w:tcPr>
                  <w:tcW w:w="1188" w:type="dxa"/>
                  <w:tcBorders>
                    <w:tl2br w:val="nil"/>
                    <w:tr2bl w:val="nil"/>
                  </w:tcBorders>
                  <w:vAlign w:val="center"/>
                </w:tcPr>
                <w:p w14:paraId="59DA244E">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4</w:t>
                  </w:r>
                </w:p>
              </w:tc>
            </w:tr>
            <w:tr w14:paraId="5764B6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645" w:type="dxa"/>
                  <w:vMerge w:val="continue"/>
                  <w:tcBorders>
                    <w:tl2br w:val="nil"/>
                    <w:tr2bl w:val="nil"/>
                  </w:tcBorders>
                  <w:vAlign w:val="center"/>
                </w:tcPr>
                <w:p w14:paraId="685B42F2">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1198" w:type="dxa"/>
                  <w:vMerge w:val="continue"/>
                  <w:tcBorders>
                    <w:tl2br w:val="nil"/>
                    <w:tr2bl w:val="nil"/>
                  </w:tcBorders>
                  <w:vAlign w:val="center"/>
                </w:tcPr>
                <w:p w14:paraId="764EA9EA">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4293" w:type="dxa"/>
                  <w:tcBorders>
                    <w:tl2br w:val="nil"/>
                    <w:tr2bl w:val="nil"/>
                  </w:tcBorders>
                  <w:vAlign w:val="center"/>
                </w:tcPr>
                <w:p w14:paraId="52172C28">
                  <w:pPr>
                    <w:pStyle w:val="12"/>
                    <w:keepNext w:val="0"/>
                    <w:keepLines w:val="0"/>
                    <w:pageBreakBefore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olor w:val="auto"/>
                      <w:highlight w:val="none"/>
                      <w:lang w:val="en-US" w:eastAsia="zh-CN"/>
                    </w:rPr>
                    <w:t>废硅藻土、废饼粉均袋装暂存至一般固废暂存间后由供应商定期更换后拉运处理</w:t>
                  </w:r>
                </w:p>
              </w:tc>
              <w:tc>
                <w:tcPr>
                  <w:tcW w:w="773" w:type="dxa"/>
                  <w:tcBorders>
                    <w:tl2br w:val="nil"/>
                    <w:tr2bl w:val="nil"/>
                  </w:tcBorders>
                  <w:vAlign w:val="center"/>
                </w:tcPr>
                <w:p w14:paraId="36239843">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w:t>
                  </w:r>
                </w:p>
              </w:tc>
              <w:tc>
                <w:tcPr>
                  <w:tcW w:w="1188" w:type="dxa"/>
                  <w:tcBorders>
                    <w:tl2br w:val="nil"/>
                    <w:tr2bl w:val="nil"/>
                  </w:tcBorders>
                  <w:vAlign w:val="center"/>
                </w:tcPr>
                <w:p w14:paraId="40CC0B1A">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6</w:t>
                  </w:r>
                </w:p>
              </w:tc>
            </w:tr>
            <w:tr w14:paraId="55F3C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645" w:type="dxa"/>
                  <w:vMerge w:val="continue"/>
                  <w:tcBorders>
                    <w:tl2br w:val="nil"/>
                    <w:tr2bl w:val="nil"/>
                  </w:tcBorders>
                  <w:vAlign w:val="center"/>
                </w:tcPr>
                <w:p w14:paraId="7F6A94CC">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1198" w:type="dxa"/>
                  <w:vMerge w:val="continue"/>
                  <w:tcBorders>
                    <w:tl2br w:val="nil"/>
                    <w:tr2bl w:val="nil"/>
                  </w:tcBorders>
                  <w:vAlign w:val="center"/>
                </w:tcPr>
                <w:p w14:paraId="0E252772">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4293" w:type="dxa"/>
                  <w:tcBorders>
                    <w:tl2br w:val="nil"/>
                    <w:tr2bl w:val="nil"/>
                  </w:tcBorders>
                  <w:vAlign w:val="center"/>
                </w:tcPr>
                <w:p w14:paraId="3DFC634B">
                  <w:pPr>
                    <w:pStyle w:val="12"/>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auto"/>
                      <w:highlight w:val="none"/>
                      <w:lang w:val="en-US" w:eastAsia="zh-CN"/>
                    </w:rPr>
                  </w:pPr>
                  <w:r>
                    <w:rPr>
                      <w:rFonts w:hint="eastAsia"/>
                      <w:color w:val="auto"/>
                      <w:highlight w:val="none"/>
                      <w:lang w:val="en-US" w:eastAsia="zh-CN"/>
                    </w:rPr>
                    <w:t>报废油，设利用油泵及管道将废油输送至吨桶，暂存至一般固废间送往饲料加工厂商作为饲料制造原料</w:t>
                  </w:r>
                </w:p>
              </w:tc>
              <w:tc>
                <w:tcPr>
                  <w:tcW w:w="773" w:type="dxa"/>
                  <w:tcBorders>
                    <w:tl2br w:val="nil"/>
                    <w:tr2bl w:val="nil"/>
                  </w:tcBorders>
                  <w:vAlign w:val="center"/>
                </w:tcPr>
                <w:p w14:paraId="4042BA95">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w:t>
                  </w:r>
                </w:p>
              </w:tc>
              <w:tc>
                <w:tcPr>
                  <w:tcW w:w="1188" w:type="dxa"/>
                  <w:tcBorders>
                    <w:tl2br w:val="nil"/>
                    <w:tr2bl w:val="nil"/>
                  </w:tcBorders>
                  <w:vAlign w:val="center"/>
                </w:tcPr>
                <w:p w14:paraId="0F297FC3">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w:t>
                  </w:r>
                </w:p>
              </w:tc>
            </w:tr>
            <w:tr w14:paraId="777CC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645" w:type="dxa"/>
                  <w:vMerge w:val="restart"/>
                  <w:tcBorders>
                    <w:tl2br w:val="nil"/>
                    <w:tr2bl w:val="nil"/>
                  </w:tcBorders>
                  <w:vAlign w:val="center"/>
                </w:tcPr>
                <w:p w14:paraId="0D710FD5">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highlight w:val="none"/>
                      <w:lang w:val="en-US" w:eastAsia="zh-CN"/>
                    </w:rPr>
                  </w:pPr>
                  <w:r>
                    <w:rPr>
                      <w:rFonts w:hint="eastAsia"/>
                      <w:color w:val="auto"/>
                      <w:highlight w:val="none"/>
                      <w:lang w:val="en-US" w:eastAsia="zh-CN"/>
                    </w:rPr>
                    <w:t>7</w:t>
                  </w:r>
                </w:p>
              </w:tc>
              <w:tc>
                <w:tcPr>
                  <w:tcW w:w="1198" w:type="dxa"/>
                  <w:vMerge w:val="restart"/>
                  <w:tcBorders>
                    <w:tl2br w:val="nil"/>
                    <w:tr2bl w:val="nil"/>
                  </w:tcBorders>
                  <w:vAlign w:val="center"/>
                </w:tcPr>
                <w:p w14:paraId="575FF722">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highlight w:val="none"/>
                      <w:lang w:val="en-US" w:eastAsia="zh-CN"/>
                    </w:rPr>
                  </w:pPr>
                  <w:r>
                    <w:rPr>
                      <w:rFonts w:hint="eastAsia"/>
                      <w:color w:val="auto"/>
                      <w:highlight w:val="none"/>
                      <w:lang w:val="en-US" w:eastAsia="zh-CN"/>
                    </w:rPr>
                    <w:t>危险废物</w:t>
                  </w:r>
                </w:p>
              </w:tc>
              <w:tc>
                <w:tcPr>
                  <w:tcW w:w="4293" w:type="dxa"/>
                  <w:tcBorders>
                    <w:tl2br w:val="nil"/>
                    <w:tr2bl w:val="nil"/>
                  </w:tcBorders>
                  <w:vAlign w:val="center"/>
                </w:tcPr>
                <w:p w14:paraId="17C81F1B">
                  <w:pPr>
                    <w:pStyle w:val="12"/>
                    <w:keepNext w:val="0"/>
                    <w:keepLines w:val="0"/>
                    <w:pageBreakBefore w:val="0"/>
                    <w:kinsoku/>
                    <w:wordWrap/>
                    <w:overflowPunct/>
                    <w:topLinePunct w:val="0"/>
                    <w:autoSpaceDE/>
                    <w:autoSpaceDN/>
                    <w:bidi w:val="0"/>
                    <w:adjustRightInd/>
                    <w:snapToGrid/>
                    <w:spacing w:line="240" w:lineRule="auto"/>
                    <w:jc w:val="center"/>
                    <w:textAlignment w:val="auto"/>
                    <w:rPr>
                      <w:rFonts w:hint="eastAsia"/>
                      <w:color w:val="auto"/>
                      <w:highlight w:val="none"/>
                      <w:lang w:val="en-US" w:eastAsia="zh-CN"/>
                    </w:rPr>
                  </w:pPr>
                  <w:r>
                    <w:rPr>
                      <w:rFonts w:hint="eastAsia" w:cs="Times New Roman"/>
                      <w:b w:val="0"/>
                      <w:bCs/>
                      <w:color w:val="auto"/>
                      <w:sz w:val="21"/>
                      <w:szCs w:val="21"/>
                      <w:highlight w:val="none"/>
                      <w:vertAlign w:val="baseline"/>
                      <w:lang w:val="en-US" w:eastAsia="zh-CN"/>
                    </w:rPr>
                    <w:t>废导热油，根据市场监督管理局特种设备监督检验所的检验结果（酸值、粘度、闪点等指标）决定，如有更换桶装暂存至厂区现有危废间送有资质单位处置。</w:t>
                  </w:r>
                </w:p>
              </w:tc>
              <w:tc>
                <w:tcPr>
                  <w:tcW w:w="773" w:type="dxa"/>
                  <w:vMerge w:val="restart"/>
                  <w:tcBorders>
                    <w:tl2br w:val="nil"/>
                    <w:tr2bl w:val="nil"/>
                  </w:tcBorders>
                  <w:vAlign w:val="center"/>
                </w:tcPr>
                <w:p w14:paraId="7204C359">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w:t>
                  </w:r>
                </w:p>
              </w:tc>
              <w:tc>
                <w:tcPr>
                  <w:tcW w:w="1188" w:type="dxa"/>
                  <w:vMerge w:val="restart"/>
                  <w:tcBorders>
                    <w:tl2br w:val="nil"/>
                    <w:tr2bl w:val="nil"/>
                  </w:tcBorders>
                  <w:vAlign w:val="center"/>
                </w:tcPr>
                <w:p w14:paraId="27DB6A79">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3</w:t>
                  </w:r>
                </w:p>
              </w:tc>
            </w:tr>
            <w:tr w14:paraId="68C092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39" w:hRule="atLeast"/>
              </w:trPr>
              <w:tc>
                <w:tcPr>
                  <w:tcW w:w="645" w:type="dxa"/>
                  <w:vMerge w:val="continue"/>
                  <w:tcBorders>
                    <w:tl2br w:val="nil"/>
                    <w:tr2bl w:val="nil"/>
                  </w:tcBorders>
                  <w:vAlign w:val="center"/>
                </w:tcPr>
                <w:p w14:paraId="590E74BA">
                  <w:pPr>
                    <w:pStyle w:val="12"/>
                    <w:keepNext w:val="0"/>
                    <w:keepLines w:val="0"/>
                    <w:pageBreakBefore w:val="0"/>
                    <w:kinsoku/>
                    <w:wordWrap/>
                    <w:overflowPunct/>
                    <w:topLinePunct w:val="0"/>
                    <w:autoSpaceDE/>
                    <w:autoSpaceDN/>
                    <w:bidi w:val="0"/>
                    <w:adjustRightInd/>
                    <w:snapToGrid/>
                    <w:spacing w:line="240" w:lineRule="auto"/>
                    <w:jc w:val="center"/>
                    <w:textAlignment w:val="auto"/>
                    <w:rPr>
                      <w:color w:val="auto"/>
                      <w:highlight w:val="none"/>
                    </w:rPr>
                  </w:pPr>
                </w:p>
              </w:tc>
              <w:tc>
                <w:tcPr>
                  <w:tcW w:w="1198" w:type="dxa"/>
                  <w:vMerge w:val="continue"/>
                  <w:tcBorders>
                    <w:tl2br w:val="nil"/>
                    <w:tr2bl w:val="nil"/>
                  </w:tcBorders>
                  <w:vAlign w:val="center"/>
                </w:tcPr>
                <w:p w14:paraId="2562A2B5">
                  <w:pPr>
                    <w:pStyle w:val="12"/>
                    <w:keepNext w:val="0"/>
                    <w:keepLines w:val="0"/>
                    <w:pageBreakBefore w:val="0"/>
                    <w:kinsoku/>
                    <w:wordWrap/>
                    <w:overflowPunct/>
                    <w:topLinePunct w:val="0"/>
                    <w:autoSpaceDE/>
                    <w:autoSpaceDN/>
                    <w:bidi w:val="0"/>
                    <w:adjustRightInd/>
                    <w:snapToGrid/>
                    <w:spacing w:line="240" w:lineRule="auto"/>
                    <w:jc w:val="center"/>
                    <w:textAlignment w:val="auto"/>
                    <w:rPr>
                      <w:color w:val="auto"/>
                      <w:highlight w:val="none"/>
                    </w:rPr>
                  </w:pPr>
                </w:p>
              </w:tc>
              <w:tc>
                <w:tcPr>
                  <w:tcW w:w="4293" w:type="dxa"/>
                  <w:tcBorders>
                    <w:tl2br w:val="nil"/>
                    <w:tr2bl w:val="nil"/>
                  </w:tcBorders>
                  <w:vAlign w:val="center"/>
                </w:tcPr>
                <w:p w14:paraId="58712761">
                  <w:pPr>
                    <w:pStyle w:val="12"/>
                    <w:keepNext w:val="0"/>
                    <w:keepLines w:val="0"/>
                    <w:pageBreakBefore w:val="0"/>
                    <w:kinsoku/>
                    <w:wordWrap/>
                    <w:overflowPunct/>
                    <w:topLinePunct w:val="0"/>
                    <w:autoSpaceDE/>
                    <w:autoSpaceDN/>
                    <w:bidi w:val="0"/>
                    <w:adjustRightInd/>
                    <w:snapToGrid/>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废润滑油，修理替换后的废润滑油桶装暂存至厂区现有危废间送有资质单位处置</w:t>
                  </w:r>
                </w:p>
              </w:tc>
              <w:tc>
                <w:tcPr>
                  <w:tcW w:w="773" w:type="dxa"/>
                  <w:vMerge w:val="continue"/>
                  <w:tcBorders>
                    <w:tl2br w:val="nil"/>
                    <w:tr2bl w:val="nil"/>
                  </w:tcBorders>
                  <w:vAlign w:val="center"/>
                </w:tcPr>
                <w:p w14:paraId="566AAD28">
                  <w:pPr>
                    <w:pStyle w:val="12"/>
                    <w:keepNext w:val="0"/>
                    <w:keepLines w:val="0"/>
                    <w:pageBreakBefore w:val="0"/>
                    <w:kinsoku/>
                    <w:wordWrap/>
                    <w:overflowPunct/>
                    <w:topLinePunct w:val="0"/>
                    <w:autoSpaceDE/>
                    <w:autoSpaceDN/>
                    <w:bidi w:val="0"/>
                    <w:adjustRightInd/>
                    <w:snapToGrid/>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8" w:type="dxa"/>
                  <w:vMerge w:val="continue"/>
                  <w:tcBorders>
                    <w:tl2br w:val="nil"/>
                    <w:tr2bl w:val="nil"/>
                  </w:tcBorders>
                  <w:vAlign w:val="center"/>
                </w:tcPr>
                <w:p w14:paraId="145BF876">
                  <w:pPr>
                    <w:pStyle w:val="12"/>
                    <w:keepNext w:val="0"/>
                    <w:keepLines w:val="0"/>
                    <w:pageBreakBefore w:val="0"/>
                    <w:kinsoku/>
                    <w:wordWrap/>
                    <w:overflowPunct/>
                    <w:topLinePunct w:val="0"/>
                    <w:autoSpaceDE/>
                    <w:autoSpaceDN/>
                    <w:bidi w:val="0"/>
                    <w:adjustRightInd/>
                    <w:snapToGrid/>
                    <w:spacing w:line="240" w:lineRule="auto"/>
                    <w:jc w:val="center"/>
                    <w:textAlignment w:val="auto"/>
                    <w:rPr>
                      <w:rFonts w:hint="eastAsia" w:cs="Times New Roman"/>
                      <w:b w:val="0"/>
                      <w:bCs/>
                      <w:color w:val="auto"/>
                      <w:sz w:val="21"/>
                      <w:szCs w:val="21"/>
                      <w:highlight w:val="none"/>
                      <w:vertAlign w:val="baseline"/>
                      <w:lang w:val="en-US" w:eastAsia="zh-CN"/>
                    </w:rPr>
                  </w:pPr>
                </w:p>
              </w:tc>
            </w:tr>
            <w:tr w14:paraId="1DB1B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909" w:type="dxa"/>
                  <w:gridSpan w:val="4"/>
                  <w:tcBorders>
                    <w:tl2br w:val="nil"/>
                    <w:tr2bl w:val="nil"/>
                  </w:tcBorders>
                  <w:vAlign w:val="center"/>
                </w:tcPr>
                <w:p w14:paraId="50E96D0C">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合计</w:t>
                  </w:r>
                </w:p>
              </w:tc>
              <w:tc>
                <w:tcPr>
                  <w:tcW w:w="1188" w:type="dxa"/>
                  <w:tcBorders>
                    <w:tl2br w:val="nil"/>
                    <w:tr2bl w:val="nil"/>
                  </w:tcBorders>
                  <w:vAlign w:val="center"/>
                </w:tcPr>
                <w:p w14:paraId="6CA93415">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34</w:t>
                  </w:r>
                </w:p>
              </w:tc>
            </w:tr>
          </w:tbl>
          <w:p w14:paraId="095217F6">
            <w:pPr>
              <w:pStyle w:val="12"/>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cs="Times New Roman"/>
                <w:b/>
                <w:bCs/>
                <w:color w:val="auto"/>
                <w:sz w:val="24"/>
                <w:szCs w:val="24"/>
                <w:highlight w:val="none"/>
                <w:lang w:val="en-US" w:eastAsia="zh-CN"/>
              </w:rPr>
            </w:pPr>
          </w:p>
        </w:tc>
      </w:tr>
    </w:tbl>
    <w:p w14:paraId="18696F62">
      <w:pPr>
        <w:rPr>
          <w:rFonts w:hint="eastAsia" w:ascii="宋体" w:hAnsi="宋体" w:eastAsia="宋体" w:cs="宋体"/>
          <w:b/>
          <w:bCs/>
          <w:snapToGrid w:val="0"/>
          <w:color w:val="auto"/>
          <w:sz w:val="30"/>
          <w:szCs w:val="30"/>
          <w:highlight w:val="none"/>
        </w:rPr>
      </w:pPr>
      <w:r>
        <w:rPr>
          <w:rFonts w:hint="eastAsia" w:ascii="宋体" w:hAnsi="宋体" w:eastAsia="宋体" w:cs="宋体"/>
          <w:b/>
          <w:bCs/>
          <w:snapToGrid w:val="0"/>
          <w:color w:val="auto"/>
          <w:sz w:val="30"/>
          <w:szCs w:val="30"/>
          <w:highlight w:val="none"/>
        </w:rPr>
        <w:br w:type="page"/>
      </w:r>
    </w:p>
    <w:p w14:paraId="7DC51783">
      <w:pPr>
        <w:pStyle w:val="20"/>
        <w:jc w:val="center"/>
        <w:outlineLvl w:val="0"/>
        <w:rPr>
          <w:rFonts w:hint="eastAsia" w:ascii="宋体" w:hAnsi="宋体" w:eastAsia="宋体" w:cs="宋体"/>
          <w:b/>
          <w:bCs/>
          <w:snapToGrid w:val="0"/>
          <w:color w:val="auto"/>
          <w:sz w:val="30"/>
          <w:szCs w:val="30"/>
          <w:highlight w:val="none"/>
        </w:rPr>
      </w:pPr>
      <w:r>
        <w:rPr>
          <w:rFonts w:hint="eastAsia" w:ascii="宋体" w:hAnsi="宋体" w:eastAsia="宋体" w:cs="宋体"/>
          <w:b/>
          <w:bCs/>
          <w:snapToGrid w:val="0"/>
          <w:color w:val="auto"/>
          <w:sz w:val="30"/>
          <w:szCs w:val="30"/>
          <w:highlight w:val="none"/>
        </w:rPr>
        <w:t>五、</w:t>
      </w:r>
      <w:bookmarkStart w:id="10" w:name="_Hlk54167917"/>
      <w:r>
        <w:rPr>
          <w:rFonts w:hint="eastAsia" w:ascii="宋体" w:hAnsi="宋体" w:eastAsia="宋体" w:cs="宋体"/>
          <w:b/>
          <w:bCs/>
          <w:snapToGrid w:val="0"/>
          <w:color w:val="auto"/>
          <w:sz w:val="30"/>
          <w:szCs w:val="30"/>
          <w:highlight w:val="none"/>
        </w:rPr>
        <w:t>环境保护措施监督检查清单</w:t>
      </w:r>
      <w:bookmarkEnd w:id="10"/>
    </w:p>
    <w:tbl>
      <w:tblPr>
        <w:tblStyle w:val="21"/>
        <w:tblW w:w="500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1467"/>
        <w:gridCol w:w="1229"/>
        <w:gridCol w:w="2924"/>
        <w:gridCol w:w="2352"/>
      </w:tblGrid>
      <w:tr w14:paraId="774744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607" w:type="pct"/>
            <w:tcBorders>
              <w:tl2br w:val="single" w:color="auto" w:sz="4" w:space="0"/>
            </w:tcBorders>
          </w:tcPr>
          <w:p w14:paraId="0D23F035">
            <w:pPr>
              <w:keepNext w:val="0"/>
              <w:keepLines w:val="0"/>
              <w:pageBreakBefore w:val="0"/>
              <w:kinsoku/>
              <w:wordWrap/>
              <w:overflowPunct/>
              <w:topLinePunct w:val="0"/>
              <w:bidi w:val="0"/>
              <w:adjustRightInd w:val="0"/>
              <w:snapToGrid w:val="0"/>
              <w:spacing w:line="240" w:lineRule="auto"/>
              <w:ind w:firstLine="240" w:firstLineChars="1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内容</w:t>
            </w:r>
          </w:p>
          <w:p w14:paraId="36C2DF38">
            <w:pPr>
              <w:keepNext w:val="0"/>
              <w:keepLines w:val="0"/>
              <w:pageBreakBefore w:val="0"/>
              <w:kinsoku/>
              <w:wordWrap/>
              <w:overflowPunct/>
              <w:topLinePunct w:val="0"/>
              <w:bidi w:val="0"/>
              <w:adjustRightInd w:val="0"/>
              <w:snapToGrid w:val="0"/>
              <w:spacing w:line="240" w:lineRule="auto"/>
              <w:rPr>
                <w:rFonts w:hint="default" w:ascii="Times New Roman" w:hAnsi="Times New Roman" w:eastAsia="宋体" w:cs="Times New Roman"/>
                <w:color w:val="auto"/>
                <w:sz w:val="24"/>
                <w:szCs w:val="24"/>
                <w:highlight w:val="none"/>
              </w:rPr>
            </w:pPr>
          </w:p>
          <w:p w14:paraId="6CFA497F">
            <w:pPr>
              <w:keepNext w:val="0"/>
              <w:keepLines w:val="0"/>
              <w:pageBreakBefore w:val="0"/>
              <w:kinsoku/>
              <w:wordWrap/>
              <w:overflowPunct/>
              <w:topLinePunct w:val="0"/>
              <w:bidi w:val="0"/>
              <w:adjustRightInd w:val="0"/>
              <w:snapToGrid w:val="0"/>
              <w:spacing w:line="240" w:lineRule="auto"/>
              <w:rPr>
                <w:rFonts w:hint="default" w:ascii="Times New Roman" w:hAnsi="Times New Roman" w:eastAsia="宋体" w:cs="Times New Roman"/>
                <w:color w:val="auto"/>
                <w:sz w:val="24"/>
                <w:szCs w:val="24"/>
                <w:highlight w:val="none"/>
              </w:rPr>
            </w:pPr>
          </w:p>
          <w:p w14:paraId="58E28B64">
            <w:pPr>
              <w:keepNext w:val="0"/>
              <w:keepLines w:val="0"/>
              <w:pageBreakBefore w:val="0"/>
              <w:kinsoku/>
              <w:wordWrap/>
              <w:overflowPunct/>
              <w:topLinePunct w:val="0"/>
              <w:bidi w:val="0"/>
              <w:adjustRightInd w:val="0"/>
              <w:snapToGrid w:val="0"/>
              <w:spacing w:line="24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要素</w:t>
            </w:r>
          </w:p>
        </w:tc>
        <w:tc>
          <w:tcPr>
            <w:tcW w:w="808" w:type="pct"/>
            <w:vAlign w:val="center"/>
          </w:tcPr>
          <w:p w14:paraId="060A57B8">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排放口</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编号、名称</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/污染源</w:t>
            </w:r>
          </w:p>
        </w:tc>
        <w:tc>
          <w:tcPr>
            <w:tcW w:w="677" w:type="pct"/>
            <w:vAlign w:val="center"/>
          </w:tcPr>
          <w:p w14:paraId="55D3DFE5">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污染物</w:t>
            </w:r>
          </w:p>
          <w:p w14:paraId="3C413AEB">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w:t>
            </w:r>
          </w:p>
        </w:tc>
        <w:tc>
          <w:tcPr>
            <w:tcW w:w="1611" w:type="pct"/>
            <w:tcBorders>
              <w:bottom w:val="single" w:color="auto" w:sz="4" w:space="0"/>
            </w:tcBorders>
            <w:vAlign w:val="center"/>
          </w:tcPr>
          <w:p w14:paraId="2D7E2456">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环境保护措施</w:t>
            </w:r>
          </w:p>
        </w:tc>
        <w:tc>
          <w:tcPr>
            <w:tcW w:w="1295" w:type="pct"/>
            <w:tcBorders>
              <w:bottom w:val="single" w:color="auto" w:sz="4" w:space="0"/>
            </w:tcBorders>
            <w:vAlign w:val="center"/>
          </w:tcPr>
          <w:p w14:paraId="5B44BE59">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执行标准</w:t>
            </w:r>
          </w:p>
        </w:tc>
      </w:tr>
      <w:tr w14:paraId="01890C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607" w:type="pct"/>
            <w:vMerge w:val="restart"/>
            <w:vAlign w:val="center"/>
          </w:tcPr>
          <w:p w14:paraId="1295DE61">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大气环境</w:t>
            </w:r>
          </w:p>
        </w:tc>
        <w:tc>
          <w:tcPr>
            <w:tcW w:w="808" w:type="pct"/>
            <w:vAlign w:val="center"/>
          </w:tcPr>
          <w:p w14:paraId="2C8278F7">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室外料胚储存筒仓进料口排气筒</w:t>
            </w:r>
          </w:p>
        </w:tc>
        <w:tc>
          <w:tcPr>
            <w:tcW w:w="677" w:type="pct"/>
            <w:vAlign w:val="center"/>
          </w:tcPr>
          <w:p w14:paraId="2C22EB9D">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颗粒物</w:t>
            </w:r>
          </w:p>
        </w:tc>
        <w:tc>
          <w:tcPr>
            <w:tcW w:w="1611" w:type="pct"/>
            <w:vAlign w:val="center"/>
          </w:tcPr>
          <w:p w14:paraId="64070A14">
            <w:pPr>
              <w:keepNext/>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kern w:val="0"/>
                <w:sz w:val="24"/>
                <w:szCs w:val="24"/>
                <w:highlight w:val="none"/>
                <w:lang w:val="en-US" w:eastAsia="zh-CN" w:bidi="ar"/>
              </w:rPr>
              <w:t>采用1台旋风除尘器+1台布袋除尘器处理后经1根15米高的排气筒排放</w:t>
            </w:r>
          </w:p>
        </w:tc>
        <w:tc>
          <w:tcPr>
            <w:tcW w:w="1295" w:type="pct"/>
            <w:shd w:val="clear" w:color="auto" w:fill="auto"/>
            <w:vAlign w:val="center"/>
          </w:tcPr>
          <w:p w14:paraId="7D1AA06A">
            <w:pPr>
              <w:keepNext w:val="0"/>
              <w:keepLines w:val="0"/>
              <w:pageBreakBefore w:val="0"/>
              <w:widowControl/>
              <w:suppressLineNumbers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
              </w:rPr>
              <w:t>《大气污染物综合排放标准》（GB16297-1996）表2中二级标准</w:t>
            </w:r>
          </w:p>
        </w:tc>
      </w:tr>
      <w:tr w14:paraId="11F85B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07" w:type="pct"/>
            <w:vMerge w:val="continue"/>
            <w:vAlign w:val="center"/>
          </w:tcPr>
          <w:p w14:paraId="485A9261">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0"/>
                <w:sz w:val="24"/>
                <w:szCs w:val="24"/>
                <w:highlight w:val="none"/>
                <w:lang w:val="en-US" w:eastAsia="zh-CN"/>
              </w:rPr>
            </w:pPr>
          </w:p>
        </w:tc>
        <w:tc>
          <w:tcPr>
            <w:tcW w:w="808" w:type="pct"/>
            <w:vMerge w:val="restart"/>
            <w:vAlign w:val="center"/>
          </w:tcPr>
          <w:p w14:paraId="7073D21F">
            <w:pPr>
              <w:keepLines w:val="0"/>
              <w:pageBreakBefore w:val="0"/>
              <w:widowControl w:val="0"/>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无组织</w:t>
            </w:r>
          </w:p>
        </w:tc>
        <w:tc>
          <w:tcPr>
            <w:tcW w:w="677" w:type="pct"/>
            <w:vAlign w:val="center"/>
          </w:tcPr>
          <w:p w14:paraId="0B1CCB14">
            <w:pPr>
              <w:pStyle w:val="40"/>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lang w:val="en-US" w:eastAsia="zh-CN"/>
              </w:rPr>
            </w:pPr>
            <w:r>
              <w:rPr>
                <w:rFonts w:hint="eastAsia" w:ascii="Times New Roman" w:cs="Times New Roman"/>
                <w:color w:val="auto"/>
                <w:sz w:val="24"/>
                <w:szCs w:val="24"/>
                <w:highlight w:val="none"/>
                <w:lang w:val="en-US" w:eastAsia="zh-CN"/>
              </w:rPr>
              <w:t>颗粒物</w:t>
            </w:r>
          </w:p>
        </w:tc>
        <w:tc>
          <w:tcPr>
            <w:tcW w:w="1611" w:type="pct"/>
            <w:vAlign w:val="center"/>
          </w:tcPr>
          <w:p w14:paraId="0399ACC6">
            <w:pPr>
              <w:pStyle w:val="40"/>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lang w:val="en-US" w:eastAsia="zh-CN"/>
              </w:rPr>
            </w:pPr>
            <w:r>
              <w:rPr>
                <w:rFonts w:hint="eastAsia" w:ascii="Times New Roman" w:cs="Times New Roman"/>
                <w:b w:val="0"/>
                <w:bCs/>
                <w:color w:val="auto"/>
                <w:sz w:val="24"/>
                <w:szCs w:val="24"/>
                <w:highlight w:val="none"/>
                <w:lang w:val="en-US" w:eastAsia="zh-CN"/>
              </w:rPr>
              <w:t>车间封闭</w:t>
            </w:r>
          </w:p>
        </w:tc>
        <w:tc>
          <w:tcPr>
            <w:tcW w:w="1295" w:type="pct"/>
            <w:shd w:val="clear" w:color="auto" w:fill="auto"/>
            <w:vAlign w:val="center"/>
          </w:tcPr>
          <w:p w14:paraId="29A9C944">
            <w:pPr>
              <w:keepNext w:val="0"/>
              <w:keepLines w:val="0"/>
              <w:pageBreakBefore w:val="0"/>
              <w:widowControl/>
              <w:suppressLineNumbers w:val="0"/>
              <w:kinsoku/>
              <w:wordWrap/>
              <w:overflowPunct/>
              <w:topLinePunct w:val="0"/>
              <w:bidi w:val="0"/>
              <w:spacing w:line="240" w:lineRule="auto"/>
              <w:jc w:val="center"/>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sz w:val="24"/>
                <w:szCs w:val="24"/>
                <w:highlight w:val="none"/>
              </w:rPr>
              <w:t>《大气污染物综合排放标准》（GB16297-1996）表2中无组织排放限值中</w:t>
            </w:r>
            <w:r>
              <w:rPr>
                <w:rFonts w:hint="default" w:ascii="Times New Roman" w:hAnsi="Times New Roman" w:eastAsia="宋体" w:cs="Times New Roman"/>
                <w:color w:val="auto"/>
                <w:sz w:val="24"/>
                <w:szCs w:val="24"/>
                <w:highlight w:val="none"/>
                <w:lang w:val="en-US" w:eastAsia="zh-CN"/>
              </w:rPr>
              <w:t>二级标准</w:t>
            </w:r>
          </w:p>
        </w:tc>
      </w:tr>
      <w:tr w14:paraId="117937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07" w:type="pct"/>
            <w:vMerge w:val="continue"/>
            <w:vAlign w:val="center"/>
          </w:tcPr>
          <w:p w14:paraId="5704FDF7">
            <w:pPr>
              <w:keepNext w:val="0"/>
              <w:keepLines w:val="0"/>
              <w:pageBreakBefore w:val="0"/>
              <w:widowControl/>
              <w:suppressLineNumbers w:val="0"/>
              <w:kinsoku/>
              <w:wordWrap/>
              <w:overflowPunct/>
              <w:topLinePunct w:val="0"/>
              <w:bidi w:val="0"/>
              <w:spacing w:line="240" w:lineRule="auto"/>
              <w:jc w:val="center"/>
              <w:rPr>
                <w:color w:val="auto"/>
                <w:highlight w:val="none"/>
              </w:rPr>
            </w:pPr>
          </w:p>
        </w:tc>
        <w:tc>
          <w:tcPr>
            <w:tcW w:w="808" w:type="pct"/>
            <w:vMerge w:val="continue"/>
            <w:vAlign w:val="center"/>
          </w:tcPr>
          <w:p w14:paraId="17663C56">
            <w:pPr>
              <w:keepNext w:val="0"/>
              <w:keepLines w:val="0"/>
              <w:pageBreakBefore w:val="0"/>
              <w:widowControl/>
              <w:suppressLineNumbers w:val="0"/>
              <w:kinsoku/>
              <w:wordWrap/>
              <w:overflowPunct/>
              <w:topLinePunct w:val="0"/>
              <w:bidi w:val="0"/>
              <w:spacing w:line="240" w:lineRule="auto"/>
              <w:jc w:val="center"/>
              <w:rPr>
                <w:color w:val="auto"/>
                <w:highlight w:val="none"/>
              </w:rPr>
            </w:pPr>
          </w:p>
        </w:tc>
        <w:tc>
          <w:tcPr>
            <w:tcW w:w="677" w:type="pct"/>
            <w:vAlign w:val="center"/>
          </w:tcPr>
          <w:p w14:paraId="719FA230">
            <w:pPr>
              <w:keepNext w:val="0"/>
              <w:keepLines w:val="0"/>
              <w:pageBreakBefore w:val="0"/>
              <w:widowControl/>
              <w:suppressLineNumbers w:val="0"/>
              <w:kinsoku/>
              <w:wordWrap/>
              <w:overflowPunct/>
              <w:topLinePunct w:val="0"/>
              <w:bidi w:val="0"/>
              <w:spacing w:line="240" w:lineRule="auto"/>
              <w:jc w:val="center"/>
              <w:rPr>
                <w:rFonts w:hint="default" w:asci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挥发性有机物（以非甲烷总烃计）</w:t>
            </w:r>
          </w:p>
        </w:tc>
        <w:tc>
          <w:tcPr>
            <w:tcW w:w="1611" w:type="pct"/>
            <w:vAlign w:val="center"/>
          </w:tcPr>
          <w:p w14:paraId="3578C433">
            <w:pPr>
              <w:keepNext w:val="0"/>
              <w:keepLines w:val="0"/>
              <w:pageBreakBefore w:val="0"/>
              <w:widowControl/>
              <w:suppressLineNumbers w:val="0"/>
              <w:kinsoku/>
              <w:wordWrap/>
              <w:overflowPunct/>
              <w:topLinePunct w:val="0"/>
              <w:bidi w:val="0"/>
              <w:spacing w:line="240" w:lineRule="auto"/>
              <w:jc w:val="center"/>
              <w:rPr>
                <w:rFonts w:hint="default" w:ascii="Times New Roman" w:cs="Times New Roman"/>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生产车间</w:t>
            </w:r>
            <w:r>
              <w:rPr>
                <w:rFonts w:hint="eastAsia" w:cs="Times New Roman"/>
                <w:b w:val="0"/>
                <w:bCs/>
                <w:color w:val="auto"/>
                <w:sz w:val="24"/>
                <w:szCs w:val="24"/>
                <w:highlight w:val="none"/>
                <w:lang w:val="en-US" w:eastAsia="zh-CN"/>
              </w:rPr>
              <w:t>、生产设备全封闭</w:t>
            </w:r>
          </w:p>
        </w:tc>
        <w:tc>
          <w:tcPr>
            <w:tcW w:w="1295" w:type="pct"/>
            <w:shd w:val="clear" w:color="auto" w:fill="auto"/>
            <w:vAlign w:val="center"/>
          </w:tcPr>
          <w:p w14:paraId="57B6E46E">
            <w:pPr>
              <w:keepNext w:val="0"/>
              <w:keepLines w:val="0"/>
              <w:pageBreakBefore w:val="0"/>
              <w:widowControl/>
              <w:suppressLineNumbers w:val="0"/>
              <w:kinsoku/>
              <w:wordWrap/>
              <w:overflowPunct/>
              <w:topLinePunct w:val="0"/>
              <w:bidi w:val="0"/>
              <w:spacing w:line="240" w:lineRule="auto"/>
              <w:jc w:val="center"/>
              <w:rPr>
                <w:rFonts w:hint="eastAsia" w:ascii="Times New Roman" w:cs="Times New Roman"/>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挥发性有机物无组织排放控制标准》</w:t>
            </w:r>
            <w:r>
              <w:rPr>
                <w:rFonts w:hint="eastAsia"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GB37822-2019</w:t>
            </w:r>
            <w:r>
              <w:rPr>
                <w:rFonts w:hint="eastAsia"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中限值要求</w:t>
            </w:r>
          </w:p>
        </w:tc>
      </w:tr>
      <w:tr w14:paraId="29EA89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2" w:hRule="atLeast"/>
          <w:jc w:val="center"/>
        </w:trPr>
        <w:tc>
          <w:tcPr>
            <w:tcW w:w="607" w:type="pct"/>
            <w:vAlign w:val="center"/>
          </w:tcPr>
          <w:p w14:paraId="01A121A1">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地表水环境</w:t>
            </w:r>
          </w:p>
        </w:tc>
        <w:tc>
          <w:tcPr>
            <w:tcW w:w="808" w:type="pct"/>
            <w:vAlign w:val="center"/>
          </w:tcPr>
          <w:p w14:paraId="1D93C01C">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rPr>
            </w:pPr>
            <w:r>
              <w:rPr>
                <w:rFonts w:hint="eastAsia" w:cs="Times New Roman"/>
                <w:color w:val="auto"/>
                <w:kern w:val="2"/>
                <w:sz w:val="24"/>
                <w:szCs w:val="24"/>
                <w:highlight w:val="none"/>
                <w:lang w:val="en-US" w:eastAsia="zh-CN" w:bidi="ar-SA"/>
              </w:rPr>
              <w:t>生产废水</w:t>
            </w:r>
          </w:p>
        </w:tc>
        <w:tc>
          <w:tcPr>
            <w:tcW w:w="677" w:type="pct"/>
            <w:vAlign w:val="center"/>
          </w:tcPr>
          <w:p w14:paraId="56A366AF">
            <w:pPr>
              <w:keepNext w:val="0"/>
              <w:keepLines w:val="0"/>
              <w:pageBreakBefore w:val="0"/>
              <w:kinsoku/>
              <w:wordWrap/>
              <w:overflowPunct/>
              <w:topLinePunct w:val="0"/>
              <w:bidi w:val="0"/>
              <w:spacing w:line="240" w:lineRule="auto"/>
              <w:jc w:val="center"/>
              <w:rPr>
                <w:rFonts w:hint="default" w:cs="Times New Roman"/>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vertAlign w:val="baseline"/>
                <w:lang w:val="en-US" w:eastAsia="zh-CN"/>
              </w:rPr>
              <w:t>pH值、悬浮物、五日生化需氧量、化学需氧量、氨氮、磷酸盐（总磷）、动植物油、色度</w:t>
            </w:r>
          </w:p>
        </w:tc>
        <w:tc>
          <w:tcPr>
            <w:tcW w:w="1611" w:type="pct"/>
            <w:vAlign w:val="center"/>
          </w:tcPr>
          <w:p w14:paraId="3026A58F">
            <w:pPr>
              <w:pStyle w:val="12"/>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b w:val="0"/>
                <w:bCs w:val="0"/>
                <w:color w:val="auto"/>
                <w:sz w:val="24"/>
                <w:szCs w:val="24"/>
                <w:highlight w:val="none"/>
                <w:vertAlign w:val="baseline"/>
                <w:lang w:val="en-US" w:eastAsia="zh-CN"/>
              </w:rPr>
              <w:t>生产废水经厂区现有的处理量为120m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/d的污水处理站处理后，排入市政污水管网</w:t>
            </w:r>
            <w:r>
              <w:rPr>
                <w:rFonts w:hint="eastAsia" w:cs="Times New Roman"/>
                <w:b w:val="0"/>
                <w:bCs w:val="0"/>
                <w:color w:val="auto"/>
                <w:sz w:val="24"/>
                <w:szCs w:val="24"/>
                <w:highlight w:val="none"/>
                <w:vertAlign w:val="baseline"/>
                <w:lang w:val="en-US" w:eastAsia="zh-CN"/>
              </w:rPr>
              <w:t>后由磴口县中涵水务有限公司处理</w:t>
            </w:r>
          </w:p>
        </w:tc>
        <w:tc>
          <w:tcPr>
            <w:tcW w:w="1295" w:type="pct"/>
            <w:vAlign w:val="center"/>
          </w:tcPr>
          <w:p w14:paraId="679AB667">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lang w:val="en-US" w:eastAsia="zh-CN"/>
              </w:rPr>
            </w:pPr>
            <w:r>
              <w:rPr>
                <w:rFonts w:hint="eastAsia" w:cs="Times New Roman"/>
                <w:b w:val="0"/>
                <w:bCs w:val="0"/>
                <w:color w:val="auto"/>
                <w:sz w:val="24"/>
                <w:szCs w:val="24"/>
                <w:highlight w:val="none"/>
                <w:lang w:val="en-US" w:eastAsia="zh-CN"/>
              </w:rPr>
              <w:t>/</w:t>
            </w:r>
          </w:p>
        </w:tc>
      </w:tr>
      <w:tr w14:paraId="30AE94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07" w:type="pct"/>
            <w:vAlign w:val="center"/>
          </w:tcPr>
          <w:p w14:paraId="25BB3507">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声环境</w:t>
            </w:r>
          </w:p>
        </w:tc>
        <w:tc>
          <w:tcPr>
            <w:tcW w:w="808" w:type="pct"/>
            <w:vAlign w:val="center"/>
          </w:tcPr>
          <w:p w14:paraId="19EE09CA">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生产设备</w:t>
            </w:r>
          </w:p>
        </w:tc>
        <w:tc>
          <w:tcPr>
            <w:tcW w:w="677" w:type="pct"/>
            <w:vAlign w:val="center"/>
          </w:tcPr>
          <w:p w14:paraId="5BFA3F5B">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噪声</w:t>
            </w:r>
          </w:p>
        </w:tc>
        <w:tc>
          <w:tcPr>
            <w:tcW w:w="1611" w:type="pct"/>
            <w:vAlign w:val="center"/>
          </w:tcPr>
          <w:p w14:paraId="2A5D7002">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选择低噪声设备、基础减振、车间封闭隔声处理</w:t>
            </w:r>
          </w:p>
        </w:tc>
        <w:tc>
          <w:tcPr>
            <w:tcW w:w="1295" w:type="pct"/>
            <w:vAlign w:val="center"/>
          </w:tcPr>
          <w:p w14:paraId="5D9ED06C">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《工业企业厂界环境噪声排放标准》</w:t>
            </w:r>
            <w:r>
              <w:rPr>
                <w:rFonts w:hint="default" w:ascii="Times New Roman" w:hAnsi="Times New Roman" w:eastAsia="宋体" w:cs="Times New Roman"/>
                <w:color w:val="auto"/>
                <w:sz w:val="24"/>
                <w:szCs w:val="24"/>
                <w:highlight w:val="none"/>
                <w:lang w:eastAsia="zh-CN"/>
              </w:rPr>
              <w:t>GB 12348-2008</w:t>
            </w:r>
            <w:r>
              <w:rPr>
                <w:rFonts w:hint="default" w:ascii="Times New Roman" w:hAnsi="Times New Roman" w:eastAsia="宋体" w:cs="Times New Roman"/>
                <w:color w:val="auto"/>
                <w:sz w:val="24"/>
                <w:szCs w:val="24"/>
                <w:highlight w:val="none"/>
                <w:lang w:val="en-US" w:eastAsia="zh-CN"/>
              </w:rPr>
              <w:t>中</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类标准</w:t>
            </w:r>
          </w:p>
        </w:tc>
      </w:tr>
      <w:tr w14:paraId="7769A7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07" w:type="pct"/>
            <w:vMerge w:val="restart"/>
            <w:vAlign w:val="center"/>
          </w:tcPr>
          <w:p w14:paraId="2DA17258">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固体废物</w:t>
            </w:r>
          </w:p>
        </w:tc>
        <w:tc>
          <w:tcPr>
            <w:tcW w:w="808" w:type="pct"/>
            <w:vMerge w:val="restart"/>
            <w:vAlign w:val="center"/>
          </w:tcPr>
          <w:p w14:paraId="25AC723D">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一般固体废物</w:t>
            </w:r>
          </w:p>
        </w:tc>
        <w:tc>
          <w:tcPr>
            <w:tcW w:w="677" w:type="pct"/>
            <w:vAlign w:val="center"/>
          </w:tcPr>
          <w:p w14:paraId="53A0607F">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4"/>
                <w:szCs w:val="24"/>
                <w:highlight w:val="none"/>
                <w:lang w:val="en-US" w:eastAsia="zh-CN"/>
              </w:rPr>
            </w:pPr>
            <w:r>
              <w:rPr>
                <w:rFonts w:hint="eastAsia" w:ascii="Times New Roman" w:cs="Times New Roman"/>
                <w:color w:val="auto"/>
                <w:sz w:val="24"/>
                <w:szCs w:val="24"/>
                <w:highlight w:val="none"/>
                <w:lang w:val="en-US" w:eastAsia="zh-CN"/>
              </w:rPr>
              <w:t>杂质</w:t>
            </w:r>
            <w:r>
              <w:rPr>
                <w:rFonts w:hint="default" w:ascii="Times New Roman" w:hAnsi="Times New Roman" w:eastAsia="宋体" w:cs="Times New Roman"/>
                <w:color w:val="auto"/>
                <w:sz w:val="24"/>
                <w:szCs w:val="24"/>
                <w:highlight w:val="none"/>
                <w:lang w:val="en-US" w:eastAsia="zh-CN"/>
              </w:rPr>
              <w:t>、葵花籽壳</w:t>
            </w:r>
            <w:r>
              <w:rPr>
                <w:rFonts w:hint="eastAsia" w:ascii="Times New Roman" w:cs="Times New Roman"/>
                <w:color w:val="auto"/>
                <w:sz w:val="24"/>
                <w:szCs w:val="24"/>
                <w:highlight w:val="none"/>
                <w:lang w:val="en-US" w:eastAsia="zh-CN"/>
              </w:rPr>
              <w:t>、滤渣</w:t>
            </w:r>
          </w:p>
        </w:tc>
        <w:tc>
          <w:tcPr>
            <w:tcW w:w="1611" w:type="pct"/>
            <w:vAlign w:val="center"/>
          </w:tcPr>
          <w:p w14:paraId="25D815FF">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4"/>
                <w:szCs w:val="24"/>
                <w:highlight w:val="none"/>
                <w:lang w:val="en-US" w:eastAsia="zh-CN"/>
              </w:rPr>
            </w:pPr>
            <w:r>
              <w:rPr>
                <w:rFonts w:hint="eastAsia"/>
                <w:color w:val="auto"/>
                <w:sz w:val="24"/>
                <w:szCs w:val="24"/>
                <w:highlight w:val="none"/>
                <w:lang w:val="en-US" w:eastAsia="zh-CN"/>
              </w:rPr>
              <w:t>袋装送往饲料加工厂商作为饲料制造原料</w:t>
            </w:r>
          </w:p>
        </w:tc>
        <w:tc>
          <w:tcPr>
            <w:tcW w:w="1295" w:type="pct"/>
            <w:vMerge w:val="restart"/>
            <w:vAlign w:val="center"/>
          </w:tcPr>
          <w:p w14:paraId="6DD09ED1">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《一般工业固体废物贮存和填埋污染控制标准》（GB18599-2020）</w:t>
            </w:r>
          </w:p>
        </w:tc>
      </w:tr>
      <w:tr w14:paraId="4CE322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07" w:type="pct"/>
            <w:vMerge w:val="continue"/>
            <w:vAlign w:val="center"/>
          </w:tcPr>
          <w:p w14:paraId="44C50711">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rPr>
            </w:pPr>
          </w:p>
        </w:tc>
        <w:tc>
          <w:tcPr>
            <w:tcW w:w="808" w:type="pct"/>
            <w:vMerge w:val="continue"/>
            <w:vAlign w:val="center"/>
          </w:tcPr>
          <w:p w14:paraId="308DA8C9">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rPr>
            </w:pPr>
          </w:p>
        </w:tc>
        <w:tc>
          <w:tcPr>
            <w:tcW w:w="677" w:type="pct"/>
            <w:vAlign w:val="center"/>
          </w:tcPr>
          <w:p w14:paraId="097124D4">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4"/>
                <w:szCs w:val="24"/>
                <w:highlight w:val="none"/>
                <w:lang w:val="en-US" w:eastAsia="zh-CN"/>
              </w:rPr>
            </w:pPr>
            <w:r>
              <w:rPr>
                <w:rFonts w:hint="eastAsia"/>
                <w:color w:val="auto"/>
                <w:sz w:val="24"/>
                <w:szCs w:val="24"/>
                <w:highlight w:val="none"/>
                <w:lang w:val="en-US" w:eastAsia="zh-CN"/>
              </w:rPr>
              <w:t>废硅藻土</w:t>
            </w:r>
          </w:p>
        </w:tc>
        <w:tc>
          <w:tcPr>
            <w:tcW w:w="1611" w:type="pct"/>
            <w:vAlign w:val="center"/>
          </w:tcPr>
          <w:p w14:paraId="07F8A848">
            <w:pPr>
              <w:pStyle w:val="40"/>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4"/>
                <w:szCs w:val="24"/>
                <w:highlight w:val="none"/>
                <w:lang w:val="en-US" w:eastAsia="zh-CN"/>
              </w:rPr>
            </w:pPr>
            <w:r>
              <w:rPr>
                <w:rFonts w:hint="eastAsia" w:ascii="Times New Roman" w:cs="Times New Roman"/>
                <w:color w:val="auto"/>
                <w:sz w:val="24"/>
                <w:szCs w:val="24"/>
                <w:highlight w:val="none"/>
                <w:lang w:val="en-US" w:eastAsia="zh-CN"/>
              </w:rPr>
              <w:t>由硅藻土供应商定期更换后拉运处理</w:t>
            </w:r>
          </w:p>
        </w:tc>
        <w:tc>
          <w:tcPr>
            <w:tcW w:w="1295" w:type="pct"/>
            <w:vMerge w:val="continue"/>
            <w:vAlign w:val="center"/>
          </w:tcPr>
          <w:p w14:paraId="105576EA">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lang w:val="en-US" w:eastAsia="zh-CN"/>
              </w:rPr>
            </w:pPr>
          </w:p>
        </w:tc>
      </w:tr>
      <w:tr w14:paraId="72353B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07" w:type="pct"/>
            <w:vMerge w:val="continue"/>
            <w:vAlign w:val="center"/>
          </w:tcPr>
          <w:p w14:paraId="74BA15D3">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rPr>
            </w:pPr>
          </w:p>
        </w:tc>
        <w:tc>
          <w:tcPr>
            <w:tcW w:w="808" w:type="pct"/>
            <w:vMerge w:val="continue"/>
            <w:vAlign w:val="center"/>
          </w:tcPr>
          <w:p w14:paraId="647D8141">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rPr>
            </w:pPr>
          </w:p>
        </w:tc>
        <w:tc>
          <w:tcPr>
            <w:tcW w:w="677" w:type="pct"/>
            <w:vAlign w:val="center"/>
          </w:tcPr>
          <w:p w14:paraId="46358722">
            <w:pPr>
              <w:pStyle w:val="40"/>
              <w:keepNext w:val="0"/>
              <w:keepLines w:val="0"/>
              <w:pageBreakBefore w:val="0"/>
              <w:widowControl w:val="0"/>
              <w:kinsoku/>
              <w:wordWrap/>
              <w:overflowPunct/>
              <w:topLinePunct w:val="0"/>
              <w:bidi w:val="0"/>
              <w:snapToGrid/>
              <w:spacing w:line="240" w:lineRule="auto"/>
              <w:jc w:val="center"/>
              <w:rPr>
                <w:rFonts w:hint="default"/>
                <w:color w:val="auto"/>
                <w:sz w:val="24"/>
                <w:szCs w:val="24"/>
                <w:highlight w:val="none"/>
                <w:lang w:val="en-US" w:eastAsia="zh-CN"/>
              </w:rPr>
            </w:pPr>
            <w:r>
              <w:rPr>
                <w:rFonts w:hint="eastAsia"/>
                <w:color w:val="auto"/>
                <w:sz w:val="24"/>
                <w:szCs w:val="24"/>
                <w:highlight w:val="none"/>
                <w:lang w:val="en-US" w:eastAsia="zh-CN"/>
              </w:rPr>
              <w:t>废饼粉</w:t>
            </w:r>
          </w:p>
        </w:tc>
        <w:tc>
          <w:tcPr>
            <w:tcW w:w="1611" w:type="pct"/>
            <w:vAlign w:val="center"/>
          </w:tcPr>
          <w:p w14:paraId="41D48FB4">
            <w:pPr>
              <w:pStyle w:val="40"/>
              <w:keepNext w:val="0"/>
              <w:keepLines w:val="0"/>
              <w:pageBreakBefore w:val="0"/>
              <w:widowControl w:val="0"/>
              <w:kinsoku/>
              <w:wordWrap/>
              <w:overflowPunct/>
              <w:topLinePunct w:val="0"/>
              <w:bidi w:val="0"/>
              <w:snapToGrid/>
              <w:spacing w:line="240" w:lineRule="auto"/>
              <w:jc w:val="center"/>
              <w:rPr>
                <w:rFonts w:hint="eastAsia" w:ascii="Times New Roman" w:cs="Times New Roman"/>
                <w:color w:val="auto"/>
                <w:sz w:val="24"/>
                <w:szCs w:val="24"/>
                <w:highlight w:val="none"/>
                <w:lang w:val="en-US" w:eastAsia="zh-CN"/>
              </w:rPr>
            </w:pPr>
            <w:r>
              <w:rPr>
                <w:rFonts w:hint="eastAsia" w:ascii="Times New Roman" w:cs="Times New Roman"/>
                <w:color w:val="auto"/>
                <w:sz w:val="24"/>
                <w:szCs w:val="24"/>
                <w:highlight w:val="none"/>
                <w:lang w:val="en-US" w:eastAsia="zh-CN"/>
              </w:rPr>
              <w:t>由供应商定期更换后拉运处理</w:t>
            </w:r>
          </w:p>
        </w:tc>
        <w:tc>
          <w:tcPr>
            <w:tcW w:w="1295" w:type="pct"/>
            <w:vMerge w:val="continue"/>
            <w:vAlign w:val="center"/>
          </w:tcPr>
          <w:p w14:paraId="34AA88D0">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lang w:val="en-US" w:eastAsia="zh-CN"/>
              </w:rPr>
            </w:pPr>
          </w:p>
        </w:tc>
      </w:tr>
      <w:tr w14:paraId="3D6D52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07" w:type="pct"/>
            <w:vMerge w:val="continue"/>
            <w:vAlign w:val="center"/>
          </w:tcPr>
          <w:p w14:paraId="12AA6104">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rPr>
            </w:pPr>
          </w:p>
        </w:tc>
        <w:tc>
          <w:tcPr>
            <w:tcW w:w="808" w:type="pct"/>
            <w:vMerge w:val="continue"/>
            <w:vAlign w:val="center"/>
          </w:tcPr>
          <w:p w14:paraId="308052C1">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rPr>
            </w:pPr>
          </w:p>
        </w:tc>
        <w:tc>
          <w:tcPr>
            <w:tcW w:w="677" w:type="pct"/>
            <w:vAlign w:val="center"/>
          </w:tcPr>
          <w:p w14:paraId="643E91C1">
            <w:pPr>
              <w:pStyle w:val="40"/>
              <w:keepNext w:val="0"/>
              <w:keepLines w:val="0"/>
              <w:pageBreakBefore w:val="0"/>
              <w:widowControl w:val="0"/>
              <w:kinsoku/>
              <w:wordWrap/>
              <w:overflowPunct/>
              <w:topLinePunct w:val="0"/>
              <w:bidi w:val="0"/>
              <w:snapToGrid/>
              <w:spacing w:line="240" w:lineRule="auto"/>
              <w:jc w:val="center"/>
              <w:rPr>
                <w:rFonts w:hint="default"/>
                <w:color w:val="auto"/>
                <w:sz w:val="24"/>
                <w:szCs w:val="24"/>
                <w:highlight w:val="none"/>
                <w:lang w:val="en-US" w:eastAsia="zh-CN"/>
              </w:rPr>
            </w:pPr>
            <w:r>
              <w:rPr>
                <w:rFonts w:hint="eastAsia"/>
                <w:color w:val="auto"/>
                <w:sz w:val="24"/>
                <w:szCs w:val="24"/>
                <w:highlight w:val="none"/>
                <w:lang w:val="en-US" w:eastAsia="zh-CN"/>
              </w:rPr>
              <w:t>报废油</w:t>
            </w:r>
          </w:p>
        </w:tc>
        <w:tc>
          <w:tcPr>
            <w:tcW w:w="1611" w:type="pct"/>
            <w:vAlign w:val="center"/>
          </w:tcPr>
          <w:p w14:paraId="2346EAE4">
            <w:pPr>
              <w:pStyle w:val="40"/>
              <w:keepNext w:val="0"/>
              <w:keepLines w:val="0"/>
              <w:pageBreakBefore w:val="0"/>
              <w:widowControl w:val="0"/>
              <w:kinsoku/>
              <w:wordWrap/>
              <w:overflowPunct/>
              <w:topLinePunct w:val="0"/>
              <w:bidi w:val="0"/>
              <w:snapToGrid/>
              <w:spacing w:line="240" w:lineRule="auto"/>
              <w:jc w:val="center"/>
              <w:rPr>
                <w:rFonts w:hint="eastAsia" w:ascii="Times New Roman"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利用油泵及管道将废油输送至吨桶，暂存至一般固废间送往饲料加工厂商作为饲料制造原料</w:t>
            </w:r>
          </w:p>
        </w:tc>
        <w:tc>
          <w:tcPr>
            <w:tcW w:w="1295" w:type="pct"/>
            <w:vMerge w:val="continue"/>
            <w:vAlign w:val="center"/>
          </w:tcPr>
          <w:p w14:paraId="7BC6953A">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lang w:val="en-US" w:eastAsia="zh-CN"/>
              </w:rPr>
            </w:pPr>
          </w:p>
        </w:tc>
      </w:tr>
      <w:tr w14:paraId="1386A2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607" w:type="pct"/>
            <w:vMerge w:val="continue"/>
            <w:vAlign w:val="center"/>
          </w:tcPr>
          <w:p w14:paraId="3F5AEB96">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rPr>
            </w:pPr>
          </w:p>
        </w:tc>
        <w:tc>
          <w:tcPr>
            <w:tcW w:w="808" w:type="pct"/>
            <w:vMerge w:val="restart"/>
            <w:vAlign w:val="center"/>
          </w:tcPr>
          <w:p w14:paraId="702316DB">
            <w:pPr>
              <w:keepNext w:val="0"/>
              <w:keepLines w:val="0"/>
              <w:pageBreakBefore w:val="0"/>
              <w:kinsoku/>
              <w:wordWrap/>
              <w:overflowPunct/>
              <w:topLinePunct w:val="0"/>
              <w:bidi w:val="0"/>
              <w:spacing w:line="240" w:lineRule="auto"/>
              <w:jc w:val="center"/>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危险废物</w:t>
            </w:r>
          </w:p>
        </w:tc>
        <w:tc>
          <w:tcPr>
            <w:tcW w:w="677" w:type="pct"/>
            <w:vAlign w:val="center"/>
          </w:tcPr>
          <w:p w14:paraId="6B2C7720">
            <w:pPr>
              <w:pStyle w:val="40"/>
              <w:keepNext w:val="0"/>
              <w:keepLines w:val="0"/>
              <w:pageBreakBefore w:val="0"/>
              <w:widowControl w:val="0"/>
              <w:kinsoku/>
              <w:wordWrap/>
              <w:overflowPunct/>
              <w:topLinePunct w:val="0"/>
              <w:bidi w:val="0"/>
              <w:snapToGrid/>
              <w:spacing w:line="240" w:lineRule="auto"/>
              <w:jc w:val="center"/>
              <w:rPr>
                <w:rFonts w:hint="eastAsia"/>
                <w:color w:val="auto"/>
                <w:sz w:val="24"/>
                <w:szCs w:val="24"/>
                <w:highlight w:val="none"/>
                <w:lang w:val="en-US" w:eastAsia="zh-CN"/>
              </w:rPr>
            </w:pPr>
            <w:r>
              <w:rPr>
                <w:rFonts w:hint="eastAsia" w:ascii="Times New Roman" w:cs="Times New Roman"/>
                <w:color w:val="auto"/>
                <w:sz w:val="24"/>
                <w:szCs w:val="24"/>
                <w:highlight w:val="none"/>
                <w:lang w:val="en-US" w:eastAsia="zh-CN"/>
              </w:rPr>
              <w:t>废导热油</w:t>
            </w:r>
          </w:p>
        </w:tc>
        <w:tc>
          <w:tcPr>
            <w:tcW w:w="1611" w:type="pct"/>
            <w:vAlign w:val="center"/>
          </w:tcPr>
          <w:p w14:paraId="15B23F93">
            <w:pPr>
              <w:pStyle w:val="40"/>
              <w:keepNext w:val="0"/>
              <w:keepLines w:val="0"/>
              <w:pageBreakBefore w:val="0"/>
              <w:widowControl w:val="0"/>
              <w:kinsoku/>
              <w:wordWrap/>
              <w:overflowPunct/>
              <w:topLinePunct w:val="0"/>
              <w:bidi w:val="0"/>
              <w:snapToGrid/>
              <w:spacing w:line="240" w:lineRule="auto"/>
              <w:jc w:val="center"/>
              <w:rPr>
                <w:rFonts w:hint="eastAsia" w:ascii="Times New Roman" w:cs="Times New Roman"/>
                <w:color w:val="auto"/>
                <w:sz w:val="24"/>
                <w:szCs w:val="24"/>
                <w:highlight w:val="none"/>
                <w:lang w:val="en-US" w:eastAsia="zh-CN"/>
              </w:rPr>
            </w:pPr>
            <w:r>
              <w:rPr>
                <w:rFonts w:hint="eastAsia" w:cs="Times New Roman"/>
                <w:b w:val="0"/>
                <w:bCs/>
                <w:color w:val="auto"/>
                <w:sz w:val="24"/>
                <w:szCs w:val="24"/>
                <w:highlight w:val="none"/>
                <w:vertAlign w:val="baseline"/>
                <w:lang w:val="en-US" w:eastAsia="zh-CN"/>
              </w:rPr>
              <w:t>根据市场监督管理局特种设备监督检验所的检验结果（酸值、粘度、闪点等指标）决定，如有更换桶装暂存至厂区现有危废间送有资质单位处置</w:t>
            </w:r>
          </w:p>
        </w:tc>
        <w:tc>
          <w:tcPr>
            <w:tcW w:w="1295" w:type="pct"/>
            <w:vMerge w:val="restart"/>
            <w:vAlign w:val="center"/>
          </w:tcPr>
          <w:p w14:paraId="68726373">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1"/>
                <w:highlight w:val="none"/>
                <w:lang w:val="en-US" w:eastAsia="zh-CN"/>
              </w:rPr>
              <w:t>《危险废物贮存污染控制标准》（GB18597-2023）</w:t>
            </w:r>
          </w:p>
        </w:tc>
      </w:tr>
      <w:tr w14:paraId="2D7C02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607" w:type="pct"/>
            <w:vMerge w:val="continue"/>
            <w:vAlign w:val="center"/>
          </w:tcPr>
          <w:p w14:paraId="11708B7A">
            <w:pPr>
              <w:pStyle w:val="40"/>
              <w:keepNext w:val="0"/>
              <w:keepLines w:val="0"/>
              <w:pageBreakBefore w:val="0"/>
              <w:widowControl w:val="0"/>
              <w:kinsoku/>
              <w:wordWrap/>
              <w:overflowPunct/>
              <w:topLinePunct w:val="0"/>
              <w:bidi w:val="0"/>
              <w:snapToGrid/>
              <w:spacing w:line="240" w:lineRule="auto"/>
              <w:jc w:val="center"/>
              <w:rPr>
                <w:color w:val="auto"/>
                <w:highlight w:val="none"/>
              </w:rPr>
            </w:pPr>
          </w:p>
        </w:tc>
        <w:tc>
          <w:tcPr>
            <w:tcW w:w="808" w:type="pct"/>
            <w:vMerge w:val="continue"/>
            <w:vAlign w:val="center"/>
          </w:tcPr>
          <w:p w14:paraId="48872D3E">
            <w:pPr>
              <w:pStyle w:val="40"/>
              <w:keepNext w:val="0"/>
              <w:keepLines w:val="0"/>
              <w:pageBreakBefore w:val="0"/>
              <w:widowControl w:val="0"/>
              <w:kinsoku/>
              <w:wordWrap/>
              <w:overflowPunct/>
              <w:topLinePunct w:val="0"/>
              <w:bidi w:val="0"/>
              <w:snapToGrid/>
              <w:spacing w:line="240" w:lineRule="auto"/>
              <w:jc w:val="center"/>
              <w:rPr>
                <w:color w:val="auto"/>
                <w:highlight w:val="none"/>
              </w:rPr>
            </w:pPr>
          </w:p>
        </w:tc>
        <w:tc>
          <w:tcPr>
            <w:tcW w:w="677" w:type="pct"/>
            <w:vAlign w:val="center"/>
          </w:tcPr>
          <w:p w14:paraId="46B4A520">
            <w:pPr>
              <w:pStyle w:val="40"/>
              <w:keepNext w:val="0"/>
              <w:keepLines w:val="0"/>
              <w:pageBreakBefore w:val="0"/>
              <w:widowControl w:val="0"/>
              <w:kinsoku/>
              <w:wordWrap/>
              <w:overflowPunct/>
              <w:topLinePunct w:val="0"/>
              <w:bidi w:val="0"/>
              <w:snapToGrid/>
              <w:spacing w:line="240" w:lineRule="auto"/>
              <w:jc w:val="center"/>
              <w:rPr>
                <w:rFonts w:hint="eastAsia" w:ascii="Times New Roman" w:cs="Times New Roman"/>
                <w:color w:val="auto"/>
                <w:sz w:val="24"/>
                <w:szCs w:val="24"/>
                <w:highlight w:val="none"/>
                <w:lang w:val="en-US" w:eastAsia="zh-CN"/>
              </w:rPr>
            </w:pPr>
            <w:r>
              <w:rPr>
                <w:rFonts w:hint="eastAsia" w:ascii="Times New Roman" w:cs="Times New Roman"/>
                <w:color w:val="auto"/>
                <w:sz w:val="24"/>
                <w:szCs w:val="24"/>
                <w:highlight w:val="none"/>
                <w:lang w:val="en-US" w:eastAsia="zh-CN"/>
              </w:rPr>
              <w:t>废润滑油</w:t>
            </w:r>
          </w:p>
        </w:tc>
        <w:tc>
          <w:tcPr>
            <w:tcW w:w="1611" w:type="pct"/>
            <w:vAlign w:val="center"/>
          </w:tcPr>
          <w:p w14:paraId="5601DD26">
            <w:pPr>
              <w:pStyle w:val="40"/>
              <w:keepNext w:val="0"/>
              <w:keepLines w:val="0"/>
              <w:pageBreakBefore w:val="0"/>
              <w:widowControl w:val="0"/>
              <w:kinsoku/>
              <w:wordWrap/>
              <w:overflowPunct/>
              <w:topLinePunct w:val="0"/>
              <w:bidi w:val="0"/>
              <w:snapToGrid/>
              <w:spacing w:line="240" w:lineRule="auto"/>
              <w:jc w:val="center"/>
              <w:rPr>
                <w:rFonts w:hint="eastAsia" w:ascii="Times New Roman" w:cs="Times New Roman"/>
                <w:color w:val="auto"/>
                <w:sz w:val="24"/>
                <w:szCs w:val="24"/>
                <w:highlight w:val="none"/>
                <w:lang w:val="en-US" w:eastAsia="zh-CN"/>
              </w:rPr>
            </w:pPr>
            <w:r>
              <w:rPr>
                <w:rFonts w:hint="eastAsia" w:ascii="Times New Roman" w:cs="Times New Roman"/>
                <w:color w:val="auto"/>
                <w:sz w:val="24"/>
                <w:szCs w:val="24"/>
                <w:highlight w:val="none"/>
                <w:lang w:val="en-US" w:eastAsia="zh-CN"/>
              </w:rPr>
              <w:t>修理替换后的废润滑油桶装暂存至厂区现有危废间送有资质单位处置</w:t>
            </w:r>
          </w:p>
        </w:tc>
        <w:tc>
          <w:tcPr>
            <w:tcW w:w="1295" w:type="pct"/>
            <w:vMerge w:val="continue"/>
            <w:vAlign w:val="center"/>
          </w:tcPr>
          <w:p w14:paraId="2755E2C5">
            <w:pPr>
              <w:pStyle w:val="40"/>
              <w:keepNext w:val="0"/>
              <w:keepLines w:val="0"/>
              <w:pageBreakBefore w:val="0"/>
              <w:widowControl w:val="0"/>
              <w:kinsoku/>
              <w:wordWrap/>
              <w:overflowPunct/>
              <w:topLinePunct w:val="0"/>
              <w:bidi w:val="0"/>
              <w:snapToGrid/>
              <w:spacing w:line="240" w:lineRule="auto"/>
              <w:jc w:val="center"/>
              <w:rPr>
                <w:rFonts w:hint="eastAsia" w:ascii="Times New Roman" w:cs="Times New Roman"/>
                <w:color w:val="auto"/>
                <w:sz w:val="24"/>
                <w:szCs w:val="24"/>
                <w:highlight w:val="none"/>
                <w:lang w:val="en-US" w:eastAsia="zh-CN"/>
              </w:rPr>
            </w:pPr>
          </w:p>
        </w:tc>
      </w:tr>
      <w:tr w14:paraId="5C93F3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2" w:hRule="atLeast"/>
          <w:jc w:val="center"/>
        </w:trPr>
        <w:tc>
          <w:tcPr>
            <w:tcW w:w="607" w:type="pct"/>
            <w:vAlign w:val="center"/>
          </w:tcPr>
          <w:p w14:paraId="0B064DD5">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土壤及地下水污染防治措施</w:t>
            </w:r>
          </w:p>
        </w:tc>
        <w:tc>
          <w:tcPr>
            <w:tcW w:w="4392" w:type="pct"/>
            <w:gridSpan w:val="4"/>
            <w:vAlign w:val="center"/>
          </w:tcPr>
          <w:p w14:paraId="5B595A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 w:val="24"/>
                <w:szCs w:val="24"/>
                <w:highlight w:val="none"/>
              </w:rPr>
              <w:t>生产车间</w:t>
            </w:r>
            <w:r>
              <w:rPr>
                <w:rFonts w:hint="default" w:ascii="Times New Roman" w:hAnsi="Times New Roman" w:eastAsia="宋体" w:cs="Times New Roman"/>
                <w:color w:val="auto"/>
                <w:sz w:val="24"/>
                <w:szCs w:val="24"/>
                <w:highlight w:val="none"/>
                <w:lang w:val="en-US" w:eastAsia="zh-CN"/>
              </w:rPr>
              <w:t>地面</w:t>
            </w:r>
            <w:r>
              <w:rPr>
                <w:rFonts w:hint="eastAsia" w:cs="Times New Roman"/>
                <w:color w:val="auto"/>
                <w:sz w:val="24"/>
                <w:szCs w:val="24"/>
                <w:highlight w:val="none"/>
                <w:lang w:val="en-US" w:eastAsia="zh-CN"/>
              </w:rPr>
              <w:t>做有效的防渗措施</w:t>
            </w:r>
          </w:p>
        </w:tc>
      </w:tr>
      <w:tr w14:paraId="415521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607" w:type="pct"/>
            <w:vAlign w:val="center"/>
          </w:tcPr>
          <w:p w14:paraId="28E051A3">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电磁辐射</w:t>
            </w:r>
          </w:p>
        </w:tc>
        <w:tc>
          <w:tcPr>
            <w:tcW w:w="4392" w:type="pct"/>
            <w:gridSpan w:val="4"/>
            <w:vAlign w:val="center"/>
          </w:tcPr>
          <w:p w14:paraId="7B58CE67">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无</w:t>
            </w:r>
          </w:p>
        </w:tc>
      </w:tr>
      <w:tr w14:paraId="6CB410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07" w:type="pct"/>
            <w:vAlign w:val="center"/>
          </w:tcPr>
          <w:p w14:paraId="32EC35A4">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生态保护措施</w:t>
            </w:r>
          </w:p>
        </w:tc>
        <w:tc>
          <w:tcPr>
            <w:tcW w:w="4392" w:type="pct"/>
            <w:gridSpan w:val="4"/>
            <w:vAlign w:val="center"/>
          </w:tcPr>
          <w:p w14:paraId="2AD29BE9">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无</w:t>
            </w:r>
          </w:p>
        </w:tc>
      </w:tr>
      <w:tr w14:paraId="0037B4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607" w:type="pct"/>
            <w:vAlign w:val="center"/>
          </w:tcPr>
          <w:p w14:paraId="52E952E4">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8"/>
                <w:sz w:val="24"/>
                <w:szCs w:val="24"/>
                <w:highlight w:val="none"/>
              </w:rPr>
              <w:t>环境风险防范措施</w:t>
            </w:r>
          </w:p>
        </w:tc>
        <w:tc>
          <w:tcPr>
            <w:tcW w:w="4392" w:type="pct"/>
            <w:gridSpan w:val="4"/>
            <w:vAlign w:val="center"/>
          </w:tcPr>
          <w:p w14:paraId="43613C32">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z w:val="24"/>
                <w:szCs w:val="24"/>
                <w:highlight w:val="none"/>
                <w:lang w:val="en-US"/>
              </w:rPr>
            </w:pPr>
            <w:r>
              <w:rPr>
                <w:rFonts w:hint="eastAsia" w:cs="Times New Roman"/>
                <w:color w:val="auto"/>
                <w:sz w:val="24"/>
                <w:szCs w:val="24"/>
                <w:highlight w:val="none"/>
                <w:lang w:val="en-US" w:eastAsia="zh-CN"/>
              </w:rPr>
              <w:t>项目建成后对现有应急预案进行更新</w:t>
            </w:r>
          </w:p>
        </w:tc>
      </w:tr>
      <w:tr w14:paraId="26A245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607" w:type="pct"/>
            <w:vAlign w:val="center"/>
          </w:tcPr>
          <w:p w14:paraId="741A47F3">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color w:val="auto"/>
                <w:spacing w:val="-8"/>
                <w:sz w:val="24"/>
                <w:szCs w:val="24"/>
                <w:highlight w:val="none"/>
              </w:rPr>
            </w:pPr>
            <w:r>
              <w:rPr>
                <w:rFonts w:hint="default" w:ascii="Times New Roman" w:hAnsi="Times New Roman" w:eastAsia="宋体" w:cs="Times New Roman"/>
                <w:color w:val="auto"/>
                <w:spacing w:val="-8"/>
                <w:sz w:val="24"/>
                <w:szCs w:val="24"/>
                <w:highlight w:val="none"/>
              </w:rPr>
              <w:t>其他环境管理要求</w:t>
            </w:r>
          </w:p>
        </w:tc>
        <w:tc>
          <w:tcPr>
            <w:tcW w:w="4392" w:type="pct"/>
            <w:gridSpan w:val="4"/>
            <w:vAlign w:val="center"/>
          </w:tcPr>
          <w:p w14:paraId="3A9AD009">
            <w:pPr>
              <w:keepNext w:val="0"/>
              <w:keepLines w:val="0"/>
              <w:pageBreakBefore w:val="0"/>
              <w:kinsoku/>
              <w:wordWrap/>
              <w:overflowPunct/>
              <w:topLinePunct w:val="0"/>
              <w:bidi w:val="0"/>
              <w:adjustRightInd w:val="0"/>
              <w:snapToGrid w:val="0"/>
              <w:spacing w:line="240" w:lineRule="auto"/>
              <w:jc w:val="center"/>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无</w:t>
            </w:r>
          </w:p>
        </w:tc>
      </w:tr>
    </w:tbl>
    <w:p w14:paraId="3A5F6151">
      <w:pPr>
        <w:pStyle w:val="20"/>
        <w:jc w:val="center"/>
        <w:outlineLvl w:val="0"/>
        <w:rPr>
          <w:rFonts w:hint="eastAsia" w:ascii="宋体" w:hAnsi="宋体" w:eastAsia="宋体" w:cs="宋体"/>
          <w:snapToGrid w:val="0"/>
          <w:color w:val="auto"/>
          <w:sz w:val="30"/>
          <w:szCs w:val="30"/>
          <w:highlight w:val="none"/>
        </w:rPr>
      </w:pPr>
      <w:r>
        <w:rPr>
          <w:rFonts w:hint="eastAsia" w:ascii="宋体" w:hAnsi="宋体" w:eastAsia="宋体" w:cs="宋体"/>
          <w:snapToGrid w:val="0"/>
          <w:color w:val="auto"/>
          <w:highlight w:val="none"/>
        </w:rPr>
        <w:br w:type="page"/>
      </w:r>
      <w:r>
        <w:rPr>
          <w:rFonts w:hint="eastAsia" w:ascii="宋体" w:hAnsi="宋体" w:eastAsia="宋体" w:cs="宋体"/>
          <w:b/>
          <w:bCs/>
          <w:snapToGrid w:val="0"/>
          <w:color w:val="auto"/>
          <w:sz w:val="30"/>
          <w:szCs w:val="30"/>
          <w:highlight w:val="none"/>
        </w:rPr>
        <w:t>六、结论</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44CC30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vAlign w:val="center"/>
          </w:tcPr>
          <w:p w14:paraId="78252A14">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本项目符合产业政策，选址合理，环保措施可行，废气、废水、固体废物得到有效治理，噪声低于国家相关标准限值，本项目应严格执行</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三同时</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制度，在运营期应按照设计要求及本评价提出防治措施控制污染排放，从环保角度分析，该项目的建设是可行的。</w:t>
            </w:r>
          </w:p>
        </w:tc>
      </w:tr>
    </w:tbl>
    <w:p w14:paraId="2FC0F101">
      <w:pPr>
        <w:rPr>
          <w:rFonts w:hint="eastAsia" w:ascii="宋体" w:hAnsi="宋体" w:eastAsia="宋体" w:cs="宋体"/>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21A92E0">
      <w:pPr>
        <w:pStyle w:val="20"/>
        <w:keepNext w:val="0"/>
        <w:keepLines w:val="0"/>
        <w:pageBreakBefore w:val="0"/>
        <w:kinsoku/>
        <w:wordWrap/>
        <w:overflowPunct/>
        <w:topLinePunct w:val="0"/>
        <w:autoSpaceDE/>
        <w:autoSpaceDN/>
        <w:bidi w:val="0"/>
        <w:adjustRightInd w:val="0"/>
        <w:snapToGrid w:val="0"/>
        <w:spacing w:before="0" w:beforeAutospacing="0" w:after="0" w:afterAutospacing="0"/>
        <w:textAlignment w:val="auto"/>
        <w:outlineLvl w:val="0"/>
        <w:rPr>
          <w:rFonts w:hint="default" w:ascii="Times New Roman" w:hAnsi="Times New Roman" w:eastAsia="宋体" w:cs="Times New Roman"/>
          <w:snapToGrid w:val="0"/>
          <w:color w:val="auto"/>
          <w:sz w:val="32"/>
          <w:szCs w:val="32"/>
          <w:highlight w:val="none"/>
        </w:rPr>
      </w:pPr>
      <w:r>
        <w:rPr>
          <w:rFonts w:hint="eastAsia" w:ascii="宋体" w:hAnsi="宋体" w:eastAsia="宋体" w:cs="宋体"/>
          <w:snapToGrid w:val="0"/>
          <w:color w:val="auto"/>
          <w:sz w:val="32"/>
          <w:szCs w:val="32"/>
          <w:highlight w:val="none"/>
        </w:rPr>
        <w:t>附表</w:t>
      </w:r>
    </w:p>
    <w:p w14:paraId="4081584B">
      <w:pPr>
        <w:keepNext w:val="0"/>
        <w:keepLines w:val="0"/>
        <w:pageBreakBefore w:val="0"/>
        <w:kinsoku/>
        <w:wordWrap/>
        <w:overflowPunct/>
        <w:topLinePunct w:val="0"/>
        <w:autoSpaceDE/>
        <w:autoSpaceDN/>
        <w:bidi w:val="0"/>
        <w:jc w:val="center"/>
        <w:textAlignment w:val="auto"/>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建设项目污染物排放量汇总表</w:t>
      </w:r>
    </w:p>
    <w:tbl>
      <w:tblPr>
        <w:tblStyle w:val="21"/>
        <w:tblW w:w="502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1638"/>
        <w:gridCol w:w="1716"/>
        <w:gridCol w:w="1288"/>
        <w:gridCol w:w="1716"/>
        <w:gridCol w:w="1569"/>
        <w:gridCol w:w="1777"/>
        <w:gridCol w:w="1513"/>
        <w:gridCol w:w="1291"/>
      </w:tblGrid>
      <w:tr w14:paraId="3885B2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5" w:hRule="atLeast"/>
          <w:jc w:val="center"/>
        </w:trPr>
        <w:tc>
          <w:tcPr>
            <w:tcW w:w="499" w:type="pct"/>
            <w:tcBorders>
              <w:tl2br w:val="single" w:color="auto" w:sz="4" w:space="0"/>
            </w:tcBorders>
            <w:tcMar>
              <w:left w:w="28" w:type="dxa"/>
              <w:right w:w="28" w:type="dxa"/>
            </w:tcMar>
            <w:vAlign w:val="center"/>
          </w:tcPr>
          <w:p w14:paraId="3D250293">
            <w:pPr>
              <w:pStyle w:val="41"/>
              <w:keepNext w:val="0"/>
              <w:keepLines w:val="0"/>
              <w:pageBreakBefore w:val="0"/>
              <w:widowControl w:val="0"/>
              <w:kinsoku/>
              <w:wordWrap/>
              <w:overflowPunct/>
              <w:topLinePunct w:val="0"/>
              <w:autoSpaceDE/>
              <w:autoSpaceDN/>
              <w:bidi w:val="0"/>
              <w:snapToGrid w:val="0"/>
              <w:spacing w:beforeLines="0" w:afterLines="0" w:line="240" w:lineRule="atLeast"/>
              <w:jc w:val="righ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项目</w:t>
            </w:r>
          </w:p>
          <w:p w14:paraId="4FE08643">
            <w:pPr>
              <w:pStyle w:val="41"/>
              <w:keepNext w:val="0"/>
              <w:keepLines w:val="0"/>
              <w:pageBreakBefore w:val="0"/>
              <w:widowControl w:val="0"/>
              <w:kinsoku/>
              <w:wordWrap/>
              <w:overflowPunct/>
              <w:topLinePunct w:val="0"/>
              <w:autoSpaceDE/>
              <w:autoSpaceDN/>
              <w:bidi w:val="0"/>
              <w:snapToGrid w:val="0"/>
              <w:spacing w:beforeLines="0" w:afterLines="0" w:line="240" w:lineRule="atLeast"/>
              <w:jc w:val="lef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分类</w:t>
            </w:r>
          </w:p>
        </w:tc>
        <w:tc>
          <w:tcPr>
            <w:tcW w:w="589" w:type="pct"/>
            <w:tcMar>
              <w:left w:w="28" w:type="dxa"/>
              <w:right w:w="28" w:type="dxa"/>
            </w:tcMar>
            <w:vAlign w:val="center"/>
          </w:tcPr>
          <w:p w14:paraId="738B8F67">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污染物名称</w:t>
            </w:r>
          </w:p>
        </w:tc>
        <w:tc>
          <w:tcPr>
            <w:tcW w:w="617" w:type="pct"/>
            <w:tcMar>
              <w:left w:w="28" w:type="dxa"/>
              <w:right w:w="28" w:type="dxa"/>
            </w:tcMar>
            <w:vAlign w:val="center"/>
          </w:tcPr>
          <w:p w14:paraId="4C09652B">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现有工程</w:t>
            </w:r>
          </w:p>
          <w:p w14:paraId="1F7AFB1D">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①</w:t>
            </w:r>
            <w:r>
              <w:rPr>
                <w:rFonts w:hint="default" w:ascii="Times New Roman" w:hAnsi="Times New Roman" w:eastAsia="宋体" w:cs="Times New Roman"/>
                <w:snapToGrid w:val="0"/>
                <w:color w:val="auto"/>
                <w:spacing w:val="-6"/>
                <w:kern w:val="21"/>
                <w:sz w:val="21"/>
                <w:szCs w:val="21"/>
                <w:highlight w:val="none"/>
              </w:rPr>
              <w:fldChar w:fldCharType="end"/>
            </w:r>
          </w:p>
        </w:tc>
        <w:tc>
          <w:tcPr>
            <w:tcW w:w="463" w:type="pct"/>
            <w:tcMar>
              <w:left w:w="28" w:type="dxa"/>
              <w:right w:w="28" w:type="dxa"/>
            </w:tcMar>
            <w:vAlign w:val="center"/>
          </w:tcPr>
          <w:p w14:paraId="4C004EDE">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现有工程</w:t>
            </w:r>
          </w:p>
          <w:p w14:paraId="42DE717E">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许可排放量</w:t>
            </w:r>
          </w:p>
          <w:p w14:paraId="6AB4B641">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2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snapToGrid w:val="0"/>
                <w:color w:val="auto"/>
                <w:spacing w:val="-6"/>
                <w:kern w:val="21"/>
                <w:sz w:val="21"/>
                <w:szCs w:val="21"/>
                <w:highlight w:val="none"/>
              </w:rPr>
              <w:t>②</w:t>
            </w:r>
            <w:r>
              <w:rPr>
                <w:rFonts w:hint="default" w:ascii="Times New Roman" w:hAnsi="Times New Roman" w:eastAsia="宋体" w:cs="Times New Roman"/>
                <w:snapToGrid w:val="0"/>
                <w:color w:val="auto"/>
                <w:spacing w:val="-6"/>
                <w:kern w:val="21"/>
                <w:sz w:val="21"/>
                <w:szCs w:val="21"/>
                <w:highlight w:val="none"/>
              </w:rPr>
              <w:fldChar w:fldCharType="end"/>
            </w:r>
          </w:p>
        </w:tc>
        <w:tc>
          <w:tcPr>
            <w:tcW w:w="617" w:type="pct"/>
            <w:tcMar>
              <w:left w:w="28" w:type="dxa"/>
              <w:right w:w="28" w:type="dxa"/>
            </w:tcMar>
            <w:vAlign w:val="center"/>
          </w:tcPr>
          <w:p w14:paraId="31C0C065">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在建工程</w:t>
            </w:r>
          </w:p>
          <w:p w14:paraId="4AA1A1EE">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③</w:t>
            </w:r>
            <w:r>
              <w:rPr>
                <w:rFonts w:hint="default" w:ascii="Times New Roman" w:hAnsi="Times New Roman" w:eastAsia="宋体" w:cs="Times New Roman"/>
                <w:snapToGrid w:val="0"/>
                <w:color w:val="auto"/>
                <w:spacing w:val="-6"/>
                <w:kern w:val="21"/>
                <w:sz w:val="21"/>
                <w:szCs w:val="21"/>
                <w:highlight w:val="none"/>
              </w:rPr>
              <w:fldChar w:fldCharType="end"/>
            </w:r>
          </w:p>
        </w:tc>
        <w:tc>
          <w:tcPr>
            <w:tcW w:w="564" w:type="pct"/>
            <w:tcMar>
              <w:left w:w="28" w:type="dxa"/>
              <w:right w:w="28" w:type="dxa"/>
            </w:tcMar>
            <w:vAlign w:val="center"/>
          </w:tcPr>
          <w:p w14:paraId="35CE0CFD">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本项目</w:t>
            </w:r>
          </w:p>
          <w:p w14:paraId="3CD52478">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④</w:t>
            </w:r>
            <w:r>
              <w:rPr>
                <w:rFonts w:hint="default" w:ascii="Times New Roman" w:hAnsi="Times New Roman" w:eastAsia="宋体" w:cs="Times New Roman"/>
                <w:snapToGrid w:val="0"/>
                <w:color w:val="auto"/>
                <w:spacing w:val="-6"/>
                <w:kern w:val="21"/>
                <w:sz w:val="21"/>
                <w:szCs w:val="21"/>
                <w:highlight w:val="none"/>
              </w:rPr>
              <w:fldChar w:fldCharType="end"/>
            </w:r>
          </w:p>
        </w:tc>
        <w:tc>
          <w:tcPr>
            <w:tcW w:w="639" w:type="pct"/>
            <w:tcMar>
              <w:left w:w="28" w:type="dxa"/>
              <w:right w:w="28" w:type="dxa"/>
            </w:tcMar>
            <w:vAlign w:val="center"/>
          </w:tcPr>
          <w:p w14:paraId="57E4F246">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以新带老削减量</w:t>
            </w:r>
          </w:p>
          <w:p w14:paraId="052F49BD">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（新建项目不填）</w:t>
            </w:r>
            <w:r>
              <w:rPr>
                <w:rFonts w:hint="default" w:ascii="Times New Roman" w:hAnsi="Times New Roman" w:eastAsia="宋体" w:cs="Times New Roman"/>
                <w:snapToGrid w:val="0"/>
                <w:color w:val="auto"/>
                <w:spacing w:val="-16"/>
                <w:kern w:val="21"/>
                <w:sz w:val="21"/>
                <w:szCs w:val="21"/>
                <w:highlight w:val="none"/>
              </w:rPr>
              <w:fldChar w:fldCharType="begin"/>
            </w:r>
            <w:r>
              <w:rPr>
                <w:rFonts w:hint="default" w:ascii="Times New Roman" w:hAnsi="Times New Roman" w:eastAsia="宋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⑤</w:t>
            </w:r>
            <w:r>
              <w:rPr>
                <w:rFonts w:hint="default" w:ascii="Times New Roman" w:hAnsi="Times New Roman" w:eastAsia="宋体" w:cs="Times New Roman"/>
                <w:snapToGrid w:val="0"/>
                <w:color w:val="auto"/>
                <w:spacing w:val="-16"/>
                <w:kern w:val="21"/>
                <w:sz w:val="21"/>
                <w:szCs w:val="21"/>
                <w:highlight w:val="none"/>
              </w:rPr>
              <w:fldChar w:fldCharType="end"/>
            </w:r>
          </w:p>
        </w:tc>
        <w:tc>
          <w:tcPr>
            <w:tcW w:w="544" w:type="pct"/>
            <w:tcMar>
              <w:left w:w="28" w:type="dxa"/>
              <w:right w:w="28" w:type="dxa"/>
            </w:tcMar>
            <w:vAlign w:val="center"/>
          </w:tcPr>
          <w:p w14:paraId="022C9721">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本项目建成后</w:t>
            </w:r>
          </w:p>
          <w:p w14:paraId="03AE7AB3">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全厂排放量（固体废物产生量）</w:t>
            </w:r>
            <w:r>
              <w:rPr>
                <w:rFonts w:hint="default" w:ascii="Times New Roman" w:hAnsi="Times New Roman" w:eastAsia="宋体" w:cs="Times New Roman"/>
                <w:snapToGrid w:val="0"/>
                <w:color w:val="auto"/>
                <w:spacing w:val="-16"/>
                <w:kern w:val="21"/>
                <w:sz w:val="21"/>
                <w:szCs w:val="21"/>
                <w:highlight w:val="none"/>
              </w:rPr>
              <w:fldChar w:fldCharType="begin"/>
            </w:r>
            <w:r>
              <w:rPr>
                <w:rFonts w:hint="default" w:ascii="Times New Roman" w:hAnsi="Times New Roman" w:eastAsia="宋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⑥</w:t>
            </w:r>
            <w:r>
              <w:rPr>
                <w:rFonts w:hint="default" w:ascii="Times New Roman" w:hAnsi="Times New Roman" w:eastAsia="宋体" w:cs="Times New Roman"/>
                <w:snapToGrid w:val="0"/>
                <w:color w:val="auto"/>
                <w:spacing w:val="-16"/>
                <w:kern w:val="21"/>
                <w:sz w:val="21"/>
                <w:szCs w:val="21"/>
                <w:highlight w:val="none"/>
              </w:rPr>
              <w:fldChar w:fldCharType="end"/>
            </w:r>
          </w:p>
        </w:tc>
        <w:tc>
          <w:tcPr>
            <w:tcW w:w="464" w:type="pct"/>
            <w:tcMar>
              <w:left w:w="28" w:type="dxa"/>
              <w:right w:w="28" w:type="dxa"/>
            </w:tcMar>
            <w:vAlign w:val="center"/>
          </w:tcPr>
          <w:p w14:paraId="57A5D0DD">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变化量</w:t>
            </w:r>
          </w:p>
          <w:p w14:paraId="0F4A82B9">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⑦</w:t>
            </w:r>
            <w:r>
              <w:rPr>
                <w:rFonts w:hint="default" w:ascii="Times New Roman" w:hAnsi="Times New Roman" w:eastAsia="宋体" w:cs="Times New Roman"/>
                <w:snapToGrid w:val="0"/>
                <w:color w:val="auto"/>
                <w:spacing w:val="-6"/>
                <w:kern w:val="21"/>
                <w:sz w:val="21"/>
                <w:szCs w:val="21"/>
                <w:highlight w:val="none"/>
              </w:rPr>
              <w:fldChar w:fldCharType="end"/>
            </w:r>
          </w:p>
        </w:tc>
      </w:tr>
      <w:tr w14:paraId="634593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499" w:type="pct"/>
            <w:vAlign w:val="center"/>
          </w:tcPr>
          <w:p w14:paraId="7C2164AE">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废气</w:t>
            </w:r>
          </w:p>
        </w:tc>
        <w:tc>
          <w:tcPr>
            <w:tcW w:w="589" w:type="pct"/>
            <w:vAlign w:val="center"/>
          </w:tcPr>
          <w:p w14:paraId="282063E5">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颗粒物</w:t>
            </w:r>
          </w:p>
        </w:tc>
        <w:tc>
          <w:tcPr>
            <w:tcW w:w="617" w:type="pct"/>
            <w:vAlign w:val="center"/>
          </w:tcPr>
          <w:p w14:paraId="7DA50541">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463" w:type="pct"/>
            <w:vAlign w:val="center"/>
          </w:tcPr>
          <w:p w14:paraId="3EC7903D">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617" w:type="pct"/>
            <w:vAlign w:val="center"/>
          </w:tcPr>
          <w:p w14:paraId="08F5574B">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564" w:type="pct"/>
            <w:vAlign w:val="center"/>
          </w:tcPr>
          <w:p w14:paraId="472297A3">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0.02t</w:t>
            </w:r>
            <w:r>
              <w:rPr>
                <w:rFonts w:hint="default" w:ascii="Times New Roman" w:hAnsi="Times New Roman" w:eastAsia="宋体" w:cs="Times New Roman"/>
                <w:snapToGrid w:val="0"/>
                <w:color w:val="auto"/>
                <w:kern w:val="21"/>
                <w:sz w:val="21"/>
                <w:szCs w:val="21"/>
                <w:highlight w:val="none"/>
                <w:lang w:val="en-US" w:eastAsia="zh-CN"/>
              </w:rPr>
              <w:t>/a</w:t>
            </w:r>
          </w:p>
        </w:tc>
        <w:tc>
          <w:tcPr>
            <w:tcW w:w="639" w:type="pct"/>
            <w:vAlign w:val="center"/>
          </w:tcPr>
          <w:p w14:paraId="15201552">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544" w:type="pct"/>
            <w:vAlign w:val="center"/>
          </w:tcPr>
          <w:p w14:paraId="0ADE9ABF">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0.02</w:t>
            </w:r>
            <w:r>
              <w:rPr>
                <w:rFonts w:hint="default" w:ascii="Times New Roman" w:hAnsi="Times New Roman" w:eastAsia="宋体" w:cs="Times New Roman"/>
                <w:snapToGrid w:val="0"/>
                <w:color w:val="auto"/>
                <w:kern w:val="21"/>
                <w:sz w:val="21"/>
                <w:szCs w:val="21"/>
                <w:highlight w:val="none"/>
                <w:lang w:val="en-US" w:eastAsia="zh-CN"/>
              </w:rPr>
              <w:t>t/a</w:t>
            </w:r>
          </w:p>
        </w:tc>
        <w:tc>
          <w:tcPr>
            <w:tcW w:w="464" w:type="pct"/>
            <w:vAlign w:val="center"/>
          </w:tcPr>
          <w:p w14:paraId="18E34E75">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r>
      <w:tr w14:paraId="3AF49F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499" w:type="pct"/>
            <w:vMerge w:val="restart"/>
            <w:vAlign w:val="center"/>
          </w:tcPr>
          <w:p w14:paraId="5701F757">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废水</w:t>
            </w:r>
          </w:p>
        </w:tc>
        <w:tc>
          <w:tcPr>
            <w:tcW w:w="589" w:type="pct"/>
            <w:vAlign w:val="center"/>
          </w:tcPr>
          <w:p w14:paraId="189BDBE8">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化学需氧量</w:t>
            </w:r>
          </w:p>
        </w:tc>
        <w:tc>
          <w:tcPr>
            <w:tcW w:w="617" w:type="pct"/>
            <w:vAlign w:val="center"/>
          </w:tcPr>
          <w:p w14:paraId="779FCEC5">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463" w:type="pct"/>
            <w:vAlign w:val="center"/>
          </w:tcPr>
          <w:p w14:paraId="0B8C5938">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617" w:type="pct"/>
            <w:vAlign w:val="center"/>
          </w:tcPr>
          <w:p w14:paraId="1597FC22">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64" w:type="pct"/>
            <w:vAlign w:val="center"/>
          </w:tcPr>
          <w:p w14:paraId="57D3DB01">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0.024t/a</w:t>
            </w:r>
          </w:p>
        </w:tc>
        <w:tc>
          <w:tcPr>
            <w:tcW w:w="639" w:type="pct"/>
            <w:vAlign w:val="center"/>
          </w:tcPr>
          <w:p w14:paraId="121BF3AC">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544" w:type="pct"/>
            <w:vAlign w:val="center"/>
          </w:tcPr>
          <w:p w14:paraId="044A1C9D">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0.024t/a</w:t>
            </w:r>
          </w:p>
        </w:tc>
        <w:tc>
          <w:tcPr>
            <w:tcW w:w="464" w:type="pct"/>
            <w:vAlign w:val="center"/>
          </w:tcPr>
          <w:p w14:paraId="0CB0BC68">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r>
      <w:tr w14:paraId="2F2CEB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499" w:type="pct"/>
            <w:vMerge w:val="continue"/>
            <w:vAlign w:val="center"/>
          </w:tcPr>
          <w:p w14:paraId="7A50C6E1">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eastAsia" w:ascii="Times New Roman" w:hAnsi="Times New Roman" w:eastAsia="宋体" w:cs="Times New Roman"/>
                <w:snapToGrid w:val="0"/>
                <w:color w:val="auto"/>
                <w:kern w:val="21"/>
                <w:sz w:val="21"/>
                <w:szCs w:val="21"/>
                <w:highlight w:val="none"/>
                <w:lang w:val="en-US" w:eastAsia="zh-CN"/>
              </w:rPr>
            </w:pPr>
          </w:p>
        </w:tc>
        <w:tc>
          <w:tcPr>
            <w:tcW w:w="589" w:type="pct"/>
            <w:vAlign w:val="center"/>
          </w:tcPr>
          <w:p w14:paraId="6A71A7D9">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总磷</w:t>
            </w:r>
          </w:p>
        </w:tc>
        <w:tc>
          <w:tcPr>
            <w:tcW w:w="617" w:type="pct"/>
            <w:vAlign w:val="center"/>
          </w:tcPr>
          <w:p w14:paraId="25FE4376">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463" w:type="pct"/>
            <w:vAlign w:val="center"/>
          </w:tcPr>
          <w:p w14:paraId="5D1F5274">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617" w:type="pct"/>
            <w:vAlign w:val="center"/>
          </w:tcPr>
          <w:p w14:paraId="31D93672">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64" w:type="pct"/>
            <w:vAlign w:val="center"/>
          </w:tcPr>
          <w:p w14:paraId="50B7DF79">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0.0013t/a</w:t>
            </w:r>
          </w:p>
        </w:tc>
        <w:tc>
          <w:tcPr>
            <w:tcW w:w="639" w:type="pct"/>
            <w:vAlign w:val="center"/>
          </w:tcPr>
          <w:p w14:paraId="778562BA">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44" w:type="pct"/>
            <w:vAlign w:val="center"/>
          </w:tcPr>
          <w:p w14:paraId="3AFE8DF3">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0.0013t/a</w:t>
            </w:r>
          </w:p>
        </w:tc>
        <w:tc>
          <w:tcPr>
            <w:tcW w:w="464" w:type="pct"/>
            <w:vAlign w:val="center"/>
          </w:tcPr>
          <w:p w14:paraId="57A0A451">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r>
      <w:tr w14:paraId="0B6697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499" w:type="pct"/>
            <w:vMerge w:val="continue"/>
            <w:vAlign w:val="center"/>
          </w:tcPr>
          <w:p w14:paraId="05C9E5A4">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eastAsia" w:ascii="Times New Roman" w:hAnsi="Times New Roman" w:eastAsia="宋体" w:cs="Times New Roman"/>
                <w:snapToGrid w:val="0"/>
                <w:color w:val="auto"/>
                <w:kern w:val="21"/>
                <w:sz w:val="21"/>
                <w:szCs w:val="21"/>
                <w:highlight w:val="none"/>
                <w:lang w:val="en-US" w:eastAsia="zh-CN"/>
              </w:rPr>
            </w:pPr>
          </w:p>
        </w:tc>
        <w:tc>
          <w:tcPr>
            <w:tcW w:w="589" w:type="pct"/>
            <w:vAlign w:val="center"/>
          </w:tcPr>
          <w:p w14:paraId="1802CB5D">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石油类</w:t>
            </w:r>
          </w:p>
        </w:tc>
        <w:tc>
          <w:tcPr>
            <w:tcW w:w="617" w:type="pct"/>
            <w:vAlign w:val="center"/>
          </w:tcPr>
          <w:p w14:paraId="549DF507">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463" w:type="pct"/>
            <w:vAlign w:val="center"/>
          </w:tcPr>
          <w:p w14:paraId="12644ECB">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617" w:type="pct"/>
            <w:vAlign w:val="center"/>
          </w:tcPr>
          <w:p w14:paraId="47AEAF15">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64" w:type="pct"/>
            <w:vAlign w:val="center"/>
          </w:tcPr>
          <w:p w14:paraId="48E7EEEC">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0.0023t/a</w:t>
            </w:r>
          </w:p>
        </w:tc>
        <w:tc>
          <w:tcPr>
            <w:tcW w:w="639" w:type="pct"/>
            <w:vAlign w:val="center"/>
          </w:tcPr>
          <w:p w14:paraId="3BA17314">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44" w:type="pct"/>
            <w:vAlign w:val="center"/>
          </w:tcPr>
          <w:p w14:paraId="34B082D7">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0.0023t/a</w:t>
            </w:r>
          </w:p>
        </w:tc>
        <w:tc>
          <w:tcPr>
            <w:tcW w:w="464" w:type="pct"/>
            <w:vAlign w:val="center"/>
          </w:tcPr>
          <w:p w14:paraId="233EBC66">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r>
      <w:tr w14:paraId="7F62CB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499" w:type="pct"/>
            <w:vMerge w:val="restart"/>
            <w:vAlign w:val="center"/>
          </w:tcPr>
          <w:p w14:paraId="50415655">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一般工业固体废物</w:t>
            </w:r>
          </w:p>
        </w:tc>
        <w:tc>
          <w:tcPr>
            <w:tcW w:w="589" w:type="pct"/>
            <w:vAlign w:val="center"/>
          </w:tcPr>
          <w:p w14:paraId="3527076F">
            <w:pPr>
              <w:keepNext w:val="0"/>
              <w:keepLines w:val="0"/>
              <w:pageBreakBefore w:val="0"/>
              <w:widowControl w:val="0"/>
              <w:kinsoku/>
              <w:wordWrap/>
              <w:overflowPunct/>
              <w:topLinePunct w:val="0"/>
              <w:autoSpaceDE/>
              <w:autoSpaceDN/>
              <w:bidi w:val="0"/>
              <w:adjustRightInd/>
              <w:snapToGrid w:val="0"/>
              <w:spacing w:line="240" w:lineRule="atLeast"/>
              <w:ind w:firstLine="0" w:firstLineChars="0"/>
              <w:jc w:val="center"/>
              <w:textAlignment w:val="auto"/>
              <w:rPr>
                <w:rFonts w:hint="eastAsia" w:cs="Times New Roman"/>
                <w:color w:val="auto"/>
                <w:sz w:val="21"/>
                <w:szCs w:val="21"/>
                <w:highlight w:val="none"/>
                <w:lang w:val="en-US" w:eastAsia="zh-CN"/>
              </w:rPr>
            </w:pPr>
            <w:r>
              <w:rPr>
                <w:rFonts w:hint="eastAsia" w:cs="Times New Roman"/>
                <w:b w:val="0"/>
                <w:bCs/>
                <w:color w:val="auto"/>
                <w:sz w:val="21"/>
                <w:szCs w:val="21"/>
                <w:highlight w:val="none"/>
                <w:vertAlign w:val="baseline"/>
                <w:lang w:val="en-US" w:eastAsia="zh-CN"/>
              </w:rPr>
              <w:t>葵花籽壳</w:t>
            </w:r>
          </w:p>
        </w:tc>
        <w:tc>
          <w:tcPr>
            <w:tcW w:w="617" w:type="pct"/>
            <w:vAlign w:val="center"/>
          </w:tcPr>
          <w:p w14:paraId="40AA904D">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463" w:type="pct"/>
            <w:vAlign w:val="center"/>
          </w:tcPr>
          <w:p w14:paraId="5EFD29FC">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617" w:type="pct"/>
            <w:vAlign w:val="center"/>
          </w:tcPr>
          <w:p w14:paraId="532BEF1F">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64" w:type="pct"/>
            <w:vAlign w:val="center"/>
          </w:tcPr>
          <w:p w14:paraId="0437B6A7">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367.5t/a</w:t>
            </w:r>
          </w:p>
        </w:tc>
        <w:tc>
          <w:tcPr>
            <w:tcW w:w="639" w:type="pct"/>
            <w:vAlign w:val="center"/>
          </w:tcPr>
          <w:p w14:paraId="2872964B">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44" w:type="pct"/>
            <w:vAlign w:val="center"/>
          </w:tcPr>
          <w:p w14:paraId="4DD66868">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367.5t/a</w:t>
            </w:r>
          </w:p>
        </w:tc>
        <w:tc>
          <w:tcPr>
            <w:tcW w:w="464" w:type="pct"/>
            <w:vAlign w:val="center"/>
          </w:tcPr>
          <w:p w14:paraId="6669EEBC">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457669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499" w:type="pct"/>
            <w:vMerge w:val="continue"/>
            <w:vAlign w:val="center"/>
          </w:tcPr>
          <w:p w14:paraId="243DDDEB">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rPr>
            </w:pPr>
          </w:p>
        </w:tc>
        <w:tc>
          <w:tcPr>
            <w:tcW w:w="589" w:type="pct"/>
            <w:vAlign w:val="center"/>
          </w:tcPr>
          <w:p w14:paraId="5C8522A6">
            <w:pPr>
              <w:keepNext w:val="0"/>
              <w:keepLines w:val="0"/>
              <w:pageBreakBefore w:val="0"/>
              <w:widowControl w:val="0"/>
              <w:kinsoku/>
              <w:wordWrap/>
              <w:overflowPunct/>
              <w:topLinePunct w:val="0"/>
              <w:autoSpaceDE/>
              <w:autoSpaceDN/>
              <w:bidi w:val="0"/>
              <w:adjustRightInd/>
              <w:snapToGrid w:val="0"/>
              <w:spacing w:line="240" w:lineRule="atLeast"/>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废硅藻</w:t>
            </w:r>
          </w:p>
        </w:tc>
        <w:tc>
          <w:tcPr>
            <w:tcW w:w="617" w:type="pct"/>
            <w:vAlign w:val="center"/>
          </w:tcPr>
          <w:p w14:paraId="21B87B05">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463" w:type="pct"/>
            <w:vAlign w:val="center"/>
          </w:tcPr>
          <w:p w14:paraId="7B5E74D1">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617" w:type="pct"/>
            <w:vAlign w:val="center"/>
          </w:tcPr>
          <w:p w14:paraId="5E74EC3B">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64" w:type="pct"/>
            <w:vAlign w:val="center"/>
          </w:tcPr>
          <w:p w14:paraId="03FD5C4D">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8t/a</w:t>
            </w:r>
          </w:p>
        </w:tc>
        <w:tc>
          <w:tcPr>
            <w:tcW w:w="639" w:type="pct"/>
            <w:vAlign w:val="center"/>
          </w:tcPr>
          <w:p w14:paraId="03BF65E6">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44" w:type="pct"/>
            <w:vAlign w:val="center"/>
          </w:tcPr>
          <w:p w14:paraId="1E446528">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8t/a</w:t>
            </w:r>
          </w:p>
        </w:tc>
        <w:tc>
          <w:tcPr>
            <w:tcW w:w="464" w:type="pct"/>
            <w:vAlign w:val="center"/>
          </w:tcPr>
          <w:p w14:paraId="56901C26">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06E06E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499" w:type="pct"/>
            <w:vMerge w:val="continue"/>
            <w:vAlign w:val="center"/>
          </w:tcPr>
          <w:p w14:paraId="3A06474C">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rPr>
            </w:pPr>
          </w:p>
        </w:tc>
        <w:tc>
          <w:tcPr>
            <w:tcW w:w="589" w:type="pct"/>
            <w:vAlign w:val="center"/>
          </w:tcPr>
          <w:p w14:paraId="4369FEA8">
            <w:pPr>
              <w:keepNext w:val="0"/>
              <w:keepLines w:val="0"/>
              <w:pageBreakBefore w:val="0"/>
              <w:widowControl w:val="0"/>
              <w:kinsoku/>
              <w:wordWrap/>
              <w:overflowPunct/>
              <w:topLinePunct w:val="0"/>
              <w:autoSpaceDE/>
              <w:autoSpaceDN/>
              <w:bidi w:val="0"/>
              <w:adjustRightInd/>
              <w:snapToGrid w:val="0"/>
              <w:spacing w:line="240" w:lineRule="atLeast"/>
              <w:ind w:firstLine="0" w:firstLineChars="0"/>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废饼粉</w:t>
            </w:r>
          </w:p>
        </w:tc>
        <w:tc>
          <w:tcPr>
            <w:tcW w:w="617" w:type="pct"/>
            <w:vAlign w:val="center"/>
          </w:tcPr>
          <w:p w14:paraId="75C8B8CC">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463" w:type="pct"/>
            <w:vAlign w:val="center"/>
          </w:tcPr>
          <w:p w14:paraId="12899FAC">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617" w:type="pct"/>
            <w:vAlign w:val="center"/>
          </w:tcPr>
          <w:p w14:paraId="04525F16">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64" w:type="pct"/>
            <w:vAlign w:val="center"/>
          </w:tcPr>
          <w:p w14:paraId="06F97741">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5t/a</w:t>
            </w:r>
          </w:p>
        </w:tc>
        <w:tc>
          <w:tcPr>
            <w:tcW w:w="639" w:type="pct"/>
            <w:vAlign w:val="center"/>
          </w:tcPr>
          <w:p w14:paraId="335CFE25">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44" w:type="pct"/>
            <w:vAlign w:val="center"/>
          </w:tcPr>
          <w:p w14:paraId="58DD73AD">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5t/a</w:t>
            </w:r>
          </w:p>
        </w:tc>
        <w:tc>
          <w:tcPr>
            <w:tcW w:w="464" w:type="pct"/>
            <w:vAlign w:val="center"/>
          </w:tcPr>
          <w:p w14:paraId="6575FEA1">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26973D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499" w:type="pct"/>
            <w:vMerge w:val="continue"/>
            <w:vAlign w:val="center"/>
          </w:tcPr>
          <w:p w14:paraId="38229F33">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rPr>
            </w:pPr>
          </w:p>
        </w:tc>
        <w:tc>
          <w:tcPr>
            <w:tcW w:w="589" w:type="pct"/>
            <w:vAlign w:val="center"/>
          </w:tcPr>
          <w:p w14:paraId="5883A467">
            <w:pPr>
              <w:keepNext w:val="0"/>
              <w:keepLines w:val="0"/>
              <w:pageBreakBefore w:val="0"/>
              <w:widowControl w:val="0"/>
              <w:kinsoku/>
              <w:wordWrap/>
              <w:overflowPunct/>
              <w:topLinePunct w:val="0"/>
              <w:autoSpaceDE/>
              <w:autoSpaceDN/>
              <w:bidi w:val="0"/>
              <w:adjustRightInd/>
              <w:snapToGrid w:val="0"/>
              <w:spacing w:line="240" w:lineRule="atLeast"/>
              <w:ind w:firstLine="0" w:firstLineChars="0"/>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滤渣</w:t>
            </w:r>
          </w:p>
        </w:tc>
        <w:tc>
          <w:tcPr>
            <w:tcW w:w="617" w:type="pct"/>
            <w:vAlign w:val="center"/>
          </w:tcPr>
          <w:p w14:paraId="2FD44CDA">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463" w:type="pct"/>
            <w:vAlign w:val="center"/>
          </w:tcPr>
          <w:p w14:paraId="13E839BD">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617" w:type="pct"/>
            <w:vAlign w:val="center"/>
          </w:tcPr>
          <w:p w14:paraId="14522E4E">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64" w:type="pct"/>
            <w:vAlign w:val="center"/>
          </w:tcPr>
          <w:p w14:paraId="52854B51">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746t/a</w:t>
            </w:r>
          </w:p>
        </w:tc>
        <w:tc>
          <w:tcPr>
            <w:tcW w:w="639" w:type="pct"/>
            <w:vAlign w:val="center"/>
          </w:tcPr>
          <w:p w14:paraId="0D7D97B2">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44" w:type="pct"/>
            <w:vAlign w:val="center"/>
          </w:tcPr>
          <w:p w14:paraId="67795584">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746t/a</w:t>
            </w:r>
          </w:p>
        </w:tc>
        <w:tc>
          <w:tcPr>
            <w:tcW w:w="464" w:type="pct"/>
            <w:vAlign w:val="center"/>
          </w:tcPr>
          <w:p w14:paraId="342E4AAA">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15ECFE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499" w:type="pct"/>
            <w:vMerge w:val="continue"/>
            <w:vAlign w:val="center"/>
          </w:tcPr>
          <w:p w14:paraId="403D4AEC">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rPr>
            </w:pPr>
          </w:p>
        </w:tc>
        <w:tc>
          <w:tcPr>
            <w:tcW w:w="589" w:type="pct"/>
            <w:vAlign w:val="center"/>
          </w:tcPr>
          <w:p w14:paraId="439F7C4A">
            <w:pPr>
              <w:keepNext w:val="0"/>
              <w:keepLines w:val="0"/>
              <w:pageBreakBefore w:val="0"/>
              <w:widowControl w:val="0"/>
              <w:kinsoku/>
              <w:wordWrap/>
              <w:overflowPunct/>
              <w:topLinePunct w:val="0"/>
              <w:autoSpaceDE/>
              <w:autoSpaceDN/>
              <w:bidi w:val="0"/>
              <w:adjustRightInd/>
              <w:snapToGrid w:val="0"/>
              <w:spacing w:line="240" w:lineRule="atLeast"/>
              <w:ind w:firstLine="0" w:firstLineChars="0"/>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除尘灰</w:t>
            </w:r>
          </w:p>
        </w:tc>
        <w:tc>
          <w:tcPr>
            <w:tcW w:w="617" w:type="pct"/>
            <w:vAlign w:val="center"/>
          </w:tcPr>
          <w:p w14:paraId="43ABBD1F">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463" w:type="pct"/>
            <w:vAlign w:val="center"/>
          </w:tcPr>
          <w:p w14:paraId="7BAE0F01">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617" w:type="pct"/>
            <w:vAlign w:val="center"/>
          </w:tcPr>
          <w:p w14:paraId="24B7B75A">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64" w:type="pct"/>
            <w:vAlign w:val="center"/>
          </w:tcPr>
          <w:p w14:paraId="6EB4E58D">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2.007t/a</w:t>
            </w:r>
          </w:p>
        </w:tc>
        <w:tc>
          <w:tcPr>
            <w:tcW w:w="639" w:type="pct"/>
            <w:vAlign w:val="center"/>
          </w:tcPr>
          <w:p w14:paraId="3E1A48C3">
            <w:pPr>
              <w:pStyle w:val="41"/>
              <w:keepNext w:val="0"/>
              <w:keepLines w:val="0"/>
              <w:pageBreakBefore w:val="0"/>
              <w:widowControl w:val="0"/>
              <w:kinsoku/>
              <w:wordWrap/>
              <w:overflowPunct/>
              <w:topLinePunct w:val="0"/>
              <w:autoSpaceDE/>
              <w:autoSpaceDN/>
              <w:bidi w:val="0"/>
              <w:snapToGrid w:val="0"/>
              <w:spacing w:beforeLines="0" w:afterLines="0" w:line="240" w:lineRule="atLeast"/>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544" w:type="pct"/>
            <w:vAlign w:val="center"/>
          </w:tcPr>
          <w:p w14:paraId="2C09DC8E">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2.007t/a</w:t>
            </w:r>
          </w:p>
        </w:tc>
        <w:tc>
          <w:tcPr>
            <w:tcW w:w="464" w:type="pct"/>
            <w:vAlign w:val="center"/>
          </w:tcPr>
          <w:p w14:paraId="227D34C8">
            <w:pPr>
              <w:keepNext w:val="0"/>
              <w:keepLines w:val="0"/>
              <w:pageBreakBefore w:val="0"/>
              <w:widowControl w:val="0"/>
              <w:kinsoku/>
              <w:wordWrap/>
              <w:overflowPunct/>
              <w:topLinePunct w:val="0"/>
              <w:autoSpaceDE/>
              <w:autoSpaceDN/>
              <w:bidi w:val="0"/>
              <w:snapToGrid w:val="0"/>
              <w:spacing w:line="240" w:lineRule="atLeast"/>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2CBDBDAA">
      <w:pPr>
        <w:pStyle w:val="41"/>
        <w:spacing w:before="192" w:beforeLines="80" w:after="24"/>
        <w:jc w:val="left"/>
        <w:rPr>
          <w:rFonts w:hint="eastAsia" w:ascii="宋体" w:hAnsi="宋体" w:eastAsia="宋体" w:cs="宋体"/>
          <w:snapToGrid w:val="0"/>
          <w:color w:val="auto"/>
          <w:spacing w:val="-6"/>
          <w:kern w:val="21"/>
          <w:szCs w:val="21"/>
          <w:highlight w:val="none"/>
        </w:rPr>
      </w:pPr>
      <w:r>
        <w:rPr>
          <w:rFonts w:hint="eastAsia" w:ascii="宋体" w:hAnsi="宋体" w:eastAsia="宋体" w:cs="宋体"/>
          <w:snapToGrid w:val="0"/>
          <w:color w:val="auto"/>
          <w:kern w:val="21"/>
          <w:szCs w:val="21"/>
          <w:highlight w:val="none"/>
        </w:rPr>
        <w:t>注：</w:t>
      </w:r>
      <w:r>
        <w:rPr>
          <w:rFonts w:hint="eastAsia" w:ascii="宋体" w:hAnsi="宋体" w:eastAsia="宋体" w:cs="宋体"/>
          <w:snapToGrid w:val="0"/>
          <w:color w:val="auto"/>
          <w:spacing w:val="-16"/>
          <w:kern w:val="21"/>
          <w:szCs w:val="21"/>
          <w:highlight w:val="none"/>
        </w:rPr>
        <w:fldChar w:fldCharType="begin"/>
      </w:r>
      <w:r>
        <w:rPr>
          <w:rFonts w:hint="eastAsia" w:ascii="宋体" w:hAnsi="宋体" w:eastAsia="宋体" w:cs="宋体"/>
          <w:snapToGrid w:val="0"/>
          <w:color w:val="auto"/>
          <w:spacing w:val="-16"/>
          <w:kern w:val="21"/>
          <w:szCs w:val="21"/>
          <w:highlight w:val="none"/>
        </w:rPr>
        <w:instrText xml:space="preserve"> = 6 \* GB3 \* MERGEFORMAT </w:instrText>
      </w:r>
      <w:r>
        <w:rPr>
          <w:rFonts w:hint="eastAsia" w:ascii="宋体" w:hAnsi="宋体" w:eastAsia="宋体" w:cs="宋体"/>
          <w:snapToGrid w:val="0"/>
          <w:color w:val="auto"/>
          <w:spacing w:val="-16"/>
          <w:kern w:val="21"/>
          <w:szCs w:val="21"/>
          <w:highlight w:val="none"/>
        </w:rPr>
        <w:fldChar w:fldCharType="separate"/>
      </w:r>
      <w:r>
        <w:rPr>
          <w:rFonts w:hint="eastAsia" w:ascii="宋体" w:hAnsi="宋体" w:eastAsia="宋体" w:cs="宋体"/>
          <w:color w:val="auto"/>
          <w:szCs w:val="21"/>
          <w:highlight w:val="none"/>
        </w:rPr>
        <w:t>⑥</w:t>
      </w:r>
      <w:r>
        <w:rPr>
          <w:rFonts w:hint="eastAsia" w:ascii="宋体" w:hAnsi="宋体" w:eastAsia="宋体" w:cs="宋体"/>
          <w:snapToGrid w:val="0"/>
          <w:color w:val="auto"/>
          <w:spacing w:val="-16"/>
          <w:kern w:val="21"/>
          <w:szCs w:val="21"/>
          <w:highlight w:val="none"/>
        </w:rPr>
        <w:fldChar w:fldCharType="end"/>
      </w:r>
      <w:r>
        <w:rPr>
          <w:rFonts w:hint="eastAsia" w:ascii="宋体" w:hAnsi="宋体" w:eastAsia="宋体" w:cs="宋体"/>
          <w:snapToGrid w:val="0"/>
          <w:color w:val="auto"/>
          <w:spacing w:val="-16"/>
          <w:kern w:val="21"/>
          <w:szCs w:val="21"/>
          <w:highlight w:val="none"/>
        </w:rPr>
        <w:t>=</w:t>
      </w:r>
      <w:r>
        <w:rPr>
          <w:rFonts w:hint="eastAsia" w:ascii="宋体" w:hAnsi="宋体" w:eastAsia="宋体" w:cs="宋体"/>
          <w:snapToGrid w:val="0"/>
          <w:color w:val="auto"/>
          <w:spacing w:val="-6"/>
          <w:kern w:val="21"/>
          <w:szCs w:val="21"/>
          <w:highlight w:val="none"/>
        </w:rPr>
        <w:fldChar w:fldCharType="begin"/>
      </w:r>
      <w:r>
        <w:rPr>
          <w:rFonts w:hint="eastAsia" w:ascii="宋体" w:hAnsi="宋体" w:eastAsia="宋体" w:cs="宋体"/>
          <w:snapToGrid w:val="0"/>
          <w:color w:val="auto"/>
          <w:spacing w:val="-6"/>
          <w:kern w:val="21"/>
          <w:szCs w:val="21"/>
          <w:highlight w:val="none"/>
        </w:rPr>
        <w:instrText xml:space="preserve"> = 1 \* GB3 \* MERGEFORMAT </w:instrText>
      </w:r>
      <w:r>
        <w:rPr>
          <w:rFonts w:hint="eastAsia" w:ascii="宋体" w:hAnsi="宋体" w:eastAsia="宋体" w:cs="宋体"/>
          <w:snapToGrid w:val="0"/>
          <w:color w:val="auto"/>
          <w:spacing w:val="-6"/>
          <w:kern w:val="21"/>
          <w:szCs w:val="21"/>
          <w:highlight w:val="none"/>
        </w:rPr>
        <w:fldChar w:fldCharType="separate"/>
      </w:r>
      <w:r>
        <w:rPr>
          <w:rFonts w:hint="eastAsia" w:ascii="宋体" w:hAnsi="宋体" w:eastAsia="宋体" w:cs="宋体"/>
          <w:color w:val="auto"/>
          <w:szCs w:val="21"/>
          <w:highlight w:val="none"/>
        </w:rPr>
        <w:t>①</w:t>
      </w:r>
      <w:r>
        <w:rPr>
          <w:rFonts w:hint="eastAsia" w:ascii="宋体" w:hAnsi="宋体" w:eastAsia="宋体" w:cs="宋体"/>
          <w:snapToGrid w:val="0"/>
          <w:color w:val="auto"/>
          <w:spacing w:val="-6"/>
          <w:kern w:val="21"/>
          <w:szCs w:val="21"/>
          <w:highlight w:val="none"/>
        </w:rPr>
        <w:fldChar w:fldCharType="end"/>
      </w:r>
      <w:r>
        <w:rPr>
          <w:rFonts w:hint="eastAsia" w:ascii="宋体" w:hAnsi="宋体" w:eastAsia="宋体" w:cs="宋体"/>
          <w:snapToGrid w:val="0"/>
          <w:color w:val="auto"/>
          <w:spacing w:val="-6"/>
          <w:kern w:val="21"/>
          <w:szCs w:val="21"/>
          <w:highlight w:val="none"/>
        </w:rPr>
        <w:t>+</w:t>
      </w:r>
      <w:r>
        <w:rPr>
          <w:rFonts w:hint="eastAsia" w:ascii="宋体" w:hAnsi="宋体" w:eastAsia="宋体" w:cs="宋体"/>
          <w:snapToGrid w:val="0"/>
          <w:color w:val="auto"/>
          <w:spacing w:val="-6"/>
          <w:kern w:val="21"/>
          <w:szCs w:val="21"/>
          <w:highlight w:val="none"/>
        </w:rPr>
        <w:fldChar w:fldCharType="begin"/>
      </w:r>
      <w:r>
        <w:rPr>
          <w:rFonts w:hint="eastAsia" w:ascii="宋体" w:hAnsi="宋体" w:eastAsia="宋体" w:cs="宋体"/>
          <w:snapToGrid w:val="0"/>
          <w:color w:val="auto"/>
          <w:spacing w:val="-6"/>
          <w:kern w:val="21"/>
          <w:szCs w:val="21"/>
          <w:highlight w:val="none"/>
        </w:rPr>
        <w:instrText xml:space="preserve"> = 3 \* GB3 \* MERGEFORMAT </w:instrText>
      </w:r>
      <w:r>
        <w:rPr>
          <w:rFonts w:hint="eastAsia" w:ascii="宋体" w:hAnsi="宋体" w:eastAsia="宋体" w:cs="宋体"/>
          <w:snapToGrid w:val="0"/>
          <w:color w:val="auto"/>
          <w:spacing w:val="-6"/>
          <w:kern w:val="21"/>
          <w:szCs w:val="21"/>
          <w:highlight w:val="none"/>
        </w:rPr>
        <w:fldChar w:fldCharType="separate"/>
      </w:r>
      <w:r>
        <w:rPr>
          <w:rFonts w:hint="eastAsia" w:ascii="宋体" w:hAnsi="宋体" w:eastAsia="宋体" w:cs="宋体"/>
          <w:color w:val="auto"/>
          <w:szCs w:val="21"/>
          <w:highlight w:val="none"/>
        </w:rPr>
        <w:t>③</w:t>
      </w:r>
      <w:r>
        <w:rPr>
          <w:rFonts w:hint="eastAsia" w:ascii="宋体" w:hAnsi="宋体" w:eastAsia="宋体" w:cs="宋体"/>
          <w:snapToGrid w:val="0"/>
          <w:color w:val="auto"/>
          <w:spacing w:val="-6"/>
          <w:kern w:val="21"/>
          <w:szCs w:val="21"/>
          <w:highlight w:val="none"/>
        </w:rPr>
        <w:fldChar w:fldCharType="end"/>
      </w:r>
      <w:r>
        <w:rPr>
          <w:rFonts w:hint="eastAsia" w:ascii="宋体" w:hAnsi="宋体" w:eastAsia="宋体" w:cs="宋体"/>
          <w:snapToGrid w:val="0"/>
          <w:color w:val="auto"/>
          <w:spacing w:val="-6"/>
          <w:kern w:val="21"/>
          <w:szCs w:val="21"/>
          <w:highlight w:val="none"/>
        </w:rPr>
        <w:t>+</w:t>
      </w:r>
      <w:r>
        <w:rPr>
          <w:rFonts w:hint="eastAsia" w:ascii="宋体" w:hAnsi="宋体" w:eastAsia="宋体" w:cs="宋体"/>
          <w:snapToGrid w:val="0"/>
          <w:color w:val="auto"/>
          <w:spacing w:val="-6"/>
          <w:kern w:val="21"/>
          <w:szCs w:val="21"/>
          <w:highlight w:val="none"/>
        </w:rPr>
        <w:fldChar w:fldCharType="begin"/>
      </w:r>
      <w:r>
        <w:rPr>
          <w:rFonts w:hint="eastAsia" w:ascii="宋体" w:hAnsi="宋体" w:eastAsia="宋体" w:cs="宋体"/>
          <w:snapToGrid w:val="0"/>
          <w:color w:val="auto"/>
          <w:spacing w:val="-6"/>
          <w:kern w:val="21"/>
          <w:szCs w:val="21"/>
          <w:highlight w:val="none"/>
        </w:rPr>
        <w:instrText xml:space="preserve"> = 4 \* GB3 \* MERGEFORMAT </w:instrText>
      </w:r>
      <w:r>
        <w:rPr>
          <w:rFonts w:hint="eastAsia" w:ascii="宋体" w:hAnsi="宋体" w:eastAsia="宋体" w:cs="宋体"/>
          <w:snapToGrid w:val="0"/>
          <w:color w:val="auto"/>
          <w:spacing w:val="-6"/>
          <w:kern w:val="21"/>
          <w:szCs w:val="21"/>
          <w:highlight w:val="none"/>
        </w:rPr>
        <w:fldChar w:fldCharType="separate"/>
      </w:r>
      <w:r>
        <w:rPr>
          <w:rFonts w:hint="eastAsia" w:ascii="宋体" w:hAnsi="宋体" w:eastAsia="宋体" w:cs="宋体"/>
          <w:color w:val="auto"/>
          <w:szCs w:val="21"/>
          <w:highlight w:val="none"/>
        </w:rPr>
        <w:t>④</w:t>
      </w:r>
      <w:r>
        <w:rPr>
          <w:rFonts w:hint="eastAsia" w:ascii="宋体" w:hAnsi="宋体" w:eastAsia="宋体" w:cs="宋体"/>
          <w:snapToGrid w:val="0"/>
          <w:color w:val="auto"/>
          <w:spacing w:val="-6"/>
          <w:kern w:val="21"/>
          <w:szCs w:val="21"/>
          <w:highlight w:val="none"/>
        </w:rPr>
        <w:fldChar w:fldCharType="end"/>
      </w:r>
      <w:r>
        <w:rPr>
          <w:rFonts w:hint="eastAsia" w:ascii="宋体" w:hAnsi="宋体" w:eastAsia="宋体" w:cs="宋体"/>
          <w:snapToGrid w:val="0"/>
          <w:color w:val="auto"/>
          <w:spacing w:val="-6"/>
          <w:kern w:val="21"/>
          <w:szCs w:val="21"/>
          <w:highlight w:val="none"/>
        </w:rPr>
        <w:t>-</w:t>
      </w:r>
      <w:r>
        <w:rPr>
          <w:rFonts w:hint="eastAsia" w:ascii="宋体" w:hAnsi="宋体" w:eastAsia="宋体" w:cs="宋体"/>
          <w:snapToGrid w:val="0"/>
          <w:color w:val="auto"/>
          <w:spacing w:val="-16"/>
          <w:kern w:val="21"/>
          <w:szCs w:val="21"/>
          <w:highlight w:val="none"/>
        </w:rPr>
        <w:fldChar w:fldCharType="begin"/>
      </w:r>
      <w:r>
        <w:rPr>
          <w:rFonts w:hint="eastAsia" w:ascii="宋体" w:hAnsi="宋体" w:eastAsia="宋体" w:cs="宋体"/>
          <w:snapToGrid w:val="0"/>
          <w:color w:val="auto"/>
          <w:spacing w:val="-16"/>
          <w:kern w:val="21"/>
          <w:szCs w:val="21"/>
          <w:highlight w:val="none"/>
        </w:rPr>
        <w:instrText xml:space="preserve"> = 5 \* GB3 \* MERGEFORMAT </w:instrText>
      </w:r>
      <w:r>
        <w:rPr>
          <w:rFonts w:hint="eastAsia" w:ascii="宋体" w:hAnsi="宋体" w:eastAsia="宋体" w:cs="宋体"/>
          <w:snapToGrid w:val="0"/>
          <w:color w:val="auto"/>
          <w:spacing w:val="-16"/>
          <w:kern w:val="21"/>
          <w:szCs w:val="21"/>
          <w:highlight w:val="none"/>
        </w:rPr>
        <w:fldChar w:fldCharType="separate"/>
      </w:r>
      <w:r>
        <w:rPr>
          <w:rFonts w:hint="eastAsia" w:ascii="宋体" w:hAnsi="宋体" w:eastAsia="宋体" w:cs="宋体"/>
          <w:color w:val="auto"/>
          <w:szCs w:val="21"/>
          <w:highlight w:val="none"/>
        </w:rPr>
        <w:t>⑤</w:t>
      </w:r>
      <w:r>
        <w:rPr>
          <w:rFonts w:hint="eastAsia" w:ascii="宋体" w:hAnsi="宋体" w:eastAsia="宋体" w:cs="宋体"/>
          <w:snapToGrid w:val="0"/>
          <w:color w:val="auto"/>
          <w:spacing w:val="-16"/>
          <w:kern w:val="21"/>
          <w:szCs w:val="21"/>
          <w:highlight w:val="none"/>
        </w:rPr>
        <w:fldChar w:fldCharType="end"/>
      </w:r>
      <w:r>
        <w:rPr>
          <w:rFonts w:hint="eastAsia" w:ascii="宋体" w:hAnsi="宋体" w:eastAsia="宋体" w:cs="宋体"/>
          <w:snapToGrid w:val="0"/>
          <w:color w:val="auto"/>
          <w:spacing w:val="-16"/>
          <w:kern w:val="21"/>
          <w:szCs w:val="21"/>
          <w:highlight w:val="none"/>
        </w:rPr>
        <w:t>；</w:t>
      </w:r>
      <w:r>
        <w:rPr>
          <w:rFonts w:hint="eastAsia" w:ascii="宋体" w:hAnsi="宋体" w:eastAsia="宋体" w:cs="宋体"/>
          <w:snapToGrid w:val="0"/>
          <w:color w:val="auto"/>
          <w:spacing w:val="-6"/>
          <w:kern w:val="21"/>
          <w:szCs w:val="21"/>
          <w:highlight w:val="none"/>
        </w:rPr>
        <w:fldChar w:fldCharType="begin"/>
      </w:r>
      <w:r>
        <w:rPr>
          <w:rFonts w:hint="eastAsia" w:ascii="宋体" w:hAnsi="宋体" w:eastAsia="宋体" w:cs="宋体"/>
          <w:snapToGrid w:val="0"/>
          <w:color w:val="auto"/>
          <w:spacing w:val="-6"/>
          <w:kern w:val="21"/>
          <w:szCs w:val="21"/>
          <w:highlight w:val="none"/>
        </w:rPr>
        <w:instrText xml:space="preserve"> = 7 \* GB3 \* MERGEFORMAT </w:instrText>
      </w:r>
      <w:r>
        <w:rPr>
          <w:rFonts w:hint="eastAsia" w:ascii="宋体" w:hAnsi="宋体" w:eastAsia="宋体" w:cs="宋体"/>
          <w:snapToGrid w:val="0"/>
          <w:color w:val="auto"/>
          <w:spacing w:val="-6"/>
          <w:kern w:val="21"/>
          <w:szCs w:val="21"/>
          <w:highlight w:val="none"/>
        </w:rPr>
        <w:fldChar w:fldCharType="separate"/>
      </w:r>
      <w:r>
        <w:rPr>
          <w:rFonts w:hint="eastAsia" w:ascii="宋体" w:hAnsi="宋体" w:eastAsia="宋体" w:cs="宋体"/>
          <w:color w:val="auto"/>
          <w:szCs w:val="21"/>
          <w:highlight w:val="none"/>
        </w:rPr>
        <w:t>⑦</w:t>
      </w:r>
      <w:r>
        <w:rPr>
          <w:rFonts w:hint="eastAsia" w:ascii="宋体" w:hAnsi="宋体" w:eastAsia="宋体" w:cs="宋体"/>
          <w:snapToGrid w:val="0"/>
          <w:color w:val="auto"/>
          <w:spacing w:val="-6"/>
          <w:kern w:val="21"/>
          <w:szCs w:val="21"/>
          <w:highlight w:val="none"/>
        </w:rPr>
        <w:fldChar w:fldCharType="end"/>
      </w:r>
      <w:r>
        <w:rPr>
          <w:rFonts w:hint="eastAsia" w:ascii="宋体" w:hAnsi="宋体" w:eastAsia="宋体" w:cs="宋体"/>
          <w:snapToGrid w:val="0"/>
          <w:color w:val="auto"/>
          <w:spacing w:val="-6"/>
          <w:kern w:val="21"/>
          <w:szCs w:val="21"/>
          <w:highlight w:val="none"/>
        </w:rPr>
        <w:t>=</w:t>
      </w:r>
      <w:r>
        <w:rPr>
          <w:rFonts w:hint="eastAsia" w:ascii="宋体" w:hAnsi="宋体" w:eastAsia="宋体" w:cs="宋体"/>
          <w:snapToGrid w:val="0"/>
          <w:color w:val="auto"/>
          <w:spacing w:val="-16"/>
          <w:kern w:val="21"/>
          <w:szCs w:val="21"/>
          <w:highlight w:val="none"/>
        </w:rPr>
        <w:fldChar w:fldCharType="begin"/>
      </w:r>
      <w:r>
        <w:rPr>
          <w:rFonts w:hint="eastAsia" w:ascii="宋体" w:hAnsi="宋体" w:eastAsia="宋体" w:cs="宋体"/>
          <w:snapToGrid w:val="0"/>
          <w:color w:val="auto"/>
          <w:spacing w:val="-16"/>
          <w:kern w:val="21"/>
          <w:szCs w:val="21"/>
          <w:highlight w:val="none"/>
        </w:rPr>
        <w:instrText xml:space="preserve"> = 6 \* GB3 \* MERGEFORMAT </w:instrText>
      </w:r>
      <w:r>
        <w:rPr>
          <w:rFonts w:hint="eastAsia" w:ascii="宋体" w:hAnsi="宋体" w:eastAsia="宋体" w:cs="宋体"/>
          <w:snapToGrid w:val="0"/>
          <w:color w:val="auto"/>
          <w:spacing w:val="-16"/>
          <w:kern w:val="21"/>
          <w:szCs w:val="21"/>
          <w:highlight w:val="none"/>
        </w:rPr>
        <w:fldChar w:fldCharType="separate"/>
      </w:r>
      <w:r>
        <w:rPr>
          <w:rFonts w:hint="eastAsia" w:ascii="宋体" w:hAnsi="宋体" w:eastAsia="宋体" w:cs="宋体"/>
          <w:color w:val="auto"/>
          <w:szCs w:val="21"/>
          <w:highlight w:val="none"/>
        </w:rPr>
        <w:t>⑥</w:t>
      </w:r>
      <w:r>
        <w:rPr>
          <w:rFonts w:hint="eastAsia" w:ascii="宋体" w:hAnsi="宋体" w:eastAsia="宋体" w:cs="宋体"/>
          <w:snapToGrid w:val="0"/>
          <w:color w:val="auto"/>
          <w:spacing w:val="-16"/>
          <w:kern w:val="21"/>
          <w:szCs w:val="21"/>
          <w:highlight w:val="none"/>
        </w:rPr>
        <w:fldChar w:fldCharType="end"/>
      </w:r>
      <w:r>
        <w:rPr>
          <w:rFonts w:hint="eastAsia" w:ascii="宋体" w:hAnsi="宋体" w:eastAsia="宋体" w:cs="宋体"/>
          <w:snapToGrid w:val="0"/>
          <w:color w:val="auto"/>
          <w:spacing w:val="-16"/>
          <w:kern w:val="21"/>
          <w:szCs w:val="21"/>
          <w:highlight w:val="none"/>
        </w:rPr>
        <w:t>-</w:t>
      </w:r>
      <w:r>
        <w:rPr>
          <w:rFonts w:hint="eastAsia" w:ascii="宋体" w:hAnsi="宋体" w:eastAsia="宋体" w:cs="宋体"/>
          <w:snapToGrid w:val="0"/>
          <w:color w:val="auto"/>
          <w:spacing w:val="-6"/>
          <w:kern w:val="21"/>
          <w:szCs w:val="21"/>
          <w:highlight w:val="none"/>
        </w:rPr>
        <w:fldChar w:fldCharType="begin"/>
      </w:r>
      <w:r>
        <w:rPr>
          <w:rFonts w:hint="eastAsia" w:ascii="宋体" w:hAnsi="宋体" w:eastAsia="宋体" w:cs="宋体"/>
          <w:snapToGrid w:val="0"/>
          <w:color w:val="auto"/>
          <w:spacing w:val="-6"/>
          <w:kern w:val="21"/>
          <w:szCs w:val="21"/>
          <w:highlight w:val="none"/>
        </w:rPr>
        <w:instrText xml:space="preserve"> = 1 \* GB3 \* MERGEFORMAT </w:instrText>
      </w:r>
      <w:r>
        <w:rPr>
          <w:rFonts w:hint="eastAsia" w:ascii="宋体" w:hAnsi="宋体" w:eastAsia="宋体" w:cs="宋体"/>
          <w:snapToGrid w:val="0"/>
          <w:color w:val="auto"/>
          <w:spacing w:val="-6"/>
          <w:kern w:val="21"/>
          <w:szCs w:val="21"/>
          <w:highlight w:val="none"/>
        </w:rPr>
        <w:fldChar w:fldCharType="separate"/>
      </w:r>
      <w:r>
        <w:rPr>
          <w:rFonts w:hint="eastAsia" w:ascii="宋体" w:hAnsi="宋体" w:eastAsia="宋体" w:cs="宋体"/>
          <w:color w:val="auto"/>
          <w:szCs w:val="21"/>
          <w:highlight w:val="none"/>
        </w:rPr>
        <w:t>①</w:t>
      </w:r>
      <w:r>
        <w:rPr>
          <w:rFonts w:hint="eastAsia" w:ascii="宋体" w:hAnsi="宋体" w:eastAsia="宋体" w:cs="宋体"/>
          <w:snapToGrid w:val="0"/>
          <w:color w:val="auto"/>
          <w:spacing w:val="-6"/>
          <w:kern w:val="21"/>
          <w:szCs w:val="21"/>
          <w:highlight w:val="none"/>
        </w:rPr>
        <w:fldChar w:fldCharType="end"/>
      </w:r>
    </w:p>
    <w:p w14:paraId="1C3C3B4B">
      <w:pPr>
        <w:rPr>
          <w:rFonts w:hint="eastAsia" w:ascii="宋体" w:hAnsi="宋体" w:eastAsia="宋体" w:cs="宋体"/>
          <w:color w:val="auto"/>
          <w:highlight w:val="none"/>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8ED9F6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color w:val="auto"/>
          <w:highlight w:val="none"/>
        </w:rPr>
      </w:pPr>
      <w:r>
        <w:rPr>
          <w:color w:val="auto"/>
          <w:sz w:val="21"/>
          <w:highlight w:val="none"/>
        </w:rPr>
        <mc:AlternateContent>
          <mc:Choice Requires="wps">
            <w:drawing>
              <wp:anchor distT="0" distB="0" distL="114300" distR="114300" simplePos="0" relativeHeight="251669504" behindDoc="0" locked="0" layoutInCell="1" allowOverlap="1">
                <wp:simplePos x="0" y="0"/>
                <wp:positionH relativeFrom="column">
                  <wp:posOffset>4123690</wp:posOffset>
                </wp:positionH>
                <wp:positionV relativeFrom="paragraph">
                  <wp:posOffset>5240655</wp:posOffset>
                </wp:positionV>
                <wp:extent cx="181610" cy="180975"/>
                <wp:effectExtent l="13970" t="13970" r="33020" b="14605"/>
                <wp:wrapNone/>
                <wp:docPr id="40" name="矩形 40"/>
                <wp:cNvGraphicFramePr/>
                <a:graphic xmlns:a="http://schemas.openxmlformats.org/drawingml/2006/main">
                  <a:graphicData uri="http://schemas.microsoft.com/office/word/2010/wordprocessingShape">
                    <wps:wsp>
                      <wps:cNvSpPr/>
                      <wps:spPr>
                        <a:xfrm>
                          <a:off x="5131435" y="6155055"/>
                          <a:ext cx="181610" cy="180975"/>
                        </a:xfrm>
                        <a:prstGeom prst="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4.7pt;margin-top:412.65pt;height:14.25pt;width:14.3pt;z-index:251669504;v-text-anchor:middle;mso-width-relative:page;mso-height-relative:page;" filled="f" stroked="t" coordsize="21600,21600" o:gfxdata="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2+HLl2gAAAAsBAAAPAAAAAAAAAAEAIAAAACIA&#10;AABkcnMvZG93bnJldi54bWxQSwECFAAUAAAACACHTuJAsGzwOHkCAADYBAAADgAAAAAAAAABACAA&#10;AAApAQAAZHJzL2Uyb0RvYy54bWxQSwUGAAAAAAYABgBZAQAAFAYAAAAA&#10;">
                <v:fill on="f" focussize="0,0"/>
                <v:stroke weight="2.25pt" color="#FF0000 [2404]" miterlimit="8" joinstyle="miter"/>
                <v:imagedata o:title=""/>
                <o:lock v:ext="edit" aspectratio="f"/>
              </v:rect>
            </w:pict>
          </mc:Fallback>
        </mc:AlternateContent>
      </w:r>
      <w:r>
        <w:rPr>
          <w:rFonts w:hint="eastAsia" w:ascii="宋体" w:hAnsi="宋体" w:eastAsia="宋体" w:cs="宋体"/>
          <w:color w:val="auto"/>
          <w:highlight w:val="none"/>
        </w:rPr>
        <mc:AlternateContent>
          <mc:Choice Requires="wps">
            <w:drawing>
              <wp:anchor distT="0" distB="0" distL="114300" distR="114300" simplePos="0" relativeHeight="251659264" behindDoc="0" locked="0" layoutInCell="1" allowOverlap="1">
                <wp:simplePos x="0" y="0"/>
                <wp:positionH relativeFrom="column">
                  <wp:posOffset>4482465</wp:posOffset>
                </wp:positionH>
                <wp:positionV relativeFrom="paragraph">
                  <wp:posOffset>4396740</wp:posOffset>
                </wp:positionV>
                <wp:extent cx="1485900" cy="361315"/>
                <wp:effectExtent l="271780" t="6350" r="13970" b="603885"/>
                <wp:wrapNone/>
                <wp:docPr id="179142372" name="对话气泡: 矩形 6"/>
                <wp:cNvGraphicFramePr/>
                <a:graphic xmlns:a="http://schemas.openxmlformats.org/drawingml/2006/main">
                  <a:graphicData uri="http://schemas.microsoft.com/office/word/2010/wordprocessingShape">
                    <wps:wsp>
                      <wps:cNvSpPr/>
                      <wps:spPr>
                        <a:xfrm>
                          <a:off x="0" y="0"/>
                          <a:ext cx="1485900" cy="361315"/>
                        </a:xfrm>
                        <a:prstGeom prst="wedgeRectCallout">
                          <a:avLst>
                            <a:gd name="adj1" fmla="val -65994"/>
                            <a:gd name="adj2" fmla="val 205978"/>
                          </a:avLst>
                        </a:prstGeom>
                        <a:solidFill>
                          <a:schemeClr val="bg1"/>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9C37228">
                            <w:pPr>
                              <w:jc w:val="center"/>
                              <w:rPr>
                                <w:color w:val="000000" w:themeColor="text1"/>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项目所在区域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6" o:spid="_x0000_s1026" o:spt="61" type="#_x0000_t61" style="position:absolute;left:0pt;margin-left:352.95pt;margin-top:346.2pt;height:28.45pt;width:117pt;z-index:251659264;v-text-anchor:middle;mso-width-relative:page;mso-height-relative:page;" fillcolor="#FFFFFF [3212]" filled="t" stroked="t" coordsize="21600,21600" o:gfxdata="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JQVvnvZAAAACwEAAA8A&#10;AAAAAAAAAQAgAAAAIgAAAGRycy9kb3ducmV2LnhtbFBLAQIUABQAAAAIAIdO4kB914l6wQIAAHQF&#10;AAAOAAAAAAAAAAEAIAAAACgBAABkcnMvZTJvRG9jLnhtbFBLBQYAAAAABgAGAFkBAABbBgAAAAA=&#10;" adj="-3455,55291">
                <v:fill on="t" focussize="0,0"/>
                <v:stroke weight="1pt" color="#FF0000 [3204]" miterlimit="8" joinstyle="miter"/>
                <v:imagedata o:title=""/>
                <o:lock v:ext="edit" aspectratio="f"/>
                <v:textbox>
                  <w:txbxContent>
                    <w:p w14:paraId="59C37228">
                      <w:pPr>
                        <w:jc w:val="center"/>
                        <w:rPr>
                          <w:color w:val="000000" w:themeColor="text1"/>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项目所在区域</w:t>
                      </w:r>
                    </w:p>
                  </w:txbxContent>
                </v:textbox>
              </v:shape>
            </w:pict>
          </mc:Fallback>
        </mc:AlternateContent>
      </w:r>
      <w:r>
        <w:rPr>
          <w:rFonts w:hint="eastAsia" w:ascii="宋体" w:hAnsi="宋体" w:eastAsia="宋体" w:cs="宋体"/>
          <w:b/>
          <w:color w:val="auto"/>
          <w:sz w:val="28"/>
          <w:szCs w:val="28"/>
          <w:highlight w:val="none"/>
        </w:rPr>
        <w:t>附图1  项目地理位置</w:t>
      </w:r>
      <w:r>
        <w:rPr>
          <w:rFonts w:hint="eastAsia" w:ascii="宋体" w:hAnsi="宋体" w:eastAsia="宋体" w:cs="宋体"/>
          <w:color w:val="auto"/>
          <w:highlight w:val="none"/>
        </w:rPr>
        <w:drawing>
          <wp:inline distT="0" distB="0" distL="114300" distR="114300">
            <wp:extent cx="5626100" cy="7413625"/>
            <wp:effectExtent l="0" t="0" r="12700" b="15875"/>
            <wp:docPr id="31" name="图片 31" descr="磴口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磴口县"/>
                    <pic:cNvPicPr>
                      <a:picLocks noChangeAspect="1"/>
                    </pic:cNvPicPr>
                  </pic:nvPicPr>
                  <pic:blipFill>
                    <a:blip r:embed="rId13"/>
                    <a:stretch>
                      <a:fillRect/>
                    </a:stretch>
                  </pic:blipFill>
                  <pic:spPr>
                    <a:xfrm>
                      <a:off x="0" y="0"/>
                      <a:ext cx="5626100" cy="7413625"/>
                    </a:xfrm>
                    <a:prstGeom prst="rect">
                      <a:avLst/>
                    </a:prstGeom>
                  </pic:spPr>
                </pic:pic>
              </a:graphicData>
            </a:graphic>
          </wp:inline>
        </w:drawing>
      </w:r>
      <w:r>
        <w:rPr>
          <w:rFonts w:hint="eastAsia" w:ascii="宋体" w:hAnsi="宋体" w:eastAsia="宋体" w:cs="宋体"/>
          <w:color w:val="auto"/>
          <w:highlight w:val="none"/>
        </w:rPr>
        <w:t xml:space="preserve"> </w:t>
      </w:r>
    </w:p>
    <w:p w14:paraId="5205BFF0">
      <w:pPr>
        <w:jc w:val="both"/>
        <w:rPr>
          <w:rFonts w:hint="eastAsia" w:ascii="宋体" w:hAnsi="宋体" w:eastAsia="宋体" w:cs="宋体"/>
          <w:b/>
          <w:color w:val="auto"/>
          <w:highlight w:val="none"/>
        </w:rPr>
        <w:sectPr>
          <w:pgSz w:w="11906" w:h="16838"/>
          <w:pgMar w:top="1440" w:right="1797" w:bottom="1440" w:left="1797" w:header="964" w:footer="964" w:gutter="0"/>
          <w:pgBorders>
            <w:top w:val="none" w:sz="0" w:space="0"/>
            <w:left w:val="none" w:sz="0" w:space="0"/>
            <w:bottom w:val="none" w:sz="0" w:space="0"/>
            <w:right w:val="none" w:sz="0" w:space="0"/>
          </w:pgBorders>
          <w:cols w:space="720" w:num="1"/>
          <w:docGrid w:linePitch="312" w:charSpace="0"/>
        </w:sectPr>
      </w:pPr>
    </w:p>
    <w:p w14:paraId="2B438B4F">
      <w:pPr>
        <w:keepNext w:val="0"/>
        <w:keepLines w:val="0"/>
        <w:pageBreakBefore w:val="0"/>
        <w:widowControl w:val="0"/>
        <w:tabs>
          <w:tab w:val="center" w:pos="4156"/>
        </w:tabs>
        <w:kinsoku/>
        <w:wordWrap/>
        <w:overflowPunct/>
        <w:topLinePunct w:val="0"/>
        <w:autoSpaceDE/>
        <w:autoSpaceDN/>
        <w:bidi w:val="0"/>
        <w:adjustRightInd/>
        <w:snapToGrid/>
        <w:spacing w:line="360" w:lineRule="auto"/>
        <w:ind w:left="0" w:hanging="3373" w:hangingChars="1200"/>
        <w:jc w:val="center"/>
        <w:textAlignment w:val="auto"/>
        <w:rPr>
          <w:rFonts w:hint="eastAsia" w:ascii="宋体" w:hAnsi="宋体" w:eastAsia="宋体" w:cs="宋体"/>
          <w:color w:val="auto"/>
          <w:highlight w:val="none"/>
        </w:rPr>
      </w:pPr>
      <w:r>
        <w:rPr>
          <w:rFonts w:hint="eastAsia" w:ascii="宋体" w:hAnsi="宋体" w:eastAsia="宋体" w:cs="宋体"/>
          <w:b/>
          <w:color w:val="auto"/>
          <w:sz w:val="28"/>
          <w:szCs w:val="28"/>
          <w:highlight w:val="none"/>
        </w:rPr>
        <w:t>附图</w:t>
      </w:r>
      <w:r>
        <w:rPr>
          <w:rFonts w:hint="eastAsia" w:ascii="宋体" w:hAnsi="宋体" w:eastAsia="宋体" w:cs="宋体"/>
          <w:b/>
          <w:color w:val="auto"/>
          <w:sz w:val="28"/>
          <w:szCs w:val="28"/>
          <w:highlight w:val="none"/>
          <w:lang w:val="en-US" w:eastAsia="zh-CN"/>
        </w:rPr>
        <w:t>2</w:t>
      </w:r>
      <w:r>
        <w:rPr>
          <w:rFonts w:hint="eastAsia" w:ascii="宋体" w:hAnsi="宋体" w:eastAsia="宋体" w:cs="宋体"/>
          <w:b/>
          <w:color w:val="auto"/>
          <w:sz w:val="28"/>
          <w:szCs w:val="28"/>
          <w:highlight w:val="none"/>
        </w:rPr>
        <w:t xml:space="preserve"> </w:t>
      </w:r>
      <w:r>
        <w:rPr>
          <w:rFonts w:hint="eastAsia" w:ascii="宋体" w:hAnsi="宋体" w:eastAsia="宋体" w:cs="宋体"/>
          <w:b/>
          <w:color w:val="auto"/>
          <w:sz w:val="28"/>
          <w:szCs w:val="28"/>
          <w:highlight w:val="none"/>
          <w:lang w:val="en-US" w:eastAsia="zh-CN"/>
        </w:rPr>
        <w:t>项目四邻关系图</w:t>
      </w:r>
      <w:r>
        <w:rPr>
          <w:rFonts w:hint="eastAsia" w:ascii="宋体" w:hAnsi="宋体" w:eastAsia="宋体" w:cs="宋体"/>
          <w:color w:val="auto"/>
          <w:highlight w:val="none"/>
        </w:rPr>
        <w:t xml:space="preserve"> </w:t>
      </w:r>
    </w:p>
    <w:p w14:paraId="42AC5B8C">
      <w:pPr>
        <w:keepNext w:val="0"/>
        <w:keepLines w:val="0"/>
        <w:pageBreakBefore w:val="0"/>
        <w:widowControl w:val="0"/>
        <w:tabs>
          <w:tab w:val="center" w:pos="4156"/>
        </w:tabs>
        <w:kinsoku/>
        <w:wordWrap/>
        <w:overflowPunct/>
        <w:topLinePunct w:val="0"/>
        <w:autoSpaceDE/>
        <w:autoSpaceDN/>
        <w:bidi w:val="0"/>
        <w:adjustRightInd/>
        <w:snapToGrid/>
        <w:spacing w:line="360" w:lineRule="auto"/>
        <w:ind w:left="0" w:hanging="2520" w:hangingChars="1200"/>
        <w:jc w:val="center"/>
        <w:textAlignment w:val="auto"/>
        <w:rPr>
          <w:rFonts w:hint="eastAsia" w:ascii="宋体" w:hAnsi="宋体" w:eastAsia="宋体" w:cs="宋体"/>
          <w:b/>
          <w:color w:val="auto"/>
          <w:sz w:val="28"/>
          <w:szCs w:val="28"/>
          <w:highlight w:val="none"/>
        </w:rPr>
        <w:sectPr>
          <w:pgSz w:w="16838" w:h="11906" w:orient="landscape"/>
          <w:pgMar w:top="1797" w:right="1440" w:bottom="1797" w:left="1440" w:header="964" w:footer="964"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color w:val="auto"/>
          <w:sz w:val="21"/>
          <w:highlight w:val="none"/>
        </w:rPr>
        <mc:AlternateContent>
          <mc:Choice Requires="wps">
            <w:drawing>
              <wp:anchor distT="0" distB="0" distL="114300" distR="114300" simplePos="0" relativeHeight="251660288" behindDoc="0" locked="0" layoutInCell="1" allowOverlap="1">
                <wp:simplePos x="0" y="0"/>
                <wp:positionH relativeFrom="column">
                  <wp:posOffset>4304030</wp:posOffset>
                </wp:positionH>
                <wp:positionV relativeFrom="paragraph">
                  <wp:posOffset>2823210</wp:posOffset>
                </wp:positionV>
                <wp:extent cx="1199515" cy="371475"/>
                <wp:effectExtent l="192405" t="6350" r="17780" b="517525"/>
                <wp:wrapNone/>
                <wp:docPr id="19" name="圆角矩形标注 19"/>
                <wp:cNvGraphicFramePr/>
                <a:graphic xmlns:a="http://schemas.openxmlformats.org/drawingml/2006/main">
                  <a:graphicData uri="http://schemas.microsoft.com/office/word/2010/wordprocessingShape">
                    <wps:wsp>
                      <wps:cNvSpPr/>
                      <wps:spPr>
                        <a:xfrm>
                          <a:off x="5399405" y="2223770"/>
                          <a:ext cx="1199515" cy="371475"/>
                        </a:xfrm>
                        <a:prstGeom prst="wedgeRoundRectCallout">
                          <a:avLst>
                            <a:gd name="adj1" fmla="val -63495"/>
                            <a:gd name="adj2" fmla="val 178484"/>
                            <a:gd name="adj3" fmla="val 16667"/>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46612CE">
                            <w:pPr>
                              <w:jc w:val="center"/>
                              <w:rPr>
                                <w:rFonts w:hint="default" w:eastAsia="宋体"/>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8.9pt;margin-top:222.3pt;height:29.25pt;width:94.45pt;z-index:251660288;v-text-anchor:middle;mso-width-relative:page;mso-height-relative:page;" fillcolor="#FFFFFF [3212]" filled="t" stroked="t" coordsize="21600,21600" o:gfxdata="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" adj="-2915,49353,14400">
                <v:fill on="t" focussize="0,0"/>
                <v:stroke weight="1pt" color="#FF0000 [2404]" miterlimit="8" joinstyle="miter"/>
                <v:imagedata o:title=""/>
                <o:lock v:ext="edit" aspectratio="f"/>
                <v:textbox>
                  <w:txbxContent>
                    <w:p w14:paraId="646612CE">
                      <w:pPr>
                        <w:jc w:val="center"/>
                        <w:rPr>
                          <w:rFonts w:hint="default" w:eastAsia="宋体"/>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本项目位置</w:t>
                      </w:r>
                    </w:p>
                  </w:txbxContent>
                </v:textbox>
              </v:shape>
            </w:pict>
          </mc:Fallback>
        </mc:AlternateContent>
      </w:r>
      <w:r>
        <w:rPr>
          <w:color w:val="auto"/>
          <w:sz w:val="21"/>
          <w:highlight w:val="none"/>
        </w:rPr>
        <mc:AlternateContent>
          <mc:Choice Requires="wps">
            <w:drawing>
              <wp:anchor distT="0" distB="0" distL="114300" distR="114300" simplePos="0" relativeHeight="251670528" behindDoc="0" locked="0" layoutInCell="1" allowOverlap="1">
                <wp:simplePos x="0" y="0"/>
                <wp:positionH relativeFrom="column">
                  <wp:posOffset>3938270</wp:posOffset>
                </wp:positionH>
                <wp:positionV relativeFrom="paragraph">
                  <wp:posOffset>3500120</wp:posOffset>
                </wp:positionV>
                <wp:extent cx="438150" cy="266700"/>
                <wp:effectExtent l="19050" t="19050" r="19050" b="19050"/>
                <wp:wrapNone/>
                <wp:docPr id="45" name="矩形 45"/>
                <wp:cNvGraphicFramePr/>
                <a:graphic xmlns:a="http://schemas.openxmlformats.org/drawingml/2006/main">
                  <a:graphicData uri="http://schemas.microsoft.com/office/word/2010/wordprocessingShape">
                    <wps:wsp>
                      <wps:cNvSpPr/>
                      <wps:spPr>
                        <a:xfrm flipV="1">
                          <a:off x="4538345" y="4660265"/>
                          <a:ext cx="438150" cy="266700"/>
                        </a:xfrm>
                        <a:prstGeom prst="rect">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y;margin-left:310.1pt;margin-top:275.6pt;height:21pt;width:34.5pt;z-index:251670528;v-text-anchor:middle;mso-width-relative:page;mso-height-relative:page;" filled="f" stroked="t" coordsize="21600,21600" o:gfxdata="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Cbb4kDYAAAACwEAAA8AAAAAAAAAAQAgAAAA&#10;IgAAAGRycy9kb3ducmV2LnhtbFBLAQIUABQAAAAIAIdO4kDxuxH6fQIAAOIEAAAOAAAAAAAAAAEA&#10;IAAAACcBAABkcnMvZTJvRG9jLnhtbFBLBQYAAAAABgAGAFkBAAAWBgAAAAA=&#10;">
                <v:fill on="f" focussize="0,0"/>
                <v:stroke weight="3pt" color="#FF0000 [2404]" miterlimit="8" joinstyle="miter"/>
                <v:imagedata o:title=""/>
                <o:lock v:ext="edit" aspectratio="f"/>
              </v:rect>
            </w:pict>
          </mc:Fallback>
        </mc:AlternateContent>
      </w:r>
      <w:r>
        <w:rPr>
          <w:color w:val="auto"/>
          <w:highlight w:val="none"/>
        </w:rPr>
        <w:drawing>
          <wp:anchor distT="0" distB="0" distL="114300" distR="114300" simplePos="0" relativeHeight="251663360" behindDoc="0" locked="0" layoutInCell="1" allowOverlap="1">
            <wp:simplePos x="0" y="0"/>
            <wp:positionH relativeFrom="column">
              <wp:posOffset>668655</wp:posOffset>
            </wp:positionH>
            <wp:positionV relativeFrom="paragraph">
              <wp:posOffset>4362450</wp:posOffset>
            </wp:positionV>
            <wp:extent cx="791845" cy="450850"/>
            <wp:effectExtent l="0" t="0" r="8255" b="3810"/>
            <wp:wrapNone/>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4"/>
                    <a:stretch>
                      <a:fillRect/>
                    </a:stretch>
                  </pic:blipFill>
                  <pic:spPr>
                    <a:xfrm>
                      <a:off x="0" y="0"/>
                      <a:ext cx="791845" cy="450850"/>
                    </a:xfrm>
                    <a:prstGeom prst="rect">
                      <a:avLst/>
                    </a:prstGeom>
                    <a:noFill/>
                    <a:ln>
                      <a:noFill/>
                    </a:ln>
                  </pic:spPr>
                </pic:pic>
              </a:graphicData>
            </a:graphic>
          </wp:anchor>
        </w:drawing>
      </w:r>
      <w:r>
        <w:rPr>
          <w:color w:val="auto"/>
          <w:sz w:val="21"/>
          <w:highlight w:val="none"/>
        </w:rPr>
        <mc:AlternateContent>
          <mc:Choice Requires="wps">
            <w:drawing>
              <wp:anchor distT="0" distB="0" distL="114300" distR="114300" simplePos="0" relativeHeight="251671552" behindDoc="0" locked="0" layoutInCell="1" allowOverlap="1">
                <wp:simplePos x="0" y="0"/>
                <wp:positionH relativeFrom="column">
                  <wp:posOffset>3599180</wp:posOffset>
                </wp:positionH>
                <wp:positionV relativeFrom="paragraph">
                  <wp:posOffset>1347470</wp:posOffset>
                </wp:positionV>
                <wp:extent cx="1781175" cy="839470"/>
                <wp:effectExtent l="19050" t="19050" r="28575" b="36830"/>
                <wp:wrapNone/>
                <wp:docPr id="47" name="文本框 47"/>
                <wp:cNvGraphicFramePr/>
                <a:graphic xmlns:a="http://schemas.openxmlformats.org/drawingml/2006/main">
                  <a:graphicData uri="http://schemas.microsoft.com/office/word/2010/wordprocessingShape">
                    <wps:wsp>
                      <wps:cNvSpPr txBox="1"/>
                      <wps:spPr>
                        <a:xfrm>
                          <a:off x="4980305" y="2593340"/>
                          <a:ext cx="1781175" cy="839470"/>
                        </a:xfrm>
                        <a:prstGeom prst="rect">
                          <a:avLst/>
                        </a:prstGeom>
                        <a:solidFill>
                          <a:schemeClr val="bg1"/>
                        </a:solidFill>
                        <a:ln w="3810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6FFB66C9">
                            <w:pPr>
                              <w:rPr>
                                <w:rFonts w:hint="default" w:eastAsia="宋体"/>
                                <w:b/>
                                <w:bCs/>
                                <w:color w:val="auto"/>
                                <w:sz w:val="28"/>
                                <w:szCs w:val="28"/>
                                <w:lang w:val="en-US" w:eastAsia="zh-CN"/>
                              </w:rPr>
                            </w:pPr>
                            <w:r>
                              <w:rPr>
                                <w:rFonts w:hint="eastAsia"/>
                                <w:b/>
                                <w:bCs/>
                                <w:color w:val="auto"/>
                                <w:sz w:val="28"/>
                                <w:szCs w:val="28"/>
                                <w:lang w:val="en-US" w:eastAsia="zh-CN"/>
                              </w:rPr>
                              <w:t>上海佳格食品有限公司内蒙古分公司厂区位置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4pt;margin-top:106.1pt;height:66.1pt;width:140.25pt;z-index:251671552;mso-width-relative:page;mso-height-relative:page;" fillcolor="#FFFFFF [3212]" filled="t" stroked="t" coordsize="21600,21600" o:gfxdata="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1qbktNoAAAALAQAADwAAAAAAAAABACAAAAAiAAAAZHJzL2Rvd25yZXYueG1sUEsB&#10;AhQAFAAAAAgAh07iQL2ICwxlAgAAxwQAAA4AAAAAAAAAAQAgAAAAKQEAAGRycy9lMm9Eb2MueG1s&#10;UEsFBgAAAAAGAAYAWQEAAAAGAAAAAA==&#10;">
                <v:fill on="t" focussize="0,0"/>
                <v:stroke weight="3pt" color="#FF0000 [3204]" joinstyle="round"/>
                <v:imagedata o:title=""/>
                <o:lock v:ext="edit" aspectratio="f"/>
                <v:textbox>
                  <w:txbxContent>
                    <w:p w14:paraId="6FFB66C9">
                      <w:pPr>
                        <w:rPr>
                          <w:rFonts w:hint="default" w:eastAsia="宋体"/>
                          <w:b/>
                          <w:bCs/>
                          <w:color w:val="auto"/>
                          <w:sz w:val="28"/>
                          <w:szCs w:val="28"/>
                          <w:lang w:val="en-US" w:eastAsia="zh-CN"/>
                        </w:rPr>
                      </w:pPr>
                      <w:r>
                        <w:rPr>
                          <w:rFonts w:hint="eastAsia"/>
                          <w:b/>
                          <w:bCs/>
                          <w:color w:val="auto"/>
                          <w:sz w:val="28"/>
                          <w:szCs w:val="28"/>
                          <w:lang w:val="en-US" w:eastAsia="zh-CN"/>
                        </w:rPr>
                        <w:t>上海佳格食品有限公司内蒙古分公司厂区位置</w:t>
                      </w:r>
                    </w:p>
                  </w:txbxContent>
                </v:textbox>
              </v:shape>
            </w:pict>
          </mc:Fallback>
        </mc:AlternateContent>
      </w:r>
      <w:r>
        <w:rPr>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5484495</wp:posOffset>
                </wp:positionH>
                <wp:positionV relativeFrom="paragraph">
                  <wp:posOffset>767080</wp:posOffset>
                </wp:positionV>
                <wp:extent cx="971550" cy="552450"/>
                <wp:effectExtent l="0" t="0" r="0" b="0"/>
                <wp:wrapNone/>
                <wp:docPr id="23" name="文本框 23"/>
                <wp:cNvGraphicFramePr/>
                <a:graphic xmlns:a="http://schemas.openxmlformats.org/drawingml/2006/main">
                  <a:graphicData uri="http://schemas.microsoft.com/office/word/2010/wordprocessingShape">
                    <wps:wsp>
                      <wps:cNvSpPr txBox="1"/>
                      <wps:spPr>
                        <a:xfrm>
                          <a:off x="7332345" y="5825490"/>
                          <a:ext cx="971550" cy="552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5A431E">
                            <w:pPr>
                              <w:rPr>
                                <w:rFonts w:hint="default" w:eastAsia="宋体"/>
                                <w:b/>
                                <w:bCs/>
                                <w:color w:val="FFFF00"/>
                                <w:sz w:val="48"/>
                                <w:szCs w:val="48"/>
                                <w:lang w:val="en-US" w:eastAsia="zh-CN"/>
                              </w:rPr>
                            </w:pPr>
                            <w:r>
                              <w:rPr>
                                <w:rFonts w:hint="eastAsia"/>
                                <w:b/>
                                <w:bCs/>
                                <w:color w:val="FFFF00"/>
                                <w:sz w:val="48"/>
                                <w:szCs w:val="48"/>
                                <w:lang w:val="en-US" w:eastAsia="zh-CN"/>
                              </w:rPr>
                              <w:t>荒地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1.85pt;margin-top:60.4pt;height:43.5pt;width:76.5pt;z-index:251667456;mso-width-relative:page;mso-height-relative:page;" filled="f" stroked="f" coordsize="21600,21600" o:gfxdata="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qOhqItsAAAAMAQAADwAAAAAAAAAB&#10;ACAAAAAiAAAAZHJzL2Rvd25yZXYueG1sUEsBAhQAFAAAAAgAh07iQNZSRApGAgAAcwQAAA4AAAAA&#10;AAAAAQAgAAAAKgEAAGRycy9lMm9Eb2MueG1sUEsFBgAAAAAGAAYAWQEAAOIFAAAAAA==&#10;">
                <v:fill on="f" focussize="0,0"/>
                <v:stroke on="f" weight="0.5pt"/>
                <v:imagedata o:title=""/>
                <o:lock v:ext="edit" aspectratio="f"/>
                <v:textbox>
                  <w:txbxContent>
                    <w:p w14:paraId="795A431E">
                      <w:pPr>
                        <w:rPr>
                          <w:rFonts w:hint="default" w:eastAsia="宋体"/>
                          <w:b/>
                          <w:bCs/>
                          <w:color w:val="FFFF00"/>
                          <w:sz w:val="48"/>
                          <w:szCs w:val="48"/>
                          <w:lang w:val="en-US" w:eastAsia="zh-CN"/>
                        </w:rPr>
                      </w:pPr>
                      <w:r>
                        <w:rPr>
                          <w:rFonts w:hint="eastAsia"/>
                          <w:b/>
                          <w:bCs/>
                          <w:color w:val="FFFF00"/>
                          <w:sz w:val="48"/>
                          <w:szCs w:val="48"/>
                          <w:lang w:val="en-US" w:eastAsia="zh-CN"/>
                        </w:rPr>
                        <w:t>荒地</w:t>
                      </w:r>
                    </w:p>
                  </w:txbxContent>
                </v:textbox>
              </v:shape>
            </w:pict>
          </mc:Fallback>
        </mc:AlternateContent>
      </w:r>
      <w:r>
        <w:rPr>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2665095</wp:posOffset>
                </wp:positionH>
                <wp:positionV relativeFrom="paragraph">
                  <wp:posOffset>3736340</wp:posOffset>
                </wp:positionV>
                <wp:extent cx="1054100" cy="438150"/>
                <wp:effectExtent l="0" t="0" r="0" b="0"/>
                <wp:wrapNone/>
                <wp:docPr id="20" name="文本框 20"/>
                <wp:cNvGraphicFramePr/>
                <a:graphic xmlns:a="http://schemas.openxmlformats.org/drawingml/2006/main">
                  <a:graphicData uri="http://schemas.microsoft.com/office/word/2010/wordprocessingShape">
                    <wps:wsp>
                      <wps:cNvSpPr txBox="1"/>
                      <wps:spPr>
                        <a:xfrm>
                          <a:off x="5846445" y="4406265"/>
                          <a:ext cx="105410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16D0D2">
                            <w:pPr>
                              <w:rPr>
                                <w:rFonts w:hint="default" w:eastAsia="宋体"/>
                                <w:b/>
                                <w:bCs/>
                                <w:color w:val="FFFF00"/>
                                <w:sz w:val="48"/>
                                <w:szCs w:val="48"/>
                                <w:lang w:val="en-US" w:eastAsia="zh-CN"/>
                              </w:rPr>
                            </w:pPr>
                            <w:r>
                              <w:rPr>
                                <w:rFonts w:hint="eastAsia"/>
                                <w:b/>
                                <w:bCs/>
                                <w:color w:val="FFFF00"/>
                                <w:sz w:val="48"/>
                                <w:szCs w:val="48"/>
                                <w:lang w:val="en-US" w:eastAsia="zh-CN"/>
                              </w:rPr>
                              <w:t>荒地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85pt;margin-top:294.2pt;height:34.5pt;width:83pt;z-index:251666432;mso-width-relative:page;mso-height-relative:page;" filled="f" stroked="f" coordsize="21600,21600" o:gfxdata="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s9+aB3AAAAAsBAAAPAAAAAAAA&#10;AAEAIAAAACIAAABkcnMvZG93bnJldi54bWxQSwECFAAUAAAACACHTuJAByrNz0cCAAB0BAAADgAA&#10;AAAAAAABACAAAAArAQAAZHJzL2Uyb0RvYy54bWxQSwUGAAAAAAYABgBZAQAA5AUAAAAA&#10;">
                <v:fill on="f" focussize="0,0"/>
                <v:stroke on="f" weight="0.5pt"/>
                <v:imagedata o:title=""/>
                <o:lock v:ext="edit" aspectratio="f"/>
                <v:textbox>
                  <w:txbxContent>
                    <w:p w14:paraId="7D16D0D2">
                      <w:pPr>
                        <w:rPr>
                          <w:rFonts w:hint="default" w:eastAsia="宋体"/>
                          <w:b/>
                          <w:bCs/>
                          <w:color w:val="FFFF00"/>
                          <w:sz w:val="48"/>
                          <w:szCs w:val="48"/>
                          <w:lang w:val="en-US" w:eastAsia="zh-CN"/>
                        </w:rPr>
                      </w:pPr>
                      <w:r>
                        <w:rPr>
                          <w:rFonts w:hint="eastAsia"/>
                          <w:b/>
                          <w:bCs/>
                          <w:color w:val="FFFF00"/>
                          <w:sz w:val="48"/>
                          <w:szCs w:val="48"/>
                          <w:lang w:val="en-US" w:eastAsia="zh-CN"/>
                        </w:rPr>
                        <w:t>荒地</w:t>
                      </w:r>
                    </w:p>
                  </w:txbxContent>
                </v:textbox>
              </v:shape>
            </w:pict>
          </mc:Fallback>
        </mc:AlternateContent>
      </w:r>
      <w:r>
        <w:rPr>
          <w:color w:val="auto"/>
          <w:highlight w:val="none"/>
        </w:rPr>
        <w:drawing>
          <wp:inline distT="0" distB="0" distL="114300" distR="114300">
            <wp:extent cx="7428865" cy="4867275"/>
            <wp:effectExtent l="0" t="0" r="635" b="9525"/>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15"/>
                    <a:stretch>
                      <a:fillRect/>
                    </a:stretch>
                  </pic:blipFill>
                  <pic:spPr>
                    <a:xfrm>
                      <a:off x="0" y="0"/>
                      <a:ext cx="7428865" cy="4867275"/>
                    </a:xfrm>
                    <a:prstGeom prst="rect">
                      <a:avLst/>
                    </a:prstGeom>
                    <a:noFill/>
                    <a:ln>
                      <a:noFill/>
                    </a:ln>
                  </pic:spPr>
                </pic:pic>
              </a:graphicData>
            </a:graphic>
          </wp:inline>
        </w:drawing>
      </w:r>
      <w:r>
        <w:rPr>
          <w:color w:val="auto"/>
          <w:sz w:val="24"/>
          <w:highlight w:val="none"/>
        </w:rPr>
        <mc:AlternateContent>
          <mc:Choice Requires="wps">
            <w:drawing>
              <wp:anchor distT="0" distB="0" distL="114300" distR="114300" simplePos="0" relativeHeight="251665408" behindDoc="0" locked="0" layoutInCell="1" allowOverlap="1">
                <wp:simplePos x="0" y="0"/>
                <wp:positionH relativeFrom="column">
                  <wp:posOffset>3733800</wp:posOffset>
                </wp:positionH>
                <wp:positionV relativeFrom="paragraph">
                  <wp:posOffset>128905</wp:posOffset>
                </wp:positionV>
                <wp:extent cx="1258570" cy="466725"/>
                <wp:effectExtent l="0" t="0" r="0" b="0"/>
                <wp:wrapNone/>
                <wp:docPr id="17" name="文本框 17"/>
                <wp:cNvGraphicFramePr/>
                <a:graphic xmlns:a="http://schemas.openxmlformats.org/drawingml/2006/main">
                  <a:graphicData uri="http://schemas.microsoft.com/office/word/2010/wordprocessingShape">
                    <wps:wsp>
                      <wps:cNvSpPr txBox="1"/>
                      <wps:spPr>
                        <a:xfrm>
                          <a:off x="4360545" y="3148965"/>
                          <a:ext cx="1258570" cy="466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BD1128">
                            <w:pPr>
                              <w:jc w:val="left"/>
                              <w:rPr>
                                <w:rFonts w:hint="default" w:eastAsia="宋体"/>
                                <w:b/>
                                <w:bCs/>
                                <w:color w:val="FFFF00"/>
                                <w:sz w:val="48"/>
                                <w:szCs w:val="48"/>
                                <w:lang w:val="en-US" w:eastAsia="zh-CN"/>
                              </w:rPr>
                            </w:pPr>
                            <w:r>
                              <w:rPr>
                                <w:rFonts w:hint="eastAsia"/>
                                <w:b/>
                                <w:bCs/>
                                <w:color w:val="FFFF00"/>
                                <w:sz w:val="48"/>
                                <w:szCs w:val="48"/>
                                <w:lang w:val="en-US" w:eastAsia="zh-CN"/>
                              </w:rPr>
                              <w:t>荒地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pt;margin-top:10.15pt;height:36.75pt;width:99.1pt;z-index:251665408;mso-width-relative:page;mso-height-relative:page;" filled="f" stroked="f" coordsize="21600,21600" o:gfxdata="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t6zDA2wAAAAkBAAAPAAAA&#10;AAAAAAEAIAAAACIAAABkcnMvZG93bnJldi54bWxQSwECFAAUAAAACACHTuJAZnwLqksCAAB0BAAA&#10;DgAAAAAAAAABACAAAAAqAQAAZHJzL2Uyb0RvYy54bWxQSwUGAAAAAAYABgBZAQAA5wUAAAAA&#10;">
                <v:fill on="f" focussize="0,0"/>
                <v:stroke on="f" weight="0.5pt"/>
                <v:imagedata o:title=""/>
                <o:lock v:ext="edit" aspectratio="f"/>
                <v:textbox>
                  <w:txbxContent>
                    <w:p w14:paraId="23BD1128">
                      <w:pPr>
                        <w:jc w:val="left"/>
                        <w:rPr>
                          <w:rFonts w:hint="default" w:eastAsia="宋体"/>
                          <w:b/>
                          <w:bCs/>
                          <w:color w:val="FFFF00"/>
                          <w:sz w:val="48"/>
                          <w:szCs w:val="48"/>
                          <w:lang w:val="en-US" w:eastAsia="zh-CN"/>
                        </w:rPr>
                      </w:pPr>
                      <w:r>
                        <w:rPr>
                          <w:rFonts w:hint="eastAsia"/>
                          <w:b/>
                          <w:bCs/>
                          <w:color w:val="FFFF00"/>
                          <w:sz w:val="48"/>
                          <w:szCs w:val="48"/>
                          <w:lang w:val="en-US" w:eastAsia="zh-CN"/>
                        </w:rPr>
                        <w:t>荒地</w:t>
                      </w:r>
                    </w:p>
                  </w:txbxContent>
                </v:textbox>
              </v:shape>
            </w:pict>
          </mc:Fallback>
        </mc:AlternateContent>
      </w:r>
      <w:r>
        <w:rPr>
          <w:rFonts w:hint="eastAsia" w:ascii="宋体" w:hAnsi="宋体" w:eastAsia="宋体" w:cs="宋体"/>
          <w:color w:val="auto"/>
          <w:sz w:val="24"/>
          <w:highlight w:val="none"/>
        </w:rPr>
        <mc:AlternateContent>
          <mc:Choice Requires="wps">
            <w:drawing>
              <wp:anchor distT="0" distB="0" distL="114300" distR="114300" simplePos="0" relativeHeight="251661312" behindDoc="0" locked="0" layoutInCell="1" allowOverlap="1">
                <wp:simplePos x="0" y="0"/>
                <wp:positionH relativeFrom="column">
                  <wp:posOffset>798830</wp:posOffset>
                </wp:positionH>
                <wp:positionV relativeFrom="paragraph">
                  <wp:posOffset>22225</wp:posOffset>
                </wp:positionV>
                <wp:extent cx="2610485" cy="334645"/>
                <wp:effectExtent l="4445" t="4445" r="13970" b="22860"/>
                <wp:wrapNone/>
                <wp:docPr id="24" name="文本框 24"/>
                <wp:cNvGraphicFramePr/>
                <a:graphic xmlns:a="http://schemas.openxmlformats.org/drawingml/2006/main">
                  <a:graphicData uri="http://schemas.microsoft.com/office/word/2010/wordprocessingShape">
                    <wps:wsp>
                      <wps:cNvSpPr txBox="1"/>
                      <wps:spPr>
                        <a:xfrm>
                          <a:off x="3894455" y="1518920"/>
                          <a:ext cx="2610485" cy="3346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461F157">
                            <w:pPr>
                              <w:jc w:val="center"/>
                              <w:rPr>
                                <w:rFonts w:hint="default" w:eastAsia="宋体"/>
                                <w:b/>
                                <w:bCs/>
                                <w:sz w:val="30"/>
                                <w:szCs w:val="30"/>
                                <w:lang w:val="en-US" w:eastAsia="zh-CN"/>
                              </w:rPr>
                            </w:pPr>
                            <w:r>
                              <w:rPr>
                                <w:rFonts w:hint="eastAsia"/>
                                <w:b/>
                                <w:bCs/>
                                <w:sz w:val="30"/>
                                <w:szCs w:val="30"/>
                                <w:lang w:val="en-US" w:eastAsia="zh-CN"/>
                              </w:rPr>
                              <w:t>项目四邻关系图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9pt;margin-top:1.75pt;height:26.35pt;width:205.55pt;z-index:251661312;mso-width-relative:page;mso-height-relative:page;" fillcolor="#FFFFFF [3201]" filled="t" stroked="t" coordsize="21600,21600" o:gfxdata="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NZy4jVAAAACAEAAA8AAAAAAAAAAQAgAAAAIgAAAGRycy9kb3ducmV2LnhtbFBLAQIUABQA&#10;AAAIAIdO4kAUEJ+6ZQIAAMUEAAAOAAAAAAAAAAEAIAAAACQBAABkcnMvZTJvRG9jLnhtbFBLBQYA&#10;AAAABgAGAFkBAAD7BQAAAAA=&#10;">
                <v:fill on="t" focussize="0,0"/>
                <v:stroke weight="0.5pt" color="#000000 [3204]" joinstyle="round"/>
                <v:imagedata o:title=""/>
                <o:lock v:ext="edit" aspectratio="f"/>
                <v:textbox>
                  <w:txbxContent>
                    <w:p w14:paraId="1461F157">
                      <w:pPr>
                        <w:jc w:val="center"/>
                        <w:rPr>
                          <w:rFonts w:hint="default" w:eastAsia="宋体"/>
                          <w:b/>
                          <w:bCs/>
                          <w:sz w:val="30"/>
                          <w:szCs w:val="30"/>
                          <w:lang w:val="en-US" w:eastAsia="zh-CN"/>
                        </w:rPr>
                      </w:pPr>
                      <w:r>
                        <w:rPr>
                          <w:rFonts w:hint="eastAsia"/>
                          <w:b/>
                          <w:bCs/>
                          <w:sz w:val="30"/>
                          <w:szCs w:val="30"/>
                          <w:lang w:val="en-US" w:eastAsia="zh-CN"/>
                        </w:rPr>
                        <w:t>项目四邻关系图</w:t>
                      </w:r>
                    </w:p>
                  </w:txbxContent>
                </v:textbox>
              </v:shape>
            </w:pict>
          </mc:Fallback>
        </mc:AlternateContent>
      </w:r>
      <w:r>
        <w:rPr>
          <w:color w:val="auto"/>
          <w:highlight w:val="none"/>
        </w:rPr>
        <w:drawing>
          <wp:anchor distT="0" distB="0" distL="114300" distR="114300" simplePos="0" relativeHeight="251668480" behindDoc="0" locked="0" layoutInCell="1" allowOverlap="1">
            <wp:simplePos x="0" y="0"/>
            <wp:positionH relativeFrom="column">
              <wp:posOffset>7265670</wp:posOffset>
            </wp:positionH>
            <wp:positionV relativeFrom="paragraph">
              <wp:posOffset>76200</wp:posOffset>
            </wp:positionV>
            <wp:extent cx="800100" cy="837565"/>
            <wp:effectExtent l="0" t="0" r="0" b="0"/>
            <wp:wrapNone/>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16"/>
                    <a:srcRect l="8382" r="9103" b="13224"/>
                    <a:stretch>
                      <a:fillRect/>
                    </a:stretch>
                  </pic:blipFill>
                  <pic:spPr>
                    <a:xfrm>
                      <a:off x="0" y="0"/>
                      <a:ext cx="800100" cy="837565"/>
                    </a:xfrm>
                    <a:prstGeom prst="rect">
                      <a:avLst/>
                    </a:prstGeom>
                    <a:noFill/>
                    <a:ln>
                      <a:noFill/>
                    </a:ln>
                  </pic:spPr>
                </pic:pic>
              </a:graphicData>
            </a:graphic>
          </wp:anchor>
        </w:drawing>
      </w:r>
    </w:p>
    <w:p w14:paraId="5416B6D6">
      <w:pPr>
        <w:jc w:val="center"/>
        <w:rPr>
          <w:rFonts w:hint="eastAsia" w:ascii="宋体" w:hAnsi="宋体" w:eastAsia="宋体" w:cs="宋体"/>
          <w:b/>
          <w:color w:val="auto"/>
          <w:sz w:val="28"/>
          <w:szCs w:val="28"/>
          <w:highlight w:val="none"/>
          <w:lang w:val="en-US" w:eastAsia="zh-CN"/>
        </w:rPr>
      </w:pPr>
      <w:r>
        <w:rPr>
          <w:rFonts w:hint="eastAsia" w:ascii="宋体" w:hAnsi="宋体" w:eastAsia="宋体" w:cs="宋体"/>
          <w:b/>
          <w:color w:val="auto"/>
          <w:sz w:val="28"/>
          <w:szCs w:val="28"/>
          <w:highlight w:val="none"/>
        </w:rPr>
        <w:t>附图</w:t>
      </w:r>
      <w:r>
        <w:rPr>
          <w:rFonts w:hint="eastAsia" w:ascii="宋体" w:hAnsi="宋体" w:eastAsia="宋体" w:cs="宋体"/>
          <w:b/>
          <w:color w:val="auto"/>
          <w:sz w:val="28"/>
          <w:szCs w:val="28"/>
          <w:highlight w:val="none"/>
          <w:lang w:val="en-US" w:eastAsia="zh-CN"/>
        </w:rPr>
        <w:t>3</w:t>
      </w:r>
      <w:r>
        <w:rPr>
          <w:rFonts w:hint="eastAsia" w:ascii="宋体" w:hAnsi="宋体" w:cs="宋体"/>
          <w:b/>
          <w:color w:val="auto"/>
          <w:sz w:val="28"/>
          <w:szCs w:val="28"/>
          <w:highlight w:val="none"/>
          <w:lang w:val="en-US" w:eastAsia="zh-CN"/>
        </w:rPr>
        <w:t>全厂</w:t>
      </w:r>
      <w:r>
        <w:rPr>
          <w:rFonts w:hint="eastAsia" w:ascii="宋体" w:hAnsi="宋体" w:eastAsia="宋体" w:cs="宋体"/>
          <w:b/>
          <w:color w:val="auto"/>
          <w:sz w:val="28"/>
          <w:szCs w:val="28"/>
          <w:highlight w:val="none"/>
          <w:lang w:val="en-US" w:eastAsia="zh-CN"/>
        </w:rPr>
        <w:t>平面布置图</w:t>
      </w:r>
    </w:p>
    <w:p w14:paraId="5EC7FA0F">
      <w:pPr>
        <w:jc w:val="center"/>
        <w:rPr>
          <w:rFonts w:hint="eastAsia"/>
          <w:b/>
          <w:bCs/>
          <w:color w:val="auto"/>
          <w:sz w:val="28"/>
          <w:szCs w:val="28"/>
          <w:highlight w:val="none"/>
          <w:lang w:eastAsia="zh-CN"/>
        </w:rPr>
      </w:pPr>
    </w:p>
    <w:p w14:paraId="086CBEBA">
      <w:pPr>
        <w:pStyle w:val="11"/>
        <w:rPr>
          <w:rFonts w:hint="eastAsia"/>
          <w:color w:val="auto"/>
          <w:highlight w:val="none"/>
          <w:lang w:eastAsia="zh-CN"/>
        </w:rPr>
        <w:sectPr>
          <w:pgSz w:w="11906" w:h="16838"/>
          <w:pgMar w:top="1440" w:right="1797" w:bottom="1440" w:left="1797" w:header="964" w:footer="964"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color w:val="auto"/>
          <w:sz w:val="21"/>
          <w:highlight w:val="none"/>
        </w:rPr>
        <mc:AlternateContent>
          <mc:Choice Requires="wps">
            <w:drawing>
              <wp:anchor distT="0" distB="0" distL="114300" distR="114300" simplePos="0" relativeHeight="251672576" behindDoc="0" locked="0" layoutInCell="1" allowOverlap="1">
                <wp:simplePos x="0" y="0"/>
                <wp:positionH relativeFrom="column">
                  <wp:posOffset>1896110</wp:posOffset>
                </wp:positionH>
                <wp:positionV relativeFrom="paragraph">
                  <wp:posOffset>5379720</wp:posOffset>
                </wp:positionV>
                <wp:extent cx="1199515" cy="371475"/>
                <wp:effectExtent l="192405" t="6350" r="17780" b="517525"/>
                <wp:wrapNone/>
                <wp:docPr id="50" name="圆角矩形标注 50"/>
                <wp:cNvGraphicFramePr/>
                <a:graphic xmlns:a="http://schemas.openxmlformats.org/drawingml/2006/main">
                  <a:graphicData uri="http://schemas.microsoft.com/office/word/2010/wordprocessingShape">
                    <wps:wsp>
                      <wps:cNvSpPr/>
                      <wps:spPr>
                        <a:xfrm>
                          <a:off x="0" y="0"/>
                          <a:ext cx="1199515" cy="371475"/>
                        </a:xfrm>
                        <a:prstGeom prst="wedgeRoundRectCallout">
                          <a:avLst>
                            <a:gd name="adj1" fmla="val -63495"/>
                            <a:gd name="adj2" fmla="val 178484"/>
                            <a:gd name="adj3" fmla="val 16667"/>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F22274E">
                            <w:pPr>
                              <w:jc w:val="center"/>
                              <w:rPr>
                                <w:rFonts w:hint="default" w:eastAsia="宋体"/>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9.3pt;margin-top:423.6pt;height:29.25pt;width:94.45pt;z-index:251672576;v-text-anchor:middle;mso-width-relative:page;mso-height-relative:page;" fillcolor="#FFFFFF [3212]" filled="t" stroked="t" coordsize="21600,21600" o:gfxdata="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GSa+9Xa&#10;AAAACwEAAA8AAAAAAAAAAQAgAAAAIgAAAGRycy9kb3ducmV2LnhtbFBLAQIUABQAAAAIAIdO4kAK&#10;D/0VyQIAAJUFAAAOAAAAAAAAAAEAIAAAACkBAABkcnMvZTJvRG9jLnhtbFBLBQYAAAAABgAGAFkB&#10;AABkBgAAAAA=&#10;" adj="-2915,49353,14400">
                <v:fill on="t" focussize="0,0"/>
                <v:stroke weight="1pt" color="#FF0000 [2404]" miterlimit="8" joinstyle="miter"/>
                <v:imagedata o:title=""/>
                <o:lock v:ext="edit" aspectratio="f"/>
                <v:textbox>
                  <w:txbxContent>
                    <w:p w14:paraId="5F22274E">
                      <w:pPr>
                        <w:jc w:val="center"/>
                        <w:rPr>
                          <w:rFonts w:hint="default" w:eastAsia="宋体"/>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本项目位置</w:t>
                      </w:r>
                    </w:p>
                  </w:txbxContent>
                </v:textbox>
              </v:shape>
            </w:pict>
          </mc:Fallback>
        </mc:AlternateContent>
      </w:r>
      <w:r>
        <w:rPr>
          <w:rFonts w:hint="eastAsia"/>
          <w:color w:val="auto"/>
          <w:highlight w:val="none"/>
          <w:lang w:eastAsia="zh-CN"/>
        </w:rPr>
        <w:drawing>
          <wp:inline distT="0" distB="0" distL="114300" distR="114300">
            <wp:extent cx="4476750" cy="8147050"/>
            <wp:effectExtent l="0" t="0" r="0" b="6350"/>
            <wp:docPr id="49" name="图片 49" descr="全厂图纸更新20250428 -高(1)(cad2pdf)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全厂图纸更新20250428 -高(1)(cad2pdf)_00"/>
                    <pic:cNvPicPr>
                      <a:picLocks noChangeAspect="1"/>
                    </pic:cNvPicPr>
                  </pic:nvPicPr>
                  <pic:blipFill>
                    <a:blip r:embed="rId17"/>
                    <a:srcRect l="13253" t="1704" r="10843" b="597"/>
                    <a:stretch>
                      <a:fillRect/>
                    </a:stretch>
                  </pic:blipFill>
                  <pic:spPr>
                    <a:xfrm>
                      <a:off x="0" y="0"/>
                      <a:ext cx="4476750" cy="8147050"/>
                    </a:xfrm>
                    <a:prstGeom prst="rect">
                      <a:avLst/>
                    </a:prstGeom>
                  </pic:spPr>
                </pic:pic>
              </a:graphicData>
            </a:graphic>
          </wp:inline>
        </w:drawing>
      </w:r>
    </w:p>
    <w:p w14:paraId="18721B61">
      <w:pPr>
        <w:keepNext w:val="0"/>
        <w:keepLines w:val="0"/>
        <w:pageBreakBefore w:val="0"/>
        <w:widowControl w:val="0"/>
        <w:tabs>
          <w:tab w:val="center" w:pos="4156"/>
        </w:tabs>
        <w:kinsoku/>
        <w:wordWrap/>
        <w:overflowPunct/>
        <w:topLinePunct w:val="0"/>
        <w:autoSpaceDE/>
        <w:autoSpaceDN/>
        <w:bidi w:val="0"/>
        <w:adjustRightInd/>
        <w:snapToGrid/>
        <w:spacing w:line="360" w:lineRule="auto"/>
        <w:ind w:left="0" w:hanging="3373" w:hangingChars="1200"/>
        <w:jc w:val="center"/>
        <w:textAlignment w:val="auto"/>
        <w:rPr>
          <w:rFonts w:hint="eastAsia" w:ascii="宋体" w:hAnsi="宋体" w:eastAsia="宋体" w:cs="宋体"/>
          <w:b/>
          <w:color w:val="auto"/>
          <w:sz w:val="24"/>
          <w:szCs w:val="32"/>
          <w:highlight w:val="none"/>
          <w:lang w:val="en-US" w:eastAsia="zh-CN"/>
        </w:rPr>
      </w:pPr>
      <w:r>
        <w:rPr>
          <w:rFonts w:hint="eastAsia" w:ascii="宋体" w:hAnsi="宋体" w:eastAsia="宋体" w:cs="宋体"/>
          <w:b/>
          <w:color w:val="auto"/>
          <w:sz w:val="28"/>
          <w:szCs w:val="28"/>
          <w:highlight w:val="none"/>
        </w:rPr>
        <w:t>附图</w:t>
      </w:r>
      <w:r>
        <w:rPr>
          <w:rFonts w:hint="eastAsia" w:ascii="宋体" w:hAnsi="宋体" w:cs="宋体"/>
          <w:b/>
          <w:color w:val="auto"/>
          <w:sz w:val="28"/>
          <w:szCs w:val="28"/>
          <w:highlight w:val="none"/>
          <w:lang w:val="en-US" w:eastAsia="zh-CN"/>
        </w:rPr>
        <w:t>4</w:t>
      </w:r>
      <w:r>
        <w:rPr>
          <w:rFonts w:hint="eastAsia" w:ascii="宋体" w:hAnsi="宋体" w:eastAsia="宋体" w:cs="宋体"/>
          <w:b/>
          <w:color w:val="auto"/>
          <w:sz w:val="28"/>
          <w:szCs w:val="28"/>
          <w:highlight w:val="none"/>
        </w:rPr>
        <w:t xml:space="preserve"> 项目</w:t>
      </w:r>
      <w:r>
        <w:rPr>
          <w:rFonts w:hint="eastAsia" w:ascii="宋体" w:hAnsi="宋体" w:eastAsia="宋体" w:cs="宋体"/>
          <w:b/>
          <w:color w:val="auto"/>
          <w:sz w:val="28"/>
          <w:szCs w:val="28"/>
          <w:highlight w:val="none"/>
          <w:lang w:val="en-US" w:eastAsia="zh-CN"/>
        </w:rPr>
        <w:t>环境保护目标分布图</w:t>
      </w:r>
    </w:p>
    <w:p w14:paraId="4A6D335E">
      <w:pPr>
        <w:tabs>
          <w:tab w:val="center" w:pos="4156"/>
        </w:tabs>
        <w:ind w:left="2520" w:hanging="2520" w:hangingChars="1200"/>
        <w:jc w:val="center"/>
        <w:rPr>
          <w:rFonts w:hint="eastAsia"/>
          <w:color w:val="auto"/>
          <w:highlight w:val="none"/>
          <w:lang w:val="en-US" w:eastAsia="zh-CN"/>
        </w:rPr>
        <w:sectPr>
          <w:pgSz w:w="16838" w:h="11906" w:orient="landscape"/>
          <w:pgMar w:top="1797" w:right="1440" w:bottom="1797" w:left="1440" w:header="964" w:footer="964"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6696075" cy="4655185"/>
            <wp:effectExtent l="0" t="0" r="9525" b="1206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8"/>
                    <a:stretch>
                      <a:fillRect/>
                    </a:stretch>
                  </pic:blipFill>
                  <pic:spPr>
                    <a:xfrm>
                      <a:off x="0" y="0"/>
                      <a:ext cx="6696075" cy="4655185"/>
                    </a:xfrm>
                    <a:prstGeom prst="rect">
                      <a:avLst/>
                    </a:prstGeom>
                    <a:noFill/>
                    <a:ln>
                      <a:noFill/>
                    </a:ln>
                  </pic:spPr>
                </pic:pic>
              </a:graphicData>
            </a:graphic>
          </wp:inline>
        </w:drawing>
      </w:r>
    </w:p>
    <w:p w14:paraId="5CB444EC">
      <w:pPr>
        <w:keepNext w:val="0"/>
        <w:keepLines w:val="0"/>
        <w:pageBreakBefore w:val="0"/>
        <w:widowControl w:val="0"/>
        <w:tabs>
          <w:tab w:val="center" w:pos="4156"/>
        </w:tabs>
        <w:kinsoku/>
        <w:wordWrap/>
        <w:overflowPunct/>
        <w:topLinePunct w:val="0"/>
        <w:autoSpaceDE/>
        <w:autoSpaceDN/>
        <w:bidi w:val="0"/>
        <w:adjustRightInd/>
        <w:snapToGrid/>
        <w:spacing w:line="440" w:lineRule="exact"/>
        <w:ind w:left="0" w:firstLine="0" w:firstLineChars="0"/>
        <w:jc w:val="center"/>
        <w:textAlignment w:val="auto"/>
        <w:rPr>
          <w:rFonts w:hint="eastAsia" w:ascii="宋体" w:hAnsi="宋体" w:eastAsia="宋体" w:cs="宋体"/>
          <w:b/>
          <w:color w:val="auto"/>
          <w:sz w:val="24"/>
          <w:szCs w:val="32"/>
          <w:highlight w:val="none"/>
          <w:lang w:val="en-US" w:eastAsia="zh-CN"/>
        </w:rPr>
      </w:pPr>
      <w:r>
        <w:rPr>
          <w:rFonts w:hint="eastAsia" w:ascii="宋体" w:hAnsi="宋体" w:eastAsia="宋体" w:cs="宋体"/>
          <w:b/>
          <w:color w:val="auto"/>
          <w:sz w:val="28"/>
          <w:szCs w:val="28"/>
          <w:highlight w:val="none"/>
        </w:rPr>
        <w:t>附图</w:t>
      </w:r>
      <w:r>
        <w:rPr>
          <w:rFonts w:hint="eastAsia" w:ascii="宋体" w:hAnsi="宋体" w:cs="宋体"/>
          <w:b/>
          <w:color w:val="auto"/>
          <w:sz w:val="28"/>
          <w:szCs w:val="28"/>
          <w:highlight w:val="none"/>
          <w:lang w:val="en-US" w:eastAsia="zh-CN"/>
        </w:rPr>
        <w:t>5</w:t>
      </w:r>
      <w:r>
        <w:rPr>
          <w:rFonts w:hint="eastAsia" w:ascii="宋体" w:hAnsi="宋体" w:eastAsia="宋体" w:cs="宋体"/>
          <w:b/>
          <w:color w:val="auto"/>
          <w:sz w:val="28"/>
          <w:szCs w:val="28"/>
          <w:highlight w:val="none"/>
        </w:rPr>
        <w:t xml:space="preserve"> 项目</w:t>
      </w:r>
      <w:r>
        <w:rPr>
          <w:rFonts w:hint="eastAsia" w:ascii="宋体" w:hAnsi="宋体" w:cs="宋体"/>
          <w:b/>
          <w:color w:val="auto"/>
          <w:sz w:val="28"/>
          <w:szCs w:val="28"/>
          <w:highlight w:val="none"/>
          <w:lang w:val="en-US" w:eastAsia="zh-CN"/>
        </w:rPr>
        <w:t>周边及厂区现状</w:t>
      </w:r>
      <w:r>
        <w:rPr>
          <w:rFonts w:hint="eastAsia" w:ascii="宋体" w:hAnsi="宋体" w:eastAsia="宋体" w:cs="宋体"/>
          <w:b/>
          <w:color w:val="auto"/>
          <w:sz w:val="28"/>
          <w:szCs w:val="28"/>
          <w:highlight w:val="none"/>
          <w:lang w:val="en-US" w:eastAsia="zh-CN"/>
        </w:rPr>
        <w:t>图</w:t>
      </w:r>
    </w:p>
    <w:p w14:paraId="53A59808">
      <w:pPr>
        <w:tabs>
          <w:tab w:val="center" w:pos="4156"/>
        </w:tabs>
        <w:jc w:val="both"/>
        <w:rPr>
          <w:rFonts w:hint="eastAsia"/>
          <w:color w:val="auto"/>
          <w:highlight w:val="none"/>
          <w:lang w:val="en-US" w:eastAsia="zh-CN"/>
        </w:rPr>
      </w:pPr>
    </w:p>
    <w:tbl>
      <w:tblPr>
        <w:tblStyle w:val="2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325"/>
        <w:gridCol w:w="5706"/>
      </w:tblGrid>
      <w:tr w14:paraId="4D229D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17813C7E">
            <w:pPr>
              <w:keepNext w:val="0"/>
              <w:keepLines w:val="0"/>
              <w:pageBreakBefore w:val="0"/>
              <w:widowControl w:val="0"/>
              <w:tabs>
                <w:tab w:val="center" w:pos="4156"/>
              </w:tabs>
              <w:kinsoku/>
              <w:wordWrap/>
              <w:overflowPunct/>
              <w:topLinePunct w:val="0"/>
              <w:autoSpaceDE/>
              <w:autoSpaceDN/>
              <w:bidi w:val="0"/>
              <w:adjustRightInd/>
              <w:snapToGrid/>
              <w:spacing w:line="240" w:lineRule="atLeast"/>
              <w:jc w:val="center"/>
              <w:textAlignment w:val="auto"/>
              <w:rPr>
                <w:rFonts w:hint="eastAsia"/>
                <w:color w:val="auto"/>
                <w:highlight w:val="none"/>
                <w:vertAlign w:val="baseline"/>
                <w:lang w:val="en-US" w:eastAsia="zh-CN"/>
              </w:rPr>
            </w:pPr>
            <w:r>
              <w:rPr>
                <w:color w:val="auto"/>
                <w:highlight w:val="none"/>
              </w:rPr>
              <w:drawing>
                <wp:inline distT="0" distB="0" distL="114300" distR="114300">
                  <wp:extent cx="3244215" cy="191262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9"/>
                          <a:srcRect l="1692" r="5384" b="2587"/>
                          <a:stretch>
                            <a:fillRect/>
                          </a:stretch>
                        </pic:blipFill>
                        <pic:spPr>
                          <a:xfrm>
                            <a:off x="0" y="0"/>
                            <a:ext cx="3244215" cy="1912620"/>
                          </a:xfrm>
                          <a:prstGeom prst="rect">
                            <a:avLst/>
                          </a:prstGeom>
                          <a:noFill/>
                          <a:ln>
                            <a:noFill/>
                          </a:ln>
                        </pic:spPr>
                      </pic:pic>
                    </a:graphicData>
                  </a:graphic>
                </wp:inline>
              </w:drawing>
            </w:r>
          </w:p>
        </w:tc>
        <w:tc>
          <w:tcPr>
            <w:tcW w:w="0" w:type="auto"/>
            <w:tcBorders>
              <w:tl2br w:val="nil"/>
              <w:tr2bl w:val="nil"/>
            </w:tcBorders>
            <w:vAlign w:val="center"/>
          </w:tcPr>
          <w:p w14:paraId="04253BEC">
            <w:pPr>
              <w:keepNext w:val="0"/>
              <w:keepLines w:val="0"/>
              <w:pageBreakBefore w:val="0"/>
              <w:widowControl w:val="0"/>
              <w:tabs>
                <w:tab w:val="center" w:pos="4156"/>
              </w:tabs>
              <w:kinsoku/>
              <w:wordWrap/>
              <w:overflowPunct/>
              <w:topLinePunct w:val="0"/>
              <w:autoSpaceDE/>
              <w:autoSpaceDN/>
              <w:bidi w:val="0"/>
              <w:adjustRightInd/>
              <w:snapToGrid/>
              <w:spacing w:line="240" w:lineRule="atLeast"/>
              <w:jc w:val="center"/>
              <w:textAlignment w:val="auto"/>
              <w:rPr>
                <w:rFonts w:hint="eastAsia"/>
                <w:color w:val="auto"/>
                <w:highlight w:val="none"/>
                <w:vertAlign w:val="baseline"/>
                <w:lang w:val="en-US" w:eastAsia="zh-CN"/>
              </w:rPr>
            </w:pPr>
            <w:r>
              <w:rPr>
                <w:color w:val="auto"/>
                <w:highlight w:val="none"/>
              </w:rPr>
              <w:drawing>
                <wp:inline distT="0" distB="0" distL="114300" distR="114300">
                  <wp:extent cx="3025775" cy="2085340"/>
                  <wp:effectExtent l="0" t="0" r="3175" b="1016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0"/>
                          <a:stretch>
                            <a:fillRect/>
                          </a:stretch>
                        </pic:blipFill>
                        <pic:spPr>
                          <a:xfrm>
                            <a:off x="0" y="0"/>
                            <a:ext cx="3025775" cy="2085340"/>
                          </a:xfrm>
                          <a:prstGeom prst="rect">
                            <a:avLst/>
                          </a:prstGeom>
                          <a:noFill/>
                          <a:ln>
                            <a:noFill/>
                          </a:ln>
                        </pic:spPr>
                      </pic:pic>
                    </a:graphicData>
                  </a:graphic>
                </wp:inline>
              </w:drawing>
            </w:r>
          </w:p>
        </w:tc>
      </w:tr>
      <w:tr w14:paraId="06FAAF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0" w:hRule="atLeast"/>
          <w:jc w:val="center"/>
        </w:trPr>
        <w:tc>
          <w:tcPr>
            <w:tcW w:w="0" w:type="auto"/>
            <w:tcBorders>
              <w:tl2br w:val="nil"/>
              <w:tr2bl w:val="nil"/>
            </w:tcBorders>
            <w:vAlign w:val="center"/>
          </w:tcPr>
          <w:p w14:paraId="06643269">
            <w:pPr>
              <w:keepNext w:val="0"/>
              <w:keepLines w:val="0"/>
              <w:pageBreakBefore w:val="0"/>
              <w:widowControl w:val="0"/>
              <w:tabs>
                <w:tab w:val="center" w:pos="4156"/>
              </w:tabs>
              <w:kinsoku/>
              <w:wordWrap/>
              <w:overflowPunct/>
              <w:topLinePunct w:val="0"/>
              <w:autoSpaceDE/>
              <w:autoSpaceDN/>
              <w:bidi w:val="0"/>
              <w:adjustRightInd/>
              <w:snapToGrid/>
              <w:spacing w:line="240" w:lineRule="atLeast"/>
              <w:jc w:val="center"/>
              <w:textAlignment w:val="auto"/>
              <w:rPr>
                <w:rFonts w:hint="eastAsia"/>
                <w:color w:val="auto"/>
                <w:highlight w:val="none"/>
                <w:vertAlign w:val="baseline"/>
                <w:lang w:val="en-US" w:eastAsia="zh-CN"/>
              </w:rPr>
            </w:pPr>
            <w:r>
              <w:rPr>
                <w:color w:val="auto"/>
                <w:highlight w:val="none"/>
              </w:rPr>
              <w:drawing>
                <wp:inline distT="0" distB="0" distL="114300" distR="114300">
                  <wp:extent cx="3169285" cy="2360295"/>
                  <wp:effectExtent l="0" t="0" r="12065" b="190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1"/>
                          <a:srcRect r="930" b="3567"/>
                          <a:stretch>
                            <a:fillRect/>
                          </a:stretch>
                        </pic:blipFill>
                        <pic:spPr>
                          <a:xfrm>
                            <a:off x="0" y="0"/>
                            <a:ext cx="3169285" cy="2360295"/>
                          </a:xfrm>
                          <a:prstGeom prst="rect">
                            <a:avLst/>
                          </a:prstGeom>
                          <a:noFill/>
                          <a:ln>
                            <a:noFill/>
                          </a:ln>
                        </pic:spPr>
                      </pic:pic>
                    </a:graphicData>
                  </a:graphic>
                </wp:inline>
              </w:drawing>
            </w:r>
          </w:p>
        </w:tc>
        <w:tc>
          <w:tcPr>
            <w:tcW w:w="0" w:type="auto"/>
            <w:tcBorders>
              <w:tl2br w:val="nil"/>
              <w:tr2bl w:val="nil"/>
            </w:tcBorders>
            <w:vAlign w:val="center"/>
          </w:tcPr>
          <w:p w14:paraId="7CCC99FC">
            <w:pPr>
              <w:keepNext w:val="0"/>
              <w:keepLines w:val="0"/>
              <w:pageBreakBefore w:val="0"/>
              <w:widowControl w:val="0"/>
              <w:tabs>
                <w:tab w:val="center" w:pos="4156"/>
              </w:tabs>
              <w:kinsoku/>
              <w:wordWrap/>
              <w:overflowPunct/>
              <w:topLinePunct w:val="0"/>
              <w:autoSpaceDE/>
              <w:autoSpaceDN/>
              <w:bidi w:val="0"/>
              <w:adjustRightInd/>
              <w:snapToGrid/>
              <w:spacing w:line="240" w:lineRule="atLeast"/>
              <w:jc w:val="center"/>
              <w:textAlignment w:val="auto"/>
              <w:rPr>
                <w:rFonts w:hint="eastAsia"/>
                <w:color w:val="auto"/>
                <w:highlight w:val="none"/>
                <w:vertAlign w:val="baseline"/>
                <w:lang w:val="en-US" w:eastAsia="zh-CN"/>
              </w:rPr>
            </w:pPr>
            <w:r>
              <w:rPr>
                <w:color w:val="auto"/>
                <w:highlight w:val="none"/>
              </w:rPr>
              <w:drawing>
                <wp:inline distT="0" distB="0" distL="114300" distR="114300">
                  <wp:extent cx="3479165" cy="2225675"/>
                  <wp:effectExtent l="0" t="0" r="6985" b="317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22"/>
                          <a:stretch>
                            <a:fillRect/>
                          </a:stretch>
                        </pic:blipFill>
                        <pic:spPr>
                          <a:xfrm>
                            <a:off x="0" y="0"/>
                            <a:ext cx="3479165" cy="2225675"/>
                          </a:xfrm>
                          <a:prstGeom prst="rect">
                            <a:avLst/>
                          </a:prstGeom>
                          <a:noFill/>
                          <a:ln>
                            <a:noFill/>
                          </a:ln>
                        </pic:spPr>
                      </pic:pic>
                    </a:graphicData>
                  </a:graphic>
                </wp:inline>
              </w:drawing>
            </w:r>
          </w:p>
        </w:tc>
      </w:tr>
    </w:tbl>
    <w:p w14:paraId="06FCB1AE">
      <w:pPr>
        <w:tabs>
          <w:tab w:val="center" w:pos="4156"/>
        </w:tabs>
        <w:jc w:val="both"/>
        <w:rPr>
          <w:rFonts w:hint="eastAsia"/>
          <w:color w:val="auto"/>
          <w:highlight w:val="none"/>
          <w:lang w:val="en-US" w:eastAsia="zh-CN"/>
        </w:rPr>
        <w:sectPr>
          <w:pgSz w:w="16838" w:h="11906" w:orient="landscape"/>
          <w:pgMar w:top="1797" w:right="1440" w:bottom="1797" w:left="1440" w:header="964" w:footer="964" w:gutter="0"/>
          <w:pgBorders>
            <w:top w:val="none" w:sz="0" w:space="0"/>
            <w:left w:val="none" w:sz="0" w:space="0"/>
            <w:bottom w:val="none" w:sz="0" w:space="0"/>
            <w:right w:val="none" w:sz="0" w:space="0"/>
          </w:pgBorders>
          <w:cols w:space="720" w:num="1"/>
          <w:docGrid w:linePitch="312" w:charSpace="0"/>
        </w:sectPr>
      </w:pPr>
    </w:p>
    <w:p w14:paraId="2E24B22F">
      <w:pPr>
        <w:keepNext w:val="0"/>
        <w:keepLines w:val="0"/>
        <w:pageBreakBefore w:val="0"/>
        <w:widowControl w:val="0"/>
        <w:tabs>
          <w:tab w:val="center" w:pos="4156"/>
        </w:tabs>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kern w:val="0"/>
          <w:sz w:val="28"/>
          <w:szCs w:val="28"/>
          <w:highlight w:val="none"/>
          <w:lang w:val="en-US" w:eastAsia="zh-CN"/>
        </w:rPr>
      </w:pPr>
      <w:r>
        <w:rPr>
          <w:rFonts w:hint="eastAsia" w:ascii="宋体" w:hAnsi="宋体" w:eastAsia="宋体" w:cs="宋体"/>
          <w:b/>
          <w:bCs/>
          <w:color w:val="auto"/>
          <w:kern w:val="0"/>
          <w:sz w:val="28"/>
          <w:szCs w:val="28"/>
          <w:highlight w:val="none"/>
        </w:rPr>
        <w:t>附件</w:t>
      </w:r>
      <w:r>
        <w:rPr>
          <w:rFonts w:hint="eastAsia" w:ascii="宋体" w:hAnsi="宋体" w:cs="宋体"/>
          <w:b/>
          <w:bCs/>
          <w:color w:val="auto"/>
          <w:kern w:val="0"/>
          <w:sz w:val="28"/>
          <w:szCs w:val="28"/>
          <w:highlight w:val="none"/>
          <w:lang w:val="en-US" w:eastAsia="zh-CN"/>
        </w:rPr>
        <w:t>1</w:t>
      </w:r>
      <w:r>
        <w:rPr>
          <w:rFonts w:hint="eastAsia" w:ascii="宋体" w:hAnsi="宋体" w:eastAsia="宋体" w:cs="宋体"/>
          <w:b/>
          <w:bCs/>
          <w:color w:val="auto"/>
          <w:kern w:val="0"/>
          <w:sz w:val="28"/>
          <w:szCs w:val="28"/>
          <w:highlight w:val="none"/>
        </w:rPr>
        <w:t xml:space="preserve">  </w:t>
      </w:r>
      <w:r>
        <w:rPr>
          <w:rFonts w:hint="eastAsia" w:ascii="宋体" w:hAnsi="宋体" w:cs="宋体"/>
          <w:b/>
          <w:bCs/>
          <w:color w:val="auto"/>
          <w:kern w:val="0"/>
          <w:sz w:val="28"/>
          <w:szCs w:val="28"/>
          <w:highlight w:val="none"/>
          <w:lang w:val="en-US" w:eastAsia="zh-CN"/>
        </w:rPr>
        <w:t>委托</w:t>
      </w:r>
      <w:r>
        <w:rPr>
          <w:rFonts w:hint="eastAsia" w:ascii="宋体" w:hAnsi="宋体" w:eastAsia="宋体" w:cs="宋体"/>
          <w:b/>
          <w:bCs/>
          <w:color w:val="auto"/>
          <w:kern w:val="0"/>
          <w:sz w:val="28"/>
          <w:szCs w:val="28"/>
          <w:highlight w:val="none"/>
          <w:lang w:val="en-US" w:eastAsia="zh-CN"/>
        </w:rPr>
        <w:t>书</w:t>
      </w:r>
    </w:p>
    <w:p w14:paraId="3C76976D">
      <w:pPr>
        <w:jc w:val="center"/>
        <w:rPr>
          <w:rFonts w:hint="eastAsia" w:ascii="宋体" w:hAnsi="宋体" w:eastAsia="宋体" w:cs="宋体"/>
          <w:b/>
          <w:color w:val="auto"/>
          <w:sz w:val="24"/>
          <w:szCs w:val="24"/>
          <w:highlight w:val="none"/>
        </w:rPr>
      </w:pPr>
    </w:p>
    <w:p w14:paraId="25F8C1B2">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b/>
          <w:color w:val="auto"/>
          <w:sz w:val="36"/>
          <w:szCs w:val="36"/>
          <w:highlight w:val="none"/>
        </w:rPr>
      </w:pPr>
      <w:r>
        <w:rPr>
          <w:rFonts w:hint="eastAsia" w:ascii="宋体" w:hAnsi="宋体" w:eastAsia="宋体" w:cs="宋体"/>
          <w:b/>
          <w:color w:val="auto"/>
          <w:sz w:val="36"/>
          <w:szCs w:val="36"/>
          <w:highlight w:val="none"/>
        </w:rPr>
        <w:t>委 托 书</w:t>
      </w:r>
    </w:p>
    <w:p w14:paraId="69CE0B97">
      <w:pPr>
        <w:jc w:val="center"/>
        <w:rPr>
          <w:rFonts w:hint="eastAsia" w:ascii="宋体" w:hAnsi="宋体" w:eastAsia="宋体" w:cs="宋体"/>
          <w:b/>
          <w:color w:val="auto"/>
          <w:sz w:val="28"/>
          <w:szCs w:val="28"/>
          <w:highlight w:val="none"/>
        </w:rPr>
      </w:pPr>
    </w:p>
    <w:p w14:paraId="433B7AC8">
      <w:pPr>
        <w:jc w:val="center"/>
        <w:rPr>
          <w:rFonts w:hint="eastAsia" w:ascii="宋体" w:hAnsi="宋体" w:eastAsia="宋体" w:cs="宋体"/>
          <w:b/>
          <w:color w:val="auto"/>
          <w:sz w:val="28"/>
          <w:szCs w:val="28"/>
          <w:highlight w:val="none"/>
        </w:rPr>
      </w:pPr>
    </w:p>
    <w:p w14:paraId="52B291B6">
      <w:pPr>
        <w:tabs>
          <w:tab w:val="left" w:pos="4830"/>
        </w:tabs>
        <w:spacing w:line="480" w:lineRule="auto"/>
        <w:rPr>
          <w:rFonts w:hint="eastAsia" w:ascii="宋体" w:hAnsi="宋体" w:eastAsia="宋体" w:cs="宋体"/>
          <w:b/>
          <w:color w:val="auto"/>
          <w:sz w:val="28"/>
          <w:szCs w:val="28"/>
          <w:highlight w:val="none"/>
        </w:rPr>
      </w:pPr>
      <w:r>
        <w:rPr>
          <w:rFonts w:hint="eastAsia" w:ascii="宋体" w:hAnsi="宋体" w:eastAsia="宋体" w:cs="宋体"/>
          <w:b/>
          <w:color w:val="auto"/>
          <w:sz w:val="30"/>
          <w:szCs w:val="30"/>
          <w:highlight w:val="none"/>
        </w:rPr>
        <w:t>巴彦淖尔市嘉境环保有限公司：</w:t>
      </w:r>
    </w:p>
    <w:p w14:paraId="09BD4C39">
      <w:pPr>
        <w:tabs>
          <w:tab w:val="left" w:pos="4830"/>
        </w:tabs>
        <w:spacing w:line="48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根据《中华人民共和国环境影响评价法</w:t>
      </w:r>
      <w:r>
        <w:rPr>
          <w:rFonts w:hint="eastAsia" w:ascii="宋体" w:hAnsi="宋体" w:cs="宋体"/>
          <w:color w:val="auto"/>
          <w:sz w:val="28"/>
          <w:szCs w:val="28"/>
          <w:highlight w:val="none"/>
          <w:lang w:eastAsia="zh-CN"/>
        </w:rPr>
        <w:t>》《</w:t>
      </w:r>
      <w:r>
        <w:rPr>
          <w:rFonts w:hint="eastAsia" w:ascii="宋体" w:hAnsi="宋体" w:eastAsia="宋体" w:cs="宋体"/>
          <w:color w:val="auto"/>
          <w:sz w:val="28"/>
          <w:szCs w:val="28"/>
          <w:highlight w:val="none"/>
        </w:rPr>
        <w:t>建设项目环境保护管理条例》和环境保护部公布的《建设项目环境影响评价分类管理名录</w:t>
      </w:r>
      <w:r>
        <w:rPr>
          <w:rFonts w:hint="eastAsia" w:ascii="宋体" w:hAnsi="宋体" w:cs="宋体"/>
          <w:color w:val="auto"/>
          <w:sz w:val="28"/>
          <w:szCs w:val="28"/>
          <w:highlight w:val="none"/>
          <w:lang w:eastAsia="zh-CN"/>
        </w:rPr>
        <w:t>》等</w:t>
      </w:r>
      <w:r>
        <w:rPr>
          <w:rFonts w:hint="eastAsia" w:ascii="宋体" w:hAnsi="宋体" w:eastAsia="宋体" w:cs="宋体"/>
          <w:color w:val="auto"/>
          <w:sz w:val="28"/>
          <w:szCs w:val="28"/>
          <w:highlight w:val="none"/>
        </w:rPr>
        <w:t>有关规定，我单位</w:t>
      </w:r>
      <w:r>
        <w:rPr>
          <w:rFonts w:hint="eastAsia" w:ascii="宋体" w:hAnsi="宋体" w:cs="宋体"/>
          <w:color w:val="auto"/>
          <w:sz w:val="28"/>
          <w:szCs w:val="28"/>
          <w:highlight w:val="none"/>
          <w:u w:val="thick"/>
          <w:lang w:val="en-US" w:eastAsia="zh-CN"/>
        </w:rPr>
        <w:t xml:space="preserve">  上海佳格食品有限公司内蒙古分公司1条食用浓香油生产线项目  </w:t>
      </w:r>
      <w:r>
        <w:rPr>
          <w:rFonts w:hint="eastAsia" w:ascii="宋体" w:hAnsi="宋体" w:eastAsia="宋体" w:cs="宋体"/>
          <w:color w:val="auto"/>
          <w:sz w:val="28"/>
          <w:szCs w:val="28"/>
          <w:highlight w:val="none"/>
        </w:rPr>
        <w:t>，需要编写环境影响报告表，现委托贵单位进行环境影响评价工作。</w:t>
      </w:r>
    </w:p>
    <w:p w14:paraId="185B4E3F">
      <w:pPr>
        <w:tabs>
          <w:tab w:val="left" w:pos="4830"/>
        </w:tabs>
        <w:ind w:firstLine="480"/>
        <w:rPr>
          <w:rFonts w:hint="eastAsia" w:ascii="宋体" w:hAnsi="宋体" w:eastAsia="宋体" w:cs="宋体"/>
          <w:color w:val="auto"/>
          <w:sz w:val="28"/>
          <w:szCs w:val="28"/>
          <w:highlight w:val="none"/>
        </w:rPr>
      </w:pPr>
    </w:p>
    <w:p w14:paraId="090058C9">
      <w:pPr>
        <w:tabs>
          <w:tab w:val="left" w:pos="4830"/>
        </w:tabs>
        <w:ind w:firstLine="480"/>
        <w:rPr>
          <w:rFonts w:hint="eastAsia" w:ascii="宋体" w:hAnsi="宋体" w:eastAsia="宋体" w:cs="宋体"/>
          <w:color w:val="auto"/>
          <w:sz w:val="28"/>
          <w:szCs w:val="28"/>
          <w:highlight w:val="none"/>
        </w:rPr>
      </w:pPr>
    </w:p>
    <w:p w14:paraId="0D10161B">
      <w:pPr>
        <w:tabs>
          <w:tab w:val="left" w:pos="4830"/>
        </w:tabs>
        <w:ind w:firstLine="480"/>
        <w:rPr>
          <w:rFonts w:hint="eastAsia" w:ascii="宋体" w:hAnsi="宋体" w:eastAsia="宋体" w:cs="宋体"/>
          <w:color w:val="auto"/>
          <w:sz w:val="28"/>
          <w:szCs w:val="28"/>
          <w:highlight w:val="none"/>
        </w:rPr>
      </w:pPr>
    </w:p>
    <w:p w14:paraId="47C6B40E">
      <w:pPr>
        <w:tabs>
          <w:tab w:val="left" w:pos="4830"/>
        </w:tabs>
        <w:ind w:firstLine="48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特此委托</w:t>
      </w:r>
    </w:p>
    <w:p w14:paraId="66A401DF">
      <w:pPr>
        <w:tabs>
          <w:tab w:val="left" w:pos="4830"/>
        </w:tabs>
        <w:ind w:firstLine="480"/>
        <w:rPr>
          <w:rFonts w:hint="eastAsia" w:ascii="宋体" w:hAnsi="宋体" w:eastAsia="宋体" w:cs="宋体"/>
          <w:color w:val="auto"/>
          <w:sz w:val="28"/>
          <w:szCs w:val="28"/>
          <w:highlight w:val="none"/>
        </w:rPr>
      </w:pPr>
    </w:p>
    <w:p w14:paraId="3993941E">
      <w:pPr>
        <w:tabs>
          <w:tab w:val="left" w:pos="4830"/>
        </w:tabs>
        <w:ind w:firstLine="480"/>
        <w:rPr>
          <w:rFonts w:hint="eastAsia" w:ascii="宋体" w:hAnsi="宋体" w:eastAsia="宋体" w:cs="宋体"/>
          <w:color w:val="auto"/>
          <w:sz w:val="28"/>
          <w:szCs w:val="28"/>
          <w:highlight w:val="none"/>
        </w:rPr>
      </w:pPr>
    </w:p>
    <w:p w14:paraId="3917D14E">
      <w:pPr>
        <w:tabs>
          <w:tab w:val="left" w:pos="4830"/>
        </w:tabs>
        <w:ind w:firstLine="480"/>
        <w:rPr>
          <w:rFonts w:hint="eastAsia" w:ascii="宋体" w:hAnsi="宋体" w:eastAsia="宋体" w:cs="宋体"/>
          <w:color w:val="auto"/>
          <w:sz w:val="28"/>
          <w:szCs w:val="28"/>
          <w:highlight w:val="none"/>
        </w:rPr>
      </w:pPr>
    </w:p>
    <w:p w14:paraId="44298518">
      <w:pPr>
        <w:keepNext w:val="0"/>
        <w:keepLines w:val="0"/>
        <w:pageBreakBefore w:val="0"/>
        <w:widowControl w:val="0"/>
        <w:tabs>
          <w:tab w:val="left" w:pos="5625"/>
          <w:tab w:val="left" w:pos="6540"/>
        </w:tabs>
        <w:kinsoku/>
        <w:wordWrap/>
        <w:overflowPunct/>
        <w:topLinePunct w:val="0"/>
        <w:autoSpaceDE/>
        <w:autoSpaceDN/>
        <w:bidi w:val="0"/>
        <w:adjustRightInd/>
        <w:snapToGrid/>
        <w:spacing w:line="480" w:lineRule="auto"/>
        <w:ind w:right="0"/>
        <w:jc w:val="right"/>
        <w:textAlignment w:val="auto"/>
        <w:rPr>
          <w:rFonts w:hint="eastAsia" w:ascii="宋体" w:hAnsi="宋体" w:cs="宋体"/>
          <w:b/>
          <w:color w:val="auto"/>
          <w:sz w:val="28"/>
          <w:szCs w:val="28"/>
          <w:highlight w:val="none"/>
          <w:lang w:val="en-US" w:eastAsia="zh-CN"/>
        </w:rPr>
      </w:pPr>
      <w:r>
        <w:rPr>
          <w:rFonts w:hint="eastAsia" w:ascii="宋体" w:hAnsi="宋体" w:eastAsia="宋体" w:cs="宋体"/>
          <w:b/>
          <w:color w:val="auto"/>
          <w:sz w:val="28"/>
          <w:szCs w:val="28"/>
          <w:highlight w:val="none"/>
          <w:lang w:val="en-US" w:eastAsia="zh-CN"/>
        </w:rPr>
        <w:t xml:space="preserve"> </w:t>
      </w:r>
      <w:r>
        <w:rPr>
          <w:rFonts w:hint="eastAsia" w:ascii="宋体" w:hAnsi="宋体" w:eastAsia="宋体" w:cs="宋体"/>
          <w:b/>
          <w:color w:val="auto"/>
          <w:sz w:val="28"/>
          <w:szCs w:val="28"/>
          <w:highlight w:val="none"/>
        </w:rPr>
        <w:t>委托单位（公章）：</w:t>
      </w:r>
      <w:r>
        <w:rPr>
          <w:rFonts w:hint="eastAsia" w:ascii="宋体" w:hAnsi="宋体" w:cs="宋体"/>
          <w:b/>
          <w:color w:val="auto"/>
          <w:sz w:val="28"/>
          <w:szCs w:val="28"/>
          <w:highlight w:val="none"/>
          <w:lang w:val="en-US" w:eastAsia="zh-CN"/>
        </w:rPr>
        <w:t>上海佳格食品有限公司内蒙古分公司</w:t>
      </w:r>
    </w:p>
    <w:p w14:paraId="14DCC20B">
      <w:pPr>
        <w:keepNext w:val="0"/>
        <w:keepLines w:val="0"/>
        <w:pageBreakBefore w:val="0"/>
        <w:widowControl w:val="0"/>
        <w:tabs>
          <w:tab w:val="left" w:pos="5625"/>
          <w:tab w:val="left" w:pos="6540"/>
        </w:tabs>
        <w:kinsoku/>
        <w:wordWrap/>
        <w:overflowPunct/>
        <w:topLinePunct w:val="0"/>
        <w:autoSpaceDE/>
        <w:autoSpaceDN/>
        <w:bidi w:val="0"/>
        <w:adjustRightInd/>
        <w:snapToGrid/>
        <w:spacing w:line="480" w:lineRule="auto"/>
        <w:ind w:right="0"/>
        <w:jc w:val="right"/>
        <w:textAlignment w:val="auto"/>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202</w:t>
      </w:r>
      <w:r>
        <w:rPr>
          <w:rFonts w:hint="eastAsia" w:ascii="宋体" w:hAnsi="宋体" w:cs="宋体"/>
          <w:b/>
          <w:color w:val="auto"/>
          <w:sz w:val="28"/>
          <w:szCs w:val="28"/>
          <w:highlight w:val="none"/>
          <w:lang w:val="en-US" w:eastAsia="zh-CN"/>
        </w:rPr>
        <w:t>6</w:t>
      </w:r>
      <w:r>
        <w:rPr>
          <w:rFonts w:hint="eastAsia" w:ascii="宋体" w:hAnsi="宋体" w:eastAsia="宋体" w:cs="宋体"/>
          <w:b/>
          <w:color w:val="auto"/>
          <w:sz w:val="28"/>
          <w:szCs w:val="28"/>
          <w:highlight w:val="none"/>
        </w:rPr>
        <w:t>年</w:t>
      </w:r>
      <w:r>
        <w:rPr>
          <w:rFonts w:hint="eastAsia" w:ascii="宋体" w:hAnsi="宋体" w:cs="宋体"/>
          <w:b/>
          <w:color w:val="auto"/>
          <w:sz w:val="28"/>
          <w:szCs w:val="28"/>
          <w:highlight w:val="none"/>
          <w:lang w:val="en-US" w:eastAsia="zh-CN"/>
        </w:rPr>
        <w:t>2</w:t>
      </w:r>
      <w:r>
        <w:rPr>
          <w:rFonts w:hint="eastAsia" w:ascii="宋体" w:hAnsi="宋体" w:eastAsia="宋体" w:cs="宋体"/>
          <w:b/>
          <w:color w:val="auto"/>
          <w:sz w:val="28"/>
          <w:szCs w:val="28"/>
          <w:highlight w:val="none"/>
        </w:rPr>
        <w:t>月</w:t>
      </w:r>
    </w:p>
    <w:p w14:paraId="16DC51D0">
      <w:pPr>
        <w:tabs>
          <w:tab w:val="left" w:pos="4830"/>
        </w:tabs>
        <w:ind w:firstLine="480"/>
        <w:rPr>
          <w:rFonts w:hint="eastAsia" w:ascii="宋体" w:hAnsi="宋体" w:eastAsia="宋体" w:cs="宋体"/>
          <w:color w:val="auto"/>
          <w:sz w:val="24"/>
          <w:szCs w:val="24"/>
          <w:highlight w:val="none"/>
        </w:rPr>
      </w:pPr>
    </w:p>
    <w:p w14:paraId="657AE8D2">
      <w:pPr>
        <w:tabs>
          <w:tab w:val="left" w:pos="4830"/>
        </w:tabs>
        <w:ind w:firstLine="480"/>
        <w:rPr>
          <w:rFonts w:hint="eastAsia" w:ascii="宋体" w:hAnsi="宋体" w:eastAsia="宋体" w:cs="宋体"/>
          <w:color w:val="auto"/>
          <w:sz w:val="24"/>
          <w:szCs w:val="24"/>
          <w:highlight w:val="none"/>
        </w:rPr>
      </w:pPr>
    </w:p>
    <w:p w14:paraId="11527071">
      <w:pPr>
        <w:tabs>
          <w:tab w:val="left" w:pos="4830"/>
        </w:tabs>
        <w:ind w:firstLine="480"/>
        <w:rPr>
          <w:rFonts w:hint="eastAsia" w:ascii="宋体" w:hAnsi="宋体" w:eastAsia="宋体" w:cs="宋体"/>
          <w:color w:val="auto"/>
          <w:sz w:val="24"/>
          <w:szCs w:val="24"/>
          <w:highlight w:val="none"/>
        </w:rPr>
      </w:pPr>
    </w:p>
    <w:p w14:paraId="2C7C1744">
      <w:pPr>
        <w:tabs>
          <w:tab w:val="left" w:pos="4830"/>
        </w:tabs>
        <w:ind w:firstLine="480"/>
        <w:rPr>
          <w:rFonts w:hint="eastAsia" w:ascii="宋体" w:hAnsi="宋体" w:eastAsia="宋体" w:cs="宋体"/>
          <w:color w:val="auto"/>
          <w:sz w:val="24"/>
          <w:szCs w:val="24"/>
          <w:highlight w:val="none"/>
        </w:rPr>
      </w:pPr>
    </w:p>
    <w:p w14:paraId="1950A19F">
      <w:pPr>
        <w:tabs>
          <w:tab w:val="left" w:pos="4830"/>
        </w:tabs>
        <w:ind w:firstLine="480"/>
        <w:rPr>
          <w:rFonts w:hint="eastAsia" w:ascii="宋体" w:hAnsi="宋体" w:eastAsia="宋体" w:cs="宋体"/>
          <w:color w:val="auto"/>
          <w:sz w:val="24"/>
          <w:szCs w:val="24"/>
          <w:highlight w:val="none"/>
        </w:rPr>
      </w:pPr>
    </w:p>
    <w:p w14:paraId="05D41C5E">
      <w:pPr>
        <w:tabs>
          <w:tab w:val="left" w:pos="4830"/>
        </w:tabs>
        <w:ind w:firstLine="480"/>
        <w:rPr>
          <w:rFonts w:hint="eastAsia" w:ascii="宋体" w:hAnsi="宋体" w:eastAsia="宋体" w:cs="宋体"/>
          <w:color w:val="auto"/>
          <w:sz w:val="24"/>
          <w:szCs w:val="24"/>
          <w:highlight w:val="none"/>
        </w:rPr>
      </w:pPr>
    </w:p>
    <w:p w14:paraId="0BFE179F">
      <w:pPr>
        <w:tabs>
          <w:tab w:val="left" w:pos="4830"/>
        </w:tabs>
        <w:ind w:firstLine="480"/>
        <w:rPr>
          <w:rFonts w:hint="eastAsia" w:ascii="宋体" w:hAnsi="宋体" w:eastAsia="宋体" w:cs="宋体"/>
          <w:color w:val="auto"/>
          <w:sz w:val="24"/>
          <w:szCs w:val="24"/>
          <w:highlight w:val="none"/>
        </w:rPr>
      </w:pPr>
    </w:p>
    <w:p w14:paraId="4D1C2BD6">
      <w:pPr>
        <w:tabs>
          <w:tab w:val="left" w:pos="4830"/>
        </w:tabs>
        <w:ind w:firstLine="480"/>
        <w:rPr>
          <w:rFonts w:hint="eastAsia" w:ascii="宋体" w:hAnsi="宋体" w:eastAsia="宋体" w:cs="宋体"/>
          <w:color w:val="auto"/>
          <w:sz w:val="24"/>
          <w:szCs w:val="24"/>
          <w:highlight w:val="none"/>
        </w:rPr>
      </w:pPr>
    </w:p>
    <w:p w14:paraId="2AEB7735">
      <w:pPr>
        <w:tabs>
          <w:tab w:val="left" w:pos="4830"/>
        </w:tabs>
        <w:ind w:firstLine="480"/>
        <w:rPr>
          <w:rFonts w:hint="eastAsia" w:ascii="宋体" w:hAnsi="宋体" w:eastAsia="宋体" w:cs="宋体"/>
          <w:color w:val="auto"/>
          <w:sz w:val="24"/>
          <w:szCs w:val="24"/>
          <w:highlight w:val="none"/>
        </w:rPr>
      </w:pPr>
    </w:p>
    <w:p w14:paraId="7B353B89">
      <w:pPr>
        <w:tabs>
          <w:tab w:val="left" w:pos="4830"/>
        </w:tabs>
        <w:ind w:firstLine="480"/>
        <w:rPr>
          <w:rFonts w:hint="eastAsia" w:ascii="宋体" w:hAnsi="宋体" w:eastAsia="宋体" w:cs="宋体"/>
          <w:color w:val="auto"/>
          <w:sz w:val="24"/>
          <w:szCs w:val="24"/>
          <w:highlight w:val="none"/>
        </w:rPr>
      </w:pPr>
    </w:p>
    <w:p w14:paraId="1CA64B93">
      <w:pPr>
        <w:tabs>
          <w:tab w:val="left" w:pos="4830"/>
        </w:tabs>
        <w:ind w:firstLine="480"/>
        <w:rPr>
          <w:rFonts w:hint="eastAsia" w:ascii="宋体" w:hAnsi="宋体" w:eastAsia="宋体" w:cs="宋体"/>
          <w:color w:val="auto"/>
          <w:sz w:val="24"/>
          <w:szCs w:val="24"/>
          <w:highlight w:val="none"/>
        </w:rPr>
      </w:pPr>
    </w:p>
    <w:p w14:paraId="7BD0FC14">
      <w:pPr>
        <w:tabs>
          <w:tab w:val="left" w:pos="4830"/>
        </w:tabs>
        <w:ind w:firstLine="480"/>
        <w:rPr>
          <w:rFonts w:hint="eastAsia" w:ascii="宋体" w:hAnsi="宋体" w:eastAsia="宋体" w:cs="宋体"/>
          <w:color w:val="auto"/>
          <w:sz w:val="24"/>
          <w:szCs w:val="24"/>
          <w:highlight w:val="none"/>
        </w:rPr>
      </w:pPr>
    </w:p>
    <w:p w14:paraId="57BAF949">
      <w:pPr>
        <w:tabs>
          <w:tab w:val="left" w:pos="4830"/>
        </w:tabs>
        <w:ind w:firstLine="480"/>
        <w:rPr>
          <w:rFonts w:hint="eastAsia" w:ascii="宋体" w:hAnsi="宋体" w:eastAsia="宋体" w:cs="宋体"/>
          <w:color w:val="auto"/>
          <w:sz w:val="24"/>
          <w:szCs w:val="24"/>
          <w:highlight w:val="none"/>
        </w:rPr>
      </w:pPr>
    </w:p>
    <w:p w14:paraId="70F27B5F">
      <w:pPr>
        <w:keepNext w:val="0"/>
        <w:keepLines w:val="0"/>
        <w:pageBreakBefore w:val="0"/>
        <w:widowControl w:val="0"/>
        <w:tabs>
          <w:tab w:val="center" w:pos="4156"/>
        </w:tabs>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kern w:val="0"/>
          <w:sz w:val="28"/>
          <w:szCs w:val="28"/>
          <w:highlight w:val="none"/>
          <w:lang w:val="en-US" w:eastAsia="zh-CN"/>
        </w:rPr>
      </w:pPr>
      <w:r>
        <w:rPr>
          <w:rFonts w:hint="eastAsia" w:ascii="宋体" w:hAnsi="宋体" w:eastAsia="宋体" w:cs="宋体"/>
          <w:b/>
          <w:bCs/>
          <w:color w:val="auto"/>
          <w:kern w:val="0"/>
          <w:sz w:val="28"/>
          <w:szCs w:val="28"/>
          <w:highlight w:val="none"/>
        </w:rPr>
        <w:t>附件</w:t>
      </w:r>
      <w:r>
        <w:rPr>
          <w:rFonts w:hint="eastAsia" w:ascii="宋体" w:hAnsi="宋体" w:eastAsia="宋体" w:cs="宋体"/>
          <w:b/>
          <w:bCs/>
          <w:color w:val="auto"/>
          <w:kern w:val="0"/>
          <w:sz w:val="28"/>
          <w:szCs w:val="28"/>
          <w:highlight w:val="none"/>
          <w:lang w:val="en-US" w:eastAsia="zh-CN"/>
        </w:rPr>
        <w:t>2</w:t>
      </w:r>
      <w:r>
        <w:rPr>
          <w:rFonts w:hint="eastAsia" w:ascii="宋体" w:hAnsi="宋体" w:eastAsia="宋体" w:cs="宋体"/>
          <w:b/>
          <w:bCs/>
          <w:color w:val="auto"/>
          <w:kern w:val="0"/>
          <w:sz w:val="28"/>
          <w:szCs w:val="28"/>
          <w:highlight w:val="none"/>
        </w:rPr>
        <w:t xml:space="preserve">  </w:t>
      </w:r>
      <w:r>
        <w:rPr>
          <w:rFonts w:hint="eastAsia" w:ascii="宋体" w:hAnsi="宋体" w:eastAsia="宋体" w:cs="宋体"/>
          <w:b/>
          <w:bCs/>
          <w:color w:val="auto"/>
          <w:kern w:val="0"/>
          <w:sz w:val="28"/>
          <w:szCs w:val="28"/>
          <w:highlight w:val="none"/>
          <w:lang w:val="en-US" w:eastAsia="zh-CN"/>
        </w:rPr>
        <w:t>项目备案告知书</w:t>
      </w:r>
    </w:p>
    <w:p w14:paraId="0D420C20">
      <w:pPr>
        <w:pStyle w:val="2"/>
        <w:ind w:left="0" w:leftChars="0" w:firstLine="0" w:firstLineChars="0"/>
        <w:jc w:val="both"/>
        <w:rPr>
          <w:color w:val="auto"/>
          <w:highlight w:val="none"/>
        </w:rPr>
        <w:sectPr>
          <w:pgSz w:w="11906" w:h="16838"/>
          <w:pgMar w:top="1440" w:right="1797" w:bottom="1440" w:left="1797" w:header="964" w:footer="964"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5628640" cy="7957820"/>
            <wp:effectExtent l="0" t="0" r="10160" b="508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23"/>
                    <a:stretch>
                      <a:fillRect/>
                    </a:stretch>
                  </pic:blipFill>
                  <pic:spPr>
                    <a:xfrm>
                      <a:off x="0" y="0"/>
                      <a:ext cx="5628640" cy="7957820"/>
                    </a:xfrm>
                    <a:prstGeom prst="rect">
                      <a:avLst/>
                    </a:prstGeom>
                    <a:noFill/>
                    <a:ln>
                      <a:noFill/>
                    </a:ln>
                  </pic:spPr>
                </pic:pic>
              </a:graphicData>
            </a:graphic>
          </wp:inline>
        </w:drawing>
      </w:r>
    </w:p>
    <w:p w14:paraId="062CCB1A">
      <w:pPr>
        <w:jc w:val="center"/>
        <w:rPr>
          <w:rFonts w:hint="eastAsia"/>
          <w:b/>
          <w:bCs/>
          <w:color w:val="auto"/>
          <w:sz w:val="28"/>
          <w:szCs w:val="28"/>
          <w:highlight w:val="none"/>
          <w:lang w:val="en-US" w:eastAsia="zh-CN"/>
        </w:rPr>
      </w:pPr>
      <w:r>
        <w:rPr>
          <w:rFonts w:hint="eastAsia"/>
          <w:b/>
          <w:bCs/>
          <w:color w:val="auto"/>
          <w:sz w:val="28"/>
          <w:szCs w:val="28"/>
          <w:highlight w:val="none"/>
          <w:lang w:val="en-US" w:eastAsia="zh-CN"/>
        </w:rPr>
        <w:t>附件3  用地手续</w:t>
      </w:r>
    </w:p>
    <w:p w14:paraId="54745217">
      <w:pPr>
        <w:pStyle w:val="11"/>
        <w:rPr>
          <w:rFonts w:hint="eastAsia"/>
          <w:b/>
          <w:bCs/>
          <w:color w:val="auto"/>
          <w:sz w:val="28"/>
          <w:szCs w:val="28"/>
          <w:highlight w:val="none"/>
          <w:lang w:val="en-US" w:eastAsia="zh-CN"/>
        </w:rPr>
      </w:pPr>
    </w:p>
    <w:p w14:paraId="6A512DE0">
      <w:pPr>
        <w:pStyle w:val="11"/>
        <w:jc w:val="center"/>
        <w:rPr>
          <w:rFonts w:hint="default"/>
          <w:b/>
          <w:bCs/>
          <w:color w:val="auto"/>
          <w:sz w:val="28"/>
          <w:szCs w:val="28"/>
          <w:highlight w:val="none"/>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5274945" cy="7030085"/>
            <wp:effectExtent l="0" t="0" r="1905" b="18415"/>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24"/>
                    <a:stretch>
                      <a:fillRect/>
                    </a:stretch>
                  </pic:blipFill>
                  <pic:spPr>
                    <a:xfrm>
                      <a:off x="0" y="0"/>
                      <a:ext cx="5274945" cy="7030085"/>
                    </a:xfrm>
                    <a:prstGeom prst="rect">
                      <a:avLst/>
                    </a:prstGeom>
                    <a:noFill/>
                    <a:ln>
                      <a:noFill/>
                    </a:ln>
                  </pic:spPr>
                </pic:pic>
              </a:graphicData>
            </a:graphic>
          </wp:inline>
        </w:drawing>
      </w:r>
      <w:r>
        <w:rPr>
          <w:color w:val="auto"/>
          <w:highlight w:val="none"/>
        </w:rPr>
        <w:drawing>
          <wp:inline distT="0" distB="0" distL="114300" distR="114300">
            <wp:extent cx="5238750" cy="7673340"/>
            <wp:effectExtent l="0" t="0" r="0" b="381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25"/>
                    <a:stretch>
                      <a:fillRect/>
                    </a:stretch>
                  </pic:blipFill>
                  <pic:spPr>
                    <a:xfrm>
                      <a:off x="0" y="0"/>
                      <a:ext cx="5238750" cy="7673340"/>
                    </a:xfrm>
                    <a:prstGeom prst="rect">
                      <a:avLst/>
                    </a:prstGeom>
                    <a:noFill/>
                    <a:ln>
                      <a:noFill/>
                    </a:ln>
                  </pic:spPr>
                </pic:pic>
              </a:graphicData>
            </a:graphic>
          </wp:inline>
        </w:drawing>
      </w:r>
    </w:p>
    <w:p w14:paraId="2B6B9D46">
      <w:pPr>
        <w:pStyle w:val="11"/>
        <w:rPr>
          <w:rFonts w:hint="eastAsia"/>
          <w:color w:val="auto"/>
          <w:highlight w:val="none"/>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6884035" cy="4841240"/>
            <wp:effectExtent l="0" t="0" r="16510" b="12065"/>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26"/>
                    <a:stretch>
                      <a:fillRect/>
                    </a:stretch>
                  </pic:blipFill>
                  <pic:spPr>
                    <a:xfrm rot="5400000">
                      <a:off x="0" y="0"/>
                      <a:ext cx="6884035" cy="4841240"/>
                    </a:xfrm>
                    <a:prstGeom prst="rect">
                      <a:avLst/>
                    </a:prstGeom>
                    <a:noFill/>
                    <a:ln>
                      <a:noFill/>
                    </a:ln>
                  </pic:spPr>
                </pic:pic>
              </a:graphicData>
            </a:graphic>
          </wp:inline>
        </w:drawing>
      </w:r>
    </w:p>
    <w:p w14:paraId="7ADD7D30">
      <w:pPr>
        <w:jc w:val="center"/>
        <w:rPr>
          <w:rFonts w:hint="eastAsia"/>
          <w:b/>
          <w:bCs/>
          <w:color w:val="auto"/>
          <w:sz w:val="28"/>
          <w:szCs w:val="28"/>
          <w:highlight w:val="none"/>
          <w:lang w:val="en-US" w:eastAsia="zh-CN"/>
        </w:rPr>
      </w:pPr>
      <w:r>
        <w:rPr>
          <w:rFonts w:hint="eastAsia"/>
          <w:b/>
          <w:bCs/>
          <w:color w:val="auto"/>
          <w:sz w:val="28"/>
          <w:szCs w:val="28"/>
          <w:highlight w:val="none"/>
          <w:lang w:val="en-US" w:eastAsia="zh-CN"/>
        </w:rPr>
        <w:t>附件4  取水许可证明</w:t>
      </w:r>
    </w:p>
    <w:p w14:paraId="1E8C9ABB">
      <w:pPr>
        <w:jc w:val="center"/>
        <w:rPr>
          <w:color w:val="auto"/>
          <w:highlight w:val="none"/>
        </w:rPr>
        <w:sectPr>
          <w:pgSz w:w="16838" w:h="11906" w:orient="landscape"/>
          <w:pgMar w:top="1797" w:right="1440" w:bottom="1797" w:left="1440" w:header="964" w:footer="964"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7101205" cy="4993640"/>
            <wp:effectExtent l="0" t="0" r="4445" b="16510"/>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27"/>
                    <a:stretch>
                      <a:fillRect/>
                    </a:stretch>
                  </pic:blipFill>
                  <pic:spPr>
                    <a:xfrm>
                      <a:off x="0" y="0"/>
                      <a:ext cx="7101205" cy="4993640"/>
                    </a:xfrm>
                    <a:prstGeom prst="rect">
                      <a:avLst/>
                    </a:prstGeom>
                    <a:noFill/>
                    <a:ln>
                      <a:noFill/>
                    </a:ln>
                  </pic:spPr>
                </pic:pic>
              </a:graphicData>
            </a:graphic>
          </wp:inline>
        </w:drawing>
      </w:r>
    </w:p>
    <w:p w14:paraId="36B7117E">
      <w:pPr>
        <w:pStyle w:val="11"/>
        <w:ind w:left="0" w:leftChars="0" w:firstLine="0" w:firstLineChars="0"/>
        <w:jc w:val="center"/>
        <w:rPr>
          <w:rFonts w:hint="default" w:ascii="Times New Roman" w:hAnsi="Times New Roman" w:eastAsia="宋体" w:cs="Times New Roman"/>
          <w:b/>
          <w:bCs/>
          <w:color w:val="auto"/>
          <w:sz w:val="28"/>
          <w:szCs w:val="28"/>
          <w:highlight w:val="none"/>
          <w:lang w:val="en-US" w:eastAsia="zh-CN"/>
        </w:rPr>
      </w:pPr>
      <w:r>
        <w:rPr>
          <w:rFonts w:hint="default" w:ascii="Times New Roman" w:hAnsi="Times New Roman" w:eastAsia="宋体" w:cs="Times New Roman"/>
          <w:b/>
          <w:bCs/>
          <w:color w:val="auto"/>
          <w:sz w:val="28"/>
          <w:szCs w:val="28"/>
          <w:highlight w:val="none"/>
          <w:lang w:val="en-US" w:eastAsia="zh-CN"/>
        </w:rPr>
        <w:t>附件5  现有工程环保手续履行情况</w:t>
      </w:r>
    </w:p>
    <w:p w14:paraId="0D654264">
      <w:pPr>
        <w:pStyle w:val="11"/>
        <w:ind w:left="0" w:leftChars="0" w:firstLine="0" w:firstLineChars="0"/>
        <w:jc w:val="center"/>
        <w:rPr>
          <w:color w:val="auto"/>
          <w:highlight w:val="none"/>
        </w:rPr>
        <w:sectPr>
          <w:pgSz w:w="11906" w:h="16838"/>
          <w:pgMar w:top="1440" w:right="1797" w:bottom="1440" w:left="1797" w:header="964" w:footer="964"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5277485" cy="7036435"/>
            <wp:effectExtent l="0" t="0" r="18415" b="12065"/>
            <wp:docPr id="26" name="图片 26" descr="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批复1"/>
                    <pic:cNvPicPr>
                      <a:picLocks noChangeAspect="1"/>
                    </pic:cNvPicPr>
                  </pic:nvPicPr>
                  <pic:blipFill>
                    <a:blip r:embed="rId28"/>
                    <a:stretch>
                      <a:fillRect/>
                    </a:stretch>
                  </pic:blipFill>
                  <pic:spPr>
                    <a:xfrm>
                      <a:off x="0" y="0"/>
                      <a:ext cx="5277485" cy="7036435"/>
                    </a:xfrm>
                    <a:prstGeom prst="rect">
                      <a:avLst/>
                    </a:prstGeom>
                  </pic:spPr>
                </pic:pic>
              </a:graphicData>
            </a:graphic>
          </wp:inline>
        </w:drawing>
      </w:r>
      <w:r>
        <w:rPr>
          <w:color w:val="auto"/>
          <w:highlight w:val="none"/>
        </w:rPr>
        <w:drawing>
          <wp:inline distT="0" distB="0" distL="114300" distR="114300">
            <wp:extent cx="5277485" cy="7036435"/>
            <wp:effectExtent l="0" t="0" r="18415" b="12065"/>
            <wp:docPr id="27" name="图片 27" descr="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批复2"/>
                    <pic:cNvPicPr>
                      <a:picLocks noChangeAspect="1"/>
                    </pic:cNvPicPr>
                  </pic:nvPicPr>
                  <pic:blipFill>
                    <a:blip r:embed="rId29"/>
                    <a:stretch>
                      <a:fillRect/>
                    </a:stretch>
                  </pic:blipFill>
                  <pic:spPr>
                    <a:xfrm>
                      <a:off x="0" y="0"/>
                      <a:ext cx="5277485" cy="7036435"/>
                    </a:xfrm>
                    <a:prstGeom prst="rect">
                      <a:avLst/>
                    </a:prstGeom>
                  </pic:spPr>
                </pic:pic>
              </a:graphicData>
            </a:graphic>
          </wp:inline>
        </w:drawing>
      </w:r>
      <w:r>
        <w:rPr>
          <w:color w:val="auto"/>
          <w:highlight w:val="none"/>
        </w:rPr>
        <w:drawing>
          <wp:inline distT="0" distB="0" distL="114300" distR="114300">
            <wp:extent cx="5536565" cy="7803515"/>
            <wp:effectExtent l="0" t="0" r="6985" b="6985"/>
            <wp:docPr id="21" name="图片 21" descr="00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000037"/>
                    <pic:cNvPicPr>
                      <a:picLocks noChangeAspect="1"/>
                    </pic:cNvPicPr>
                  </pic:nvPicPr>
                  <pic:blipFill>
                    <a:blip r:embed="rId30"/>
                    <a:stretch>
                      <a:fillRect/>
                    </a:stretch>
                  </pic:blipFill>
                  <pic:spPr>
                    <a:xfrm>
                      <a:off x="0" y="0"/>
                      <a:ext cx="5536565" cy="7803515"/>
                    </a:xfrm>
                    <a:prstGeom prst="rect">
                      <a:avLst/>
                    </a:prstGeom>
                  </pic:spPr>
                </pic:pic>
              </a:graphicData>
            </a:graphic>
          </wp:inline>
        </w:drawing>
      </w:r>
      <w:r>
        <w:rPr>
          <w:color w:val="auto"/>
          <w:highlight w:val="none"/>
        </w:rPr>
        <w:drawing>
          <wp:inline distT="0" distB="0" distL="114300" distR="114300">
            <wp:extent cx="5549900" cy="7812405"/>
            <wp:effectExtent l="0" t="0" r="12700" b="17145"/>
            <wp:docPr id="25" name="图片 25" descr="00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000038"/>
                    <pic:cNvPicPr>
                      <a:picLocks noChangeAspect="1"/>
                    </pic:cNvPicPr>
                  </pic:nvPicPr>
                  <pic:blipFill>
                    <a:blip r:embed="rId31"/>
                    <a:stretch>
                      <a:fillRect/>
                    </a:stretch>
                  </pic:blipFill>
                  <pic:spPr>
                    <a:xfrm>
                      <a:off x="0" y="0"/>
                      <a:ext cx="5549900" cy="7812405"/>
                    </a:xfrm>
                    <a:prstGeom prst="rect">
                      <a:avLst/>
                    </a:prstGeom>
                  </pic:spPr>
                </pic:pic>
              </a:graphicData>
            </a:graphic>
          </wp:inline>
        </w:drawing>
      </w:r>
      <w:r>
        <w:rPr>
          <w:color w:val="auto"/>
          <w:highlight w:val="none"/>
        </w:rPr>
        <w:drawing>
          <wp:inline distT="0" distB="0" distL="114300" distR="114300">
            <wp:extent cx="5519420" cy="7779385"/>
            <wp:effectExtent l="0" t="0" r="5080" b="1206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32"/>
                    <a:stretch>
                      <a:fillRect/>
                    </a:stretch>
                  </pic:blipFill>
                  <pic:spPr>
                    <a:xfrm>
                      <a:off x="0" y="0"/>
                      <a:ext cx="5519420" cy="7779385"/>
                    </a:xfrm>
                    <a:prstGeom prst="rect">
                      <a:avLst/>
                    </a:prstGeom>
                    <a:noFill/>
                    <a:ln>
                      <a:noFill/>
                    </a:ln>
                  </pic:spPr>
                </pic:pic>
              </a:graphicData>
            </a:graphic>
          </wp:inline>
        </w:drawing>
      </w:r>
      <w:r>
        <w:rPr>
          <w:color w:val="auto"/>
          <w:highlight w:val="none"/>
        </w:rPr>
        <w:drawing>
          <wp:inline distT="0" distB="0" distL="114300" distR="114300">
            <wp:extent cx="5525770" cy="7788275"/>
            <wp:effectExtent l="0" t="0" r="17780" b="317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33"/>
                    <a:stretch>
                      <a:fillRect/>
                    </a:stretch>
                  </pic:blipFill>
                  <pic:spPr>
                    <a:xfrm>
                      <a:off x="0" y="0"/>
                      <a:ext cx="5525770" cy="7788275"/>
                    </a:xfrm>
                    <a:prstGeom prst="rect">
                      <a:avLst/>
                    </a:prstGeom>
                    <a:noFill/>
                    <a:ln>
                      <a:noFill/>
                    </a:ln>
                  </pic:spPr>
                </pic:pic>
              </a:graphicData>
            </a:graphic>
          </wp:inline>
        </w:drawing>
      </w:r>
      <w:r>
        <w:rPr>
          <w:color w:val="auto"/>
          <w:highlight w:val="none"/>
        </w:rPr>
        <w:drawing>
          <wp:inline distT="0" distB="0" distL="114300" distR="114300">
            <wp:extent cx="5499100" cy="7750175"/>
            <wp:effectExtent l="0" t="0" r="6350" b="317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34"/>
                    <a:stretch>
                      <a:fillRect/>
                    </a:stretch>
                  </pic:blipFill>
                  <pic:spPr>
                    <a:xfrm>
                      <a:off x="0" y="0"/>
                      <a:ext cx="5499100" cy="7750175"/>
                    </a:xfrm>
                    <a:prstGeom prst="rect">
                      <a:avLst/>
                    </a:prstGeom>
                    <a:noFill/>
                    <a:ln>
                      <a:noFill/>
                    </a:ln>
                  </pic:spPr>
                </pic:pic>
              </a:graphicData>
            </a:graphic>
          </wp:inline>
        </w:drawing>
      </w:r>
    </w:p>
    <w:p w14:paraId="59AB223A">
      <w:pPr>
        <w:pStyle w:val="11"/>
        <w:ind w:left="0" w:leftChars="0" w:firstLine="0" w:firstLineChars="0"/>
        <w:jc w:val="center"/>
        <w:rPr>
          <w:rFonts w:hint="eastAsia" w:ascii="Times New Roman" w:hAnsi="Times New Roman" w:eastAsia="宋体" w:cs="Times New Roman"/>
          <w:b/>
          <w:bCs/>
          <w:color w:val="auto"/>
          <w:sz w:val="28"/>
          <w:szCs w:val="28"/>
          <w:highlight w:val="none"/>
          <w:lang w:val="en-US" w:eastAsia="zh-CN"/>
        </w:rPr>
      </w:pPr>
      <w:r>
        <w:rPr>
          <w:rFonts w:hint="default" w:ascii="Times New Roman" w:hAnsi="Times New Roman" w:eastAsia="宋体" w:cs="Times New Roman"/>
          <w:b/>
          <w:bCs/>
          <w:color w:val="auto"/>
          <w:sz w:val="28"/>
          <w:szCs w:val="28"/>
          <w:highlight w:val="none"/>
          <w:lang w:val="en-US" w:eastAsia="zh-CN"/>
        </w:rPr>
        <w:t>附件</w:t>
      </w:r>
      <w:r>
        <w:rPr>
          <w:rFonts w:hint="eastAsia" w:ascii="Times New Roman" w:hAnsi="Times New Roman" w:eastAsia="宋体" w:cs="Times New Roman"/>
          <w:b/>
          <w:bCs/>
          <w:color w:val="auto"/>
          <w:sz w:val="28"/>
          <w:szCs w:val="28"/>
          <w:highlight w:val="none"/>
          <w:lang w:val="en-US" w:eastAsia="zh-CN"/>
        </w:rPr>
        <w:t>6</w:t>
      </w:r>
      <w:r>
        <w:rPr>
          <w:rFonts w:hint="default" w:ascii="Times New Roman" w:hAnsi="Times New Roman" w:eastAsia="宋体" w:cs="Times New Roman"/>
          <w:b/>
          <w:bCs/>
          <w:color w:val="auto"/>
          <w:sz w:val="28"/>
          <w:szCs w:val="28"/>
          <w:highlight w:val="none"/>
          <w:lang w:val="en-US" w:eastAsia="zh-CN"/>
        </w:rPr>
        <w:t xml:space="preserve">  </w:t>
      </w:r>
      <w:r>
        <w:rPr>
          <w:rFonts w:hint="eastAsia" w:ascii="Times New Roman" w:hAnsi="Times New Roman" w:eastAsia="宋体" w:cs="Times New Roman"/>
          <w:b/>
          <w:bCs/>
          <w:color w:val="auto"/>
          <w:sz w:val="28"/>
          <w:szCs w:val="28"/>
          <w:highlight w:val="none"/>
          <w:lang w:val="en-US" w:eastAsia="zh-CN"/>
        </w:rPr>
        <w:t>现状监测报告</w:t>
      </w:r>
    </w:p>
    <w:p w14:paraId="6EDD0E4A">
      <w:pPr>
        <w:pStyle w:val="11"/>
        <w:ind w:left="0" w:leftChars="0" w:firstLine="0" w:firstLineChars="0"/>
        <w:jc w:val="center"/>
        <w:rPr>
          <w:color w:val="auto"/>
          <w:highlight w:val="none"/>
        </w:rPr>
        <w:sectPr>
          <w:pgSz w:w="11906" w:h="16838"/>
          <w:pgMar w:top="1440" w:right="1797" w:bottom="1440" w:left="1797" w:header="964" w:footer="964"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5105400" cy="7200900"/>
            <wp:effectExtent l="0" t="0" r="0"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35"/>
                    <a:stretch>
                      <a:fillRect/>
                    </a:stretch>
                  </pic:blipFill>
                  <pic:spPr>
                    <a:xfrm>
                      <a:off x="0" y="0"/>
                      <a:ext cx="5105400" cy="7200900"/>
                    </a:xfrm>
                    <a:prstGeom prst="rect">
                      <a:avLst/>
                    </a:prstGeom>
                    <a:noFill/>
                    <a:ln>
                      <a:noFill/>
                    </a:ln>
                  </pic:spPr>
                </pic:pic>
              </a:graphicData>
            </a:graphic>
          </wp:inline>
        </w:drawing>
      </w:r>
      <w:r>
        <w:rPr>
          <w:color w:val="auto"/>
          <w:highlight w:val="none"/>
        </w:rPr>
        <w:drawing>
          <wp:inline distT="0" distB="0" distL="114300" distR="114300">
            <wp:extent cx="5000625" cy="6905625"/>
            <wp:effectExtent l="0" t="0" r="9525" b="9525"/>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36"/>
                    <a:stretch>
                      <a:fillRect/>
                    </a:stretch>
                  </pic:blipFill>
                  <pic:spPr>
                    <a:xfrm>
                      <a:off x="0" y="0"/>
                      <a:ext cx="5000625" cy="6905625"/>
                    </a:xfrm>
                    <a:prstGeom prst="rect">
                      <a:avLst/>
                    </a:prstGeom>
                    <a:noFill/>
                    <a:ln>
                      <a:noFill/>
                    </a:ln>
                  </pic:spPr>
                </pic:pic>
              </a:graphicData>
            </a:graphic>
          </wp:inline>
        </w:drawing>
      </w:r>
      <w:r>
        <w:rPr>
          <w:color w:val="auto"/>
          <w:highlight w:val="none"/>
        </w:rPr>
        <w:drawing>
          <wp:inline distT="0" distB="0" distL="114300" distR="114300">
            <wp:extent cx="4724400" cy="6810375"/>
            <wp:effectExtent l="0" t="0" r="0" b="952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37"/>
                    <a:stretch>
                      <a:fillRect/>
                    </a:stretch>
                  </pic:blipFill>
                  <pic:spPr>
                    <a:xfrm>
                      <a:off x="0" y="0"/>
                      <a:ext cx="4724400" cy="6810375"/>
                    </a:xfrm>
                    <a:prstGeom prst="rect">
                      <a:avLst/>
                    </a:prstGeom>
                    <a:noFill/>
                    <a:ln>
                      <a:noFill/>
                    </a:ln>
                  </pic:spPr>
                </pic:pic>
              </a:graphicData>
            </a:graphic>
          </wp:inline>
        </w:drawing>
      </w:r>
      <w:r>
        <w:rPr>
          <w:color w:val="auto"/>
          <w:highlight w:val="none"/>
        </w:rPr>
        <w:drawing>
          <wp:inline distT="0" distB="0" distL="114300" distR="114300">
            <wp:extent cx="4914900" cy="6791325"/>
            <wp:effectExtent l="0" t="0" r="0" b="9525"/>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38"/>
                    <a:stretch>
                      <a:fillRect/>
                    </a:stretch>
                  </pic:blipFill>
                  <pic:spPr>
                    <a:xfrm>
                      <a:off x="0" y="0"/>
                      <a:ext cx="4914900" cy="6791325"/>
                    </a:xfrm>
                    <a:prstGeom prst="rect">
                      <a:avLst/>
                    </a:prstGeom>
                    <a:noFill/>
                    <a:ln>
                      <a:noFill/>
                    </a:ln>
                  </pic:spPr>
                </pic:pic>
              </a:graphicData>
            </a:graphic>
          </wp:inline>
        </w:drawing>
      </w:r>
      <w:r>
        <w:rPr>
          <w:color w:val="auto"/>
          <w:highlight w:val="none"/>
        </w:rPr>
        <w:drawing>
          <wp:inline distT="0" distB="0" distL="114300" distR="114300">
            <wp:extent cx="5210175" cy="6781800"/>
            <wp:effectExtent l="0" t="0" r="9525" b="0"/>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39"/>
                    <a:stretch>
                      <a:fillRect/>
                    </a:stretch>
                  </pic:blipFill>
                  <pic:spPr>
                    <a:xfrm>
                      <a:off x="0" y="0"/>
                      <a:ext cx="5210175" cy="6781800"/>
                    </a:xfrm>
                    <a:prstGeom prst="rect">
                      <a:avLst/>
                    </a:prstGeom>
                    <a:noFill/>
                    <a:ln>
                      <a:noFill/>
                    </a:ln>
                  </pic:spPr>
                </pic:pic>
              </a:graphicData>
            </a:graphic>
          </wp:inline>
        </w:drawing>
      </w:r>
    </w:p>
    <w:p w14:paraId="3D577C34">
      <w:pPr>
        <w:pStyle w:val="11"/>
        <w:ind w:left="0" w:leftChars="0" w:firstLine="0" w:firstLineChars="0"/>
        <w:jc w:val="center"/>
        <w:rPr>
          <w:rFonts w:hint="eastAsia"/>
          <w:b/>
          <w:bCs/>
          <w:color w:val="auto"/>
          <w:sz w:val="24"/>
          <w:szCs w:val="24"/>
          <w:highlight w:val="none"/>
          <w:lang w:val="en-US" w:eastAsia="zh-CN"/>
        </w:rPr>
      </w:pPr>
      <w:r>
        <w:rPr>
          <w:rFonts w:hint="eastAsia"/>
          <w:b/>
          <w:bCs/>
          <w:color w:val="auto"/>
          <w:sz w:val="24"/>
          <w:szCs w:val="24"/>
          <w:highlight w:val="none"/>
          <w:lang w:val="en-US" w:eastAsia="zh-CN"/>
        </w:rPr>
        <w:t>附件7  废硅藻土、废饼粉拉运协议</w:t>
      </w:r>
    </w:p>
    <w:p w14:paraId="1590A031">
      <w:pPr>
        <w:pStyle w:val="11"/>
        <w:ind w:left="0" w:leftChars="0" w:firstLine="0" w:firstLineChars="0"/>
        <w:jc w:val="center"/>
        <w:rPr>
          <w:rFonts w:hint="default"/>
          <w:color w:val="auto"/>
          <w:highlight w:val="none"/>
          <w:lang w:val="en-US" w:eastAsia="zh-CN"/>
        </w:rPr>
      </w:pPr>
      <w:r>
        <w:rPr>
          <w:color w:val="auto"/>
          <w:highlight w:val="none"/>
        </w:rPr>
        <w:drawing>
          <wp:inline distT="0" distB="0" distL="114300" distR="114300">
            <wp:extent cx="5325110" cy="7574280"/>
            <wp:effectExtent l="0" t="0" r="8890" b="762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40"/>
                    <a:stretch>
                      <a:fillRect/>
                    </a:stretch>
                  </pic:blipFill>
                  <pic:spPr>
                    <a:xfrm>
                      <a:off x="0" y="0"/>
                      <a:ext cx="5325110" cy="7574280"/>
                    </a:xfrm>
                    <a:prstGeom prst="rect">
                      <a:avLst/>
                    </a:prstGeom>
                    <a:noFill/>
                    <a:ln>
                      <a:noFill/>
                    </a:ln>
                  </pic:spPr>
                </pic:pic>
              </a:graphicData>
            </a:graphic>
          </wp:inline>
        </w:drawing>
      </w:r>
      <w:r>
        <w:rPr>
          <w:color w:val="auto"/>
          <w:highlight w:val="none"/>
        </w:rPr>
        <w:drawing>
          <wp:inline distT="0" distB="0" distL="114300" distR="114300">
            <wp:extent cx="5243830" cy="7085965"/>
            <wp:effectExtent l="0" t="0" r="13970" b="635"/>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41"/>
                    <a:stretch>
                      <a:fillRect/>
                    </a:stretch>
                  </pic:blipFill>
                  <pic:spPr>
                    <a:xfrm>
                      <a:off x="0" y="0"/>
                      <a:ext cx="5243830" cy="7085965"/>
                    </a:xfrm>
                    <a:prstGeom prst="rect">
                      <a:avLst/>
                    </a:prstGeom>
                    <a:noFill/>
                    <a:ln>
                      <a:noFill/>
                    </a:ln>
                  </pic:spPr>
                </pic:pic>
              </a:graphicData>
            </a:graphic>
          </wp:inline>
        </w:drawing>
      </w:r>
      <w:r>
        <w:rPr>
          <w:color w:val="auto"/>
          <w:highlight w:val="none"/>
        </w:rPr>
        <w:drawing>
          <wp:inline distT="0" distB="0" distL="114300" distR="114300">
            <wp:extent cx="5193665" cy="6715125"/>
            <wp:effectExtent l="0" t="0" r="6985" b="9525"/>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42"/>
                    <a:stretch>
                      <a:fillRect/>
                    </a:stretch>
                  </pic:blipFill>
                  <pic:spPr>
                    <a:xfrm>
                      <a:off x="0" y="0"/>
                      <a:ext cx="5193665" cy="6715125"/>
                    </a:xfrm>
                    <a:prstGeom prst="rect">
                      <a:avLst/>
                    </a:prstGeom>
                    <a:noFill/>
                    <a:ln>
                      <a:noFill/>
                    </a:ln>
                  </pic:spPr>
                </pic:pic>
              </a:graphicData>
            </a:graphic>
          </wp:inline>
        </w:drawing>
      </w:r>
      <w:r>
        <w:rPr>
          <w:color w:val="auto"/>
          <w:highlight w:val="none"/>
        </w:rPr>
        <w:drawing>
          <wp:inline distT="0" distB="0" distL="114300" distR="114300">
            <wp:extent cx="5216525" cy="7601585"/>
            <wp:effectExtent l="0" t="0" r="3175" b="18415"/>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43"/>
                    <a:stretch>
                      <a:fillRect/>
                    </a:stretch>
                  </pic:blipFill>
                  <pic:spPr>
                    <a:xfrm>
                      <a:off x="0" y="0"/>
                      <a:ext cx="5216525" cy="7601585"/>
                    </a:xfrm>
                    <a:prstGeom prst="rect">
                      <a:avLst/>
                    </a:prstGeom>
                    <a:noFill/>
                    <a:ln>
                      <a:noFill/>
                    </a:ln>
                  </pic:spPr>
                </pic:pic>
              </a:graphicData>
            </a:graphic>
          </wp:inline>
        </w:drawing>
      </w:r>
      <w:r>
        <w:rPr>
          <w:color w:val="auto"/>
          <w:highlight w:val="none"/>
        </w:rPr>
        <w:drawing>
          <wp:inline distT="0" distB="0" distL="114300" distR="114300">
            <wp:extent cx="5181600" cy="7041515"/>
            <wp:effectExtent l="0" t="0" r="0" b="6985"/>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44"/>
                    <a:stretch>
                      <a:fillRect/>
                    </a:stretch>
                  </pic:blipFill>
                  <pic:spPr>
                    <a:xfrm>
                      <a:off x="0" y="0"/>
                      <a:ext cx="5181600" cy="7041515"/>
                    </a:xfrm>
                    <a:prstGeom prst="rect">
                      <a:avLst/>
                    </a:prstGeom>
                    <a:noFill/>
                    <a:ln>
                      <a:noFill/>
                    </a:ln>
                  </pic:spPr>
                </pic:pic>
              </a:graphicData>
            </a:graphic>
          </wp:inline>
        </w:drawing>
      </w:r>
      <w:r>
        <w:rPr>
          <w:color w:val="auto"/>
          <w:highlight w:val="none"/>
        </w:rPr>
        <w:drawing>
          <wp:inline distT="0" distB="0" distL="114300" distR="114300">
            <wp:extent cx="5333365" cy="7241540"/>
            <wp:effectExtent l="0" t="0" r="635" b="16510"/>
            <wp:docPr id="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
                    <pic:cNvPicPr>
                      <a:picLocks noChangeAspect="1"/>
                    </pic:cNvPicPr>
                  </pic:nvPicPr>
                  <pic:blipFill>
                    <a:blip r:embed="rId45"/>
                    <a:stretch>
                      <a:fillRect/>
                    </a:stretch>
                  </pic:blipFill>
                  <pic:spPr>
                    <a:xfrm>
                      <a:off x="0" y="0"/>
                      <a:ext cx="5333365" cy="7241540"/>
                    </a:xfrm>
                    <a:prstGeom prst="rect">
                      <a:avLst/>
                    </a:prstGeom>
                    <a:noFill/>
                    <a:ln>
                      <a:noFill/>
                    </a:ln>
                  </pic:spPr>
                </pic:pic>
              </a:graphicData>
            </a:graphic>
          </wp:inline>
        </w:drawing>
      </w:r>
      <w:r>
        <w:rPr>
          <w:color w:val="auto"/>
          <w:highlight w:val="none"/>
        </w:rPr>
        <w:drawing>
          <wp:inline distT="0" distB="0" distL="114300" distR="114300">
            <wp:extent cx="5217160" cy="6533515"/>
            <wp:effectExtent l="0" t="0" r="2540" b="635"/>
            <wp:docPr id="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pic:cNvPicPr>
                      <a:picLocks noChangeAspect="1"/>
                    </pic:cNvPicPr>
                  </pic:nvPicPr>
                  <pic:blipFill>
                    <a:blip r:embed="rId46"/>
                    <a:stretch>
                      <a:fillRect/>
                    </a:stretch>
                  </pic:blipFill>
                  <pic:spPr>
                    <a:xfrm>
                      <a:off x="0" y="0"/>
                      <a:ext cx="5217160" cy="6533515"/>
                    </a:xfrm>
                    <a:prstGeom prst="rect">
                      <a:avLst/>
                    </a:prstGeom>
                    <a:noFill/>
                    <a:ln>
                      <a:noFill/>
                    </a:ln>
                  </pic:spPr>
                </pic:pic>
              </a:graphicData>
            </a:graphic>
          </wp:inline>
        </w:drawing>
      </w:r>
    </w:p>
    <w:sectPr>
      <w:pgSz w:w="11906" w:h="16838"/>
      <w:pgMar w:top="1440" w:right="1797" w:bottom="1440" w:left="1797" w:header="964" w:footer="964"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0"/>
    <w:family w:val="auto"/>
    <w:pitch w:val="default"/>
    <w:sig w:usb0="00000000" w:usb1="00000000" w:usb2="00000009" w:usb3="00000000" w:csb0="400001FF" w:csb1="FFFF0000"/>
  </w:font>
  <w:font w:name="宋体">
    <w:altName w:val="方正书宋_GBK"/>
    <w:panose1 w:val="02010600030101010101"/>
    <w:charset w:val="7A"/>
    <w:family w:val="auto"/>
    <w:pitch w:val="default"/>
    <w:sig w:usb0="00000000" w:usb1="00000000" w:usb2="00000006" w:usb3="00000000" w:csb0="00040001"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Calibri Light">
    <w:altName w:val="DejaVu Sans"/>
    <w:panose1 w:val="020F0302020204030204"/>
    <w:charset w:val="00"/>
    <w:family w:val="swiss"/>
    <w:pitch w:val="default"/>
    <w:sig w:usb0="00000000" w:usb1="00000000" w:usb2="00000000" w:usb3="00000000" w:csb0="2000019F" w:csb1="00000000"/>
  </w:font>
  <w:font w:name="等线">
    <w:altName w:val="华文仿宋"/>
    <w:panose1 w:val="02010600030101010101"/>
    <w:charset w:val="86"/>
    <w:family w:val="auto"/>
    <w:pitch w:val="default"/>
    <w:sig w:usb0="00000000" w:usb1="00000000" w:usb2="00000016" w:usb3="00000000" w:csb0="0004000F" w:csb1="00000000"/>
  </w:font>
  <w:font w:name="华文仿宋">
    <w:panose1 w:val="02010600040101010101"/>
    <w:charset w:val="86"/>
    <w:family w:val="auto"/>
    <w:pitch w:val="default"/>
    <w:sig w:usb0="00000287" w:usb1="080F0000" w:usb2="00000000" w:usb3="00000000" w:csb0="0004009F" w:csb1="DFD70000"/>
  </w:font>
  <w:font w:name="微软雅黑">
    <w:altName w:val="方正黑体_GBK"/>
    <w:panose1 w:val="020B0503020204020204"/>
    <w:charset w:val="86"/>
    <w:family w:val="auto"/>
    <w:pitch w:val="default"/>
    <w:sig w:usb0="00000000" w:usb1="00000000" w:usb2="00000016" w:usb3="00000000" w:csb0="0004001F" w:csb1="00000000"/>
  </w:font>
  <w:font w:name="新宋体">
    <w:altName w:val="方正书宋_GBK"/>
    <w:panose1 w:val="02010609030101010101"/>
    <w:charset w:val="86"/>
    <w:family w:val="modern"/>
    <w:pitch w:val="default"/>
    <w:sig w:usb0="00000000" w:usb1="00000000" w:usb2="00000006" w:usb3="00000000" w:csb0="00040001" w:csb1="00000000"/>
  </w:font>
  <w:font w:name="Helvetica">
    <w:altName w:val="C059"/>
    <w:panose1 w:val="00000000000000000000"/>
    <w:charset w:val="00"/>
    <w:family w:val="auto"/>
    <w:pitch w:val="default"/>
    <w:sig w:usb0="00000000" w:usb1="00000000" w:usb2="00000000" w:usb3="00000000" w:csb0="00000000" w:csb1="00000000"/>
  </w:font>
  <w:font w:name="C059">
    <w:panose1 w:val="00000500000000000000"/>
    <w:charset w:val="00"/>
    <w:family w:val="auto"/>
    <w:pitch w:val="default"/>
    <w:sig w:usb0="00000287" w:usb1="00000800" w:usb2="00000000" w:usb3="00000000" w:csb0="6000009F" w:csb1="00000000"/>
  </w:font>
  <w:font w:name="文泉驿等宽正黑">
    <w:panose1 w:val="02000603000000000000"/>
    <w:charset w:val="86"/>
    <w:family w:val="auto"/>
    <w:pitch w:val="default"/>
    <w:sig w:usb0="900002BF" w:usb1="2BDF7DFB" w:usb2="00000036" w:usb3="00000000" w:csb0="603E000D" w:csb1="D2D70000"/>
  </w:font>
  <w:font w:name="方正仿宋_GBK">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614D5B">
    <w:pPr>
      <w:pStyle w:val="15"/>
      <w:ind w:right="360" w:firstLine="360"/>
      <w:jc w:val="center"/>
      <w:rPr>
        <w:rFonts w:ascii="Times New Roman" w:hAnsi="Times New Roman" w:eastAsia="宋体"/>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86A9B9">
    <w:pPr>
      <w:pStyle w:val="15"/>
      <w:jc w:val="center"/>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A2DBBE">
    <w:pPr>
      <w:pStyle w:val="15"/>
      <w:ind w:right="360" w:firstLine="360"/>
      <w:jc w:val="center"/>
      <w:rPr>
        <w:rFonts w:ascii="Times New Roman" w:hAnsi="Times New Roman" w:eastAsia="宋体"/>
        <w:sz w:val="21"/>
        <w:szCs w:val="21"/>
      </w:rPr>
    </w:pPr>
    <w:r>
      <w:rPr>
        <w:rFonts w:ascii="Times New Roman" w:hAnsi="Times New Roman" w:eastAsia="宋体"/>
        <w:sz w:val="21"/>
        <w:szCs w:val="21"/>
      </w:rPr>
      <w:fldChar w:fldCharType="begin"/>
    </w:r>
    <w:r>
      <w:rPr>
        <w:rFonts w:ascii="Times New Roman" w:hAnsi="Times New Roman" w:eastAsia="宋体"/>
        <w:sz w:val="21"/>
        <w:szCs w:val="21"/>
      </w:rPr>
      <w:instrText xml:space="preserve">PAGE   \* MERGEFORMAT</w:instrText>
    </w:r>
    <w:r>
      <w:rPr>
        <w:rFonts w:ascii="Times New Roman" w:hAnsi="Times New Roman" w:eastAsia="宋体"/>
        <w:sz w:val="21"/>
        <w:szCs w:val="21"/>
      </w:rPr>
      <w:fldChar w:fldCharType="separate"/>
    </w:r>
    <w:r>
      <w:rPr>
        <w:rFonts w:ascii="Times New Roman" w:hAnsi="Times New Roman" w:eastAsia="宋体"/>
        <w:sz w:val="21"/>
        <w:szCs w:val="21"/>
        <w:lang w:val="zh-CN"/>
      </w:rPr>
      <w:t>1</w:t>
    </w:r>
    <w:r>
      <w:rPr>
        <w:rFonts w:ascii="Times New Roman" w:hAnsi="Times New Roman" w:eastAsia="宋体"/>
        <w:sz w:val="21"/>
        <w:szCs w:val="21"/>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4E73F4">
    <w:pPr>
      <w:pStyle w:val="16"/>
      <w:pBdr>
        <w:bottom w:val="none" w:color="auto" w:sz="0" w:space="1"/>
      </w:pBdr>
      <w:rPr>
        <w:rFonts w:hint="default" w:eastAsia="宋体"/>
        <w:lang w:val="en-US" w:eastAsia="zh-CN"/>
      </w:rPr>
    </w:pPr>
    <w:r>
      <w:rPr>
        <w:rFonts w:hint="eastAsia"/>
        <w:lang w:val="en-US" w:eastAsia="zh-CN"/>
      </w:rPr>
      <w:t xml:space="preserve">                                                                                                                                                                                                                                                                                                                                                                                                                                                                                                                                                                                                                                                                                                                                                                                                                                                                                                                                                                                                                                                                                                                                                                                                                                                                                                                                                                                                                                                                                                                                                                                                                                                                                                                                                                                                                                                                                                                                                                                                                                                                                                                                                                                                                                                                                                                                                                                                                                                                                                                                                                                                                                                                                                                                                                                                                                                                                                                                                                                                                                                                                                                                                                                                                                                                                                                                                                                                                                                                                                                                                                                                                                                                                                                                                                                                                                                                                                                                                                                                                                                                                                                                                                                                                </w:t>
    </w:r>
    <w:r>
      <w:rPr>
        <w:rFonts w:hint="eastAsia"/>
        <w:lang w:val="en-US" w:eastAsia="zh-CN"/>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94AB680"/>
    <w:multiLevelType w:val="singleLevel"/>
    <w:tmpl w:val="A94AB680"/>
    <w:lvl w:ilvl="0" w:tentative="0">
      <w:start w:val="2"/>
      <w:numFmt w:val="decimal"/>
      <w:suff w:val="nothing"/>
      <w:lvlText w:val="（%1）"/>
      <w:lvlJc w:val="left"/>
      <w:rPr>
        <w:rFonts w:hint="default"/>
        <w:b/>
        <w:bC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A2YmE0ZjE1M2NkZWNiNDYyZTFmY2NhMTM2N2I2ZmQifQ=="/>
  </w:docVars>
  <w:rsids>
    <w:rsidRoot w:val="3A0036C4"/>
    <w:rsid w:val="0000011D"/>
    <w:rsid w:val="00016909"/>
    <w:rsid w:val="00020B8F"/>
    <w:rsid w:val="0002362F"/>
    <w:rsid w:val="000264C5"/>
    <w:rsid w:val="00026C5D"/>
    <w:rsid w:val="000304D4"/>
    <w:rsid w:val="00031874"/>
    <w:rsid w:val="00035E3C"/>
    <w:rsid w:val="00047616"/>
    <w:rsid w:val="00054E60"/>
    <w:rsid w:val="00055723"/>
    <w:rsid w:val="00066094"/>
    <w:rsid w:val="000712B8"/>
    <w:rsid w:val="00073830"/>
    <w:rsid w:val="000743B8"/>
    <w:rsid w:val="0007709E"/>
    <w:rsid w:val="00080A82"/>
    <w:rsid w:val="000843BB"/>
    <w:rsid w:val="000A6765"/>
    <w:rsid w:val="000B7C19"/>
    <w:rsid w:val="000C2523"/>
    <w:rsid w:val="000C37AD"/>
    <w:rsid w:val="000C6A6D"/>
    <w:rsid w:val="000C6B42"/>
    <w:rsid w:val="000D244E"/>
    <w:rsid w:val="000D4C13"/>
    <w:rsid w:val="000F4D8C"/>
    <w:rsid w:val="000F578B"/>
    <w:rsid w:val="000F5B62"/>
    <w:rsid w:val="000F5E28"/>
    <w:rsid w:val="00120A1A"/>
    <w:rsid w:val="0013436A"/>
    <w:rsid w:val="00135230"/>
    <w:rsid w:val="00141C0C"/>
    <w:rsid w:val="00142846"/>
    <w:rsid w:val="0014589C"/>
    <w:rsid w:val="00152C90"/>
    <w:rsid w:val="001609BB"/>
    <w:rsid w:val="00160B7D"/>
    <w:rsid w:val="00165F24"/>
    <w:rsid w:val="001722DC"/>
    <w:rsid w:val="00172BCF"/>
    <w:rsid w:val="00174378"/>
    <w:rsid w:val="001772BC"/>
    <w:rsid w:val="00177830"/>
    <w:rsid w:val="00182C91"/>
    <w:rsid w:val="00182CF4"/>
    <w:rsid w:val="0018369B"/>
    <w:rsid w:val="0019592F"/>
    <w:rsid w:val="001A1A0C"/>
    <w:rsid w:val="001B0624"/>
    <w:rsid w:val="001B40F3"/>
    <w:rsid w:val="001B4A9E"/>
    <w:rsid w:val="001B5112"/>
    <w:rsid w:val="001C4F3C"/>
    <w:rsid w:val="001C712E"/>
    <w:rsid w:val="001D03FE"/>
    <w:rsid w:val="001D42DF"/>
    <w:rsid w:val="001D7A01"/>
    <w:rsid w:val="001E0E3E"/>
    <w:rsid w:val="001E3BDF"/>
    <w:rsid w:val="001E762D"/>
    <w:rsid w:val="00201E56"/>
    <w:rsid w:val="00205984"/>
    <w:rsid w:val="00207C09"/>
    <w:rsid w:val="00213EDF"/>
    <w:rsid w:val="002171B8"/>
    <w:rsid w:val="00232F5C"/>
    <w:rsid w:val="00246267"/>
    <w:rsid w:val="00251A3C"/>
    <w:rsid w:val="00251BD9"/>
    <w:rsid w:val="002528C4"/>
    <w:rsid w:val="0026139F"/>
    <w:rsid w:val="0026251E"/>
    <w:rsid w:val="00264CD4"/>
    <w:rsid w:val="00264E34"/>
    <w:rsid w:val="0026570C"/>
    <w:rsid w:val="00272C11"/>
    <w:rsid w:val="00282C75"/>
    <w:rsid w:val="00283437"/>
    <w:rsid w:val="00284608"/>
    <w:rsid w:val="00285118"/>
    <w:rsid w:val="00290DDF"/>
    <w:rsid w:val="002910F0"/>
    <w:rsid w:val="002B38FA"/>
    <w:rsid w:val="002B498D"/>
    <w:rsid w:val="002C0F0C"/>
    <w:rsid w:val="002C100E"/>
    <w:rsid w:val="002C110A"/>
    <w:rsid w:val="002C30ED"/>
    <w:rsid w:val="002D6EBD"/>
    <w:rsid w:val="002E7C7A"/>
    <w:rsid w:val="002F0A59"/>
    <w:rsid w:val="002F318B"/>
    <w:rsid w:val="002F31F9"/>
    <w:rsid w:val="0030458D"/>
    <w:rsid w:val="003068CD"/>
    <w:rsid w:val="00315783"/>
    <w:rsid w:val="00317E4F"/>
    <w:rsid w:val="00320008"/>
    <w:rsid w:val="00343C96"/>
    <w:rsid w:val="00343FDA"/>
    <w:rsid w:val="00346033"/>
    <w:rsid w:val="00347A5B"/>
    <w:rsid w:val="00362134"/>
    <w:rsid w:val="00371FFF"/>
    <w:rsid w:val="00375F84"/>
    <w:rsid w:val="00383163"/>
    <w:rsid w:val="00384359"/>
    <w:rsid w:val="003957B0"/>
    <w:rsid w:val="003A5A2D"/>
    <w:rsid w:val="003A7BAD"/>
    <w:rsid w:val="003B7116"/>
    <w:rsid w:val="003C1673"/>
    <w:rsid w:val="003C18D4"/>
    <w:rsid w:val="003C2D6A"/>
    <w:rsid w:val="003D3C3E"/>
    <w:rsid w:val="003D5494"/>
    <w:rsid w:val="003D6B7B"/>
    <w:rsid w:val="003E2F30"/>
    <w:rsid w:val="003E50C4"/>
    <w:rsid w:val="003E5A63"/>
    <w:rsid w:val="003F19C2"/>
    <w:rsid w:val="0040654A"/>
    <w:rsid w:val="00416EE7"/>
    <w:rsid w:val="00426F7C"/>
    <w:rsid w:val="004356B1"/>
    <w:rsid w:val="0043719E"/>
    <w:rsid w:val="00440D53"/>
    <w:rsid w:val="00443A82"/>
    <w:rsid w:val="00454D4D"/>
    <w:rsid w:val="004557A6"/>
    <w:rsid w:val="004608DC"/>
    <w:rsid w:val="004634F9"/>
    <w:rsid w:val="0046371B"/>
    <w:rsid w:val="00464F7B"/>
    <w:rsid w:val="00464F87"/>
    <w:rsid w:val="00466910"/>
    <w:rsid w:val="00470665"/>
    <w:rsid w:val="00491602"/>
    <w:rsid w:val="004A3350"/>
    <w:rsid w:val="004A5E25"/>
    <w:rsid w:val="004A66DE"/>
    <w:rsid w:val="004A69CC"/>
    <w:rsid w:val="004B2267"/>
    <w:rsid w:val="004C4D0C"/>
    <w:rsid w:val="004C5C26"/>
    <w:rsid w:val="004C6671"/>
    <w:rsid w:val="004D056F"/>
    <w:rsid w:val="004E2069"/>
    <w:rsid w:val="004E4E8B"/>
    <w:rsid w:val="004F48AC"/>
    <w:rsid w:val="004F57A5"/>
    <w:rsid w:val="004F59A8"/>
    <w:rsid w:val="00512B4B"/>
    <w:rsid w:val="0051585A"/>
    <w:rsid w:val="00522F30"/>
    <w:rsid w:val="00524EB6"/>
    <w:rsid w:val="00525240"/>
    <w:rsid w:val="005254D4"/>
    <w:rsid w:val="005279E7"/>
    <w:rsid w:val="00530D35"/>
    <w:rsid w:val="005449B0"/>
    <w:rsid w:val="00546BE2"/>
    <w:rsid w:val="005516DC"/>
    <w:rsid w:val="00554BAA"/>
    <w:rsid w:val="00561D15"/>
    <w:rsid w:val="00574B89"/>
    <w:rsid w:val="0057711C"/>
    <w:rsid w:val="00581DA4"/>
    <w:rsid w:val="00582CBF"/>
    <w:rsid w:val="00587D82"/>
    <w:rsid w:val="005914A6"/>
    <w:rsid w:val="00594447"/>
    <w:rsid w:val="005948DA"/>
    <w:rsid w:val="005A2238"/>
    <w:rsid w:val="005A28CC"/>
    <w:rsid w:val="005A439B"/>
    <w:rsid w:val="005A7B00"/>
    <w:rsid w:val="005B40EA"/>
    <w:rsid w:val="005B538E"/>
    <w:rsid w:val="005C0D23"/>
    <w:rsid w:val="005D051F"/>
    <w:rsid w:val="005D69D9"/>
    <w:rsid w:val="005D729A"/>
    <w:rsid w:val="005F1985"/>
    <w:rsid w:val="005F2B3B"/>
    <w:rsid w:val="00603BBA"/>
    <w:rsid w:val="0060795E"/>
    <w:rsid w:val="00612CD2"/>
    <w:rsid w:val="00615792"/>
    <w:rsid w:val="00621354"/>
    <w:rsid w:val="00626F14"/>
    <w:rsid w:val="00627383"/>
    <w:rsid w:val="00641270"/>
    <w:rsid w:val="006537B0"/>
    <w:rsid w:val="006650C0"/>
    <w:rsid w:val="00667D57"/>
    <w:rsid w:val="006751FF"/>
    <w:rsid w:val="006756C9"/>
    <w:rsid w:val="0068018B"/>
    <w:rsid w:val="00693AAD"/>
    <w:rsid w:val="006969DE"/>
    <w:rsid w:val="006A4B08"/>
    <w:rsid w:val="006A7C07"/>
    <w:rsid w:val="006B277C"/>
    <w:rsid w:val="006B6CAB"/>
    <w:rsid w:val="006C1100"/>
    <w:rsid w:val="006C5C65"/>
    <w:rsid w:val="006D0C2E"/>
    <w:rsid w:val="006D2E28"/>
    <w:rsid w:val="006F153D"/>
    <w:rsid w:val="006F1F3A"/>
    <w:rsid w:val="006F2982"/>
    <w:rsid w:val="006F2D48"/>
    <w:rsid w:val="006F30DD"/>
    <w:rsid w:val="006F380D"/>
    <w:rsid w:val="00705059"/>
    <w:rsid w:val="00716640"/>
    <w:rsid w:val="007210A3"/>
    <w:rsid w:val="00724220"/>
    <w:rsid w:val="0072684B"/>
    <w:rsid w:val="007307E9"/>
    <w:rsid w:val="00735C1F"/>
    <w:rsid w:val="00740FCC"/>
    <w:rsid w:val="00741C09"/>
    <w:rsid w:val="0074214D"/>
    <w:rsid w:val="00746D0E"/>
    <w:rsid w:val="00747933"/>
    <w:rsid w:val="007479D0"/>
    <w:rsid w:val="007542F5"/>
    <w:rsid w:val="00755B3A"/>
    <w:rsid w:val="00762B1B"/>
    <w:rsid w:val="00766572"/>
    <w:rsid w:val="007809B5"/>
    <w:rsid w:val="007861A1"/>
    <w:rsid w:val="00787A96"/>
    <w:rsid w:val="007A3528"/>
    <w:rsid w:val="007A39E8"/>
    <w:rsid w:val="007B11C8"/>
    <w:rsid w:val="007C3CED"/>
    <w:rsid w:val="007C781E"/>
    <w:rsid w:val="007D1DF8"/>
    <w:rsid w:val="007D2A23"/>
    <w:rsid w:val="007D4CB4"/>
    <w:rsid w:val="007E1464"/>
    <w:rsid w:val="007E1608"/>
    <w:rsid w:val="007E2C13"/>
    <w:rsid w:val="007E7AAE"/>
    <w:rsid w:val="007F40EB"/>
    <w:rsid w:val="00800AEA"/>
    <w:rsid w:val="0080259C"/>
    <w:rsid w:val="00802D27"/>
    <w:rsid w:val="00816418"/>
    <w:rsid w:val="00817470"/>
    <w:rsid w:val="008205DC"/>
    <w:rsid w:val="00826101"/>
    <w:rsid w:val="00833F13"/>
    <w:rsid w:val="00840852"/>
    <w:rsid w:val="0084414D"/>
    <w:rsid w:val="00845215"/>
    <w:rsid w:val="00852109"/>
    <w:rsid w:val="008567B4"/>
    <w:rsid w:val="0085781F"/>
    <w:rsid w:val="00865A84"/>
    <w:rsid w:val="0087079A"/>
    <w:rsid w:val="00874478"/>
    <w:rsid w:val="00882245"/>
    <w:rsid w:val="00882C8B"/>
    <w:rsid w:val="008830E6"/>
    <w:rsid w:val="00884D6D"/>
    <w:rsid w:val="00885042"/>
    <w:rsid w:val="00885621"/>
    <w:rsid w:val="00892B55"/>
    <w:rsid w:val="00892C3F"/>
    <w:rsid w:val="00895311"/>
    <w:rsid w:val="00897BFA"/>
    <w:rsid w:val="008A55B4"/>
    <w:rsid w:val="008B7619"/>
    <w:rsid w:val="008C1800"/>
    <w:rsid w:val="008C6730"/>
    <w:rsid w:val="008E0CCA"/>
    <w:rsid w:val="008E324F"/>
    <w:rsid w:val="008E53B5"/>
    <w:rsid w:val="008E7665"/>
    <w:rsid w:val="008F03A7"/>
    <w:rsid w:val="008F0614"/>
    <w:rsid w:val="008F0CBD"/>
    <w:rsid w:val="008F36C4"/>
    <w:rsid w:val="00905AAA"/>
    <w:rsid w:val="00911C37"/>
    <w:rsid w:val="0091428B"/>
    <w:rsid w:val="00914A3A"/>
    <w:rsid w:val="00922C5B"/>
    <w:rsid w:val="00924A5B"/>
    <w:rsid w:val="0092501D"/>
    <w:rsid w:val="009301E3"/>
    <w:rsid w:val="00932363"/>
    <w:rsid w:val="00936B67"/>
    <w:rsid w:val="00964E4D"/>
    <w:rsid w:val="00965ED9"/>
    <w:rsid w:val="00983B9B"/>
    <w:rsid w:val="00985037"/>
    <w:rsid w:val="00995516"/>
    <w:rsid w:val="009976D5"/>
    <w:rsid w:val="009A28DF"/>
    <w:rsid w:val="009C0B9C"/>
    <w:rsid w:val="009C141F"/>
    <w:rsid w:val="009D10D9"/>
    <w:rsid w:val="009D1957"/>
    <w:rsid w:val="009D3177"/>
    <w:rsid w:val="009D6624"/>
    <w:rsid w:val="009E197E"/>
    <w:rsid w:val="009E25D6"/>
    <w:rsid w:val="009F00E6"/>
    <w:rsid w:val="00A0579D"/>
    <w:rsid w:val="00A115DA"/>
    <w:rsid w:val="00A24FF2"/>
    <w:rsid w:val="00A25811"/>
    <w:rsid w:val="00A30A37"/>
    <w:rsid w:val="00A30CAA"/>
    <w:rsid w:val="00A36D6B"/>
    <w:rsid w:val="00A420DA"/>
    <w:rsid w:val="00A50AC9"/>
    <w:rsid w:val="00A51326"/>
    <w:rsid w:val="00A73985"/>
    <w:rsid w:val="00A83EAE"/>
    <w:rsid w:val="00A914B0"/>
    <w:rsid w:val="00A914B7"/>
    <w:rsid w:val="00AB082E"/>
    <w:rsid w:val="00AB5FF4"/>
    <w:rsid w:val="00AB6454"/>
    <w:rsid w:val="00AC1B42"/>
    <w:rsid w:val="00AC7658"/>
    <w:rsid w:val="00AE5838"/>
    <w:rsid w:val="00AF0859"/>
    <w:rsid w:val="00AF4977"/>
    <w:rsid w:val="00AF6D73"/>
    <w:rsid w:val="00AF71C3"/>
    <w:rsid w:val="00B0469D"/>
    <w:rsid w:val="00B109E5"/>
    <w:rsid w:val="00B1602C"/>
    <w:rsid w:val="00B27D06"/>
    <w:rsid w:val="00B4276E"/>
    <w:rsid w:val="00B439E0"/>
    <w:rsid w:val="00B46B9F"/>
    <w:rsid w:val="00B479BF"/>
    <w:rsid w:val="00B54800"/>
    <w:rsid w:val="00B62B42"/>
    <w:rsid w:val="00B9032A"/>
    <w:rsid w:val="00B91630"/>
    <w:rsid w:val="00B936E0"/>
    <w:rsid w:val="00B962E0"/>
    <w:rsid w:val="00BA1F09"/>
    <w:rsid w:val="00BA3D23"/>
    <w:rsid w:val="00BA7DE8"/>
    <w:rsid w:val="00BC145A"/>
    <w:rsid w:val="00BC24B7"/>
    <w:rsid w:val="00BC34CE"/>
    <w:rsid w:val="00BC6BCB"/>
    <w:rsid w:val="00BD3745"/>
    <w:rsid w:val="00BD588D"/>
    <w:rsid w:val="00BD6465"/>
    <w:rsid w:val="00BE6828"/>
    <w:rsid w:val="00BF4E8A"/>
    <w:rsid w:val="00C071A9"/>
    <w:rsid w:val="00C07773"/>
    <w:rsid w:val="00C13C72"/>
    <w:rsid w:val="00C145D6"/>
    <w:rsid w:val="00C22E6C"/>
    <w:rsid w:val="00C23F8A"/>
    <w:rsid w:val="00C25155"/>
    <w:rsid w:val="00C261F3"/>
    <w:rsid w:val="00C26AC7"/>
    <w:rsid w:val="00C40D18"/>
    <w:rsid w:val="00C41CDA"/>
    <w:rsid w:val="00C41D94"/>
    <w:rsid w:val="00C4488B"/>
    <w:rsid w:val="00C50F7D"/>
    <w:rsid w:val="00C52E0D"/>
    <w:rsid w:val="00C6140F"/>
    <w:rsid w:val="00C72D90"/>
    <w:rsid w:val="00C807FC"/>
    <w:rsid w:val="00C80EA6"/>
    <w:rsid w:val="00C901FE"/>
    <w:rsid w:val="00C90274"/>
    <w:rsid w:val="00C9050B"/>
    <w:rsid w:val="00C971E7"/>
    <w:rsid w:val="00CA2148"/>
    <w:rsid w:val="00CA29DC"/>
    <w:rsid w:val="00CA7D63"/>
    <w:rsid w:val="00CB4E99"/>
    <w:rsid w:val="00CE013B"/>
    <w:rsid w:val="00D12921"/>
    <w:rsid w:val="00D20E3A"/>
    <w:rsid w:val="00D30F32"/>
    <w:rsid w:val="00D35448"/>
    <w:rsid w:val="00D416FF"/>
    <w:rsid w:val="00D43182"/>
    <w:rsid w:val="00D530B1"/>
    <w:rsid w:val="00D620B9"/>
    <w:rsid w:val="00D72ED3"/>
    <w:rsid w:val="00D90040"/>
    <w:rsid w:val="00D93563"/>
    <w:rsid w:val="00DA33D9"/>
    <w:rsid w:val="00DA6290"/>
    <w:rsid w:val="00DC1F7E"/>
    <w:rsid w:val="00DC34C8"/>
    <w:rsid w:val="00DC5CCF"/>
    <w:rsid w:val="00DD0EA9"/>
    <w:rsid w:val="00DD1A9D"/>
    <w:rsid w:val="00DE06ED"/>
    <w:rsid w:val="00DF10BC"/>
    <w:rsid w:val="00DF2C50"/>
    <w:rsid w:val="00DF5C6C"/>
    <w:rsid w:val="00E107F6"/>
    <w:rsid w:val="00E1239E"/>
    <w:rsid w:val="00E2395E"/>
    <w:rsid w:val="00E2474B"/>
    <w:rsid w:val="00E24E0C"/>
    <w:rsid w:val="00E33BC7"/>
    <w:rsid w:val="00E44C58"/>
    <w:rsid w:val="00E518A5"/>
    <w:rsid w:val="00E629C3"/>
    <w:rsid w:val="00E63622"/>
    <w:rsid w:val="00E77844"/>
    <w:rsid w:val="00E81F2A"/>
    <w:rsid w:val="00E859F2"/>
    <w:rsid w:val="00E86505"/>
    <w:rsid w:val="00E870C9"/>
    <w:rsid w:val="00EA0B0C"/>
    <w:rsid w:val="00EC100D"/>
    <w:rsid w:val="00EC3C8D"/>
    <w:rsid w:val="00EC4956"/>
    <w:rsid w:val="00EC7619"/>
    <w:rsid w:val="00ED2FA3"/>
    <w:rsid w:val="00ED31F6"/>
    <w:rsid w:val="00EE439E"/>
    <w:rsid w:val="00EE476C"/>
    <w:rsid w:val="00EF559E"/>
    <w:rsid w:val="00F05769"/>
    <w:rsid w:val="00F05E10"/>
    <w:rsid w:val="00F10F3F"/>
    <w:rsid w:val="00F12825"/>
    <w:rsid w:val="00F143F8"/>
    <w:rsid w:val="00F15022"/>
    <w:rsid w:val="00F15C3D"/>
    <w:rsid w:val="00F24353"/>
    <w:rsid w:val="00F24A79"/>
    <w:rsid w:val="00F31552"/>
    <w:rsid w:val="00F3250F"/>
    <w:rsid w:val="00F37B65"/>
    <w:rsid w:val="00F42A8F"/>
    <w:rsid w:val="00F46C0B"/>
    <w:rsid w:val="00F535F4"/>
    <w:rsid w:val="00F569F0"/>
    <w:rsid w:val="00F600BB"/>
    <w:rsid w:val="00F638AE"/>
    <w:rsid w:val="00F71ECB"/>
    <w:rsid w:val="00F72A6D"/>
    <w:rsid w:val="00F763FD"/>
    <w:rsid w:val="00F767EE"/>
    <w:rsid w:val="00F8008B"/>
    <w:rsid w:val="00F81438"/>
    <w:rsid w:val="00F8243D"/>
    <w:rsid w:val="00F8579B"/>
    <w:rsid w:val="00F96C2F"/>
    <w:rsid w:val="00FA0B60"/>
    <w:rsid w:val="00FB39A7"/>
    <w:rsid w:val="00FB6512"/>
    <w:rsid w:val="00FC4AF4"/>
    <w:rsid w:val="00FC5494"/>
    <w:rsid w:val="00FC74D3"/>
    <w:rsid w:val="00FC7F2D"/>
    <w:rsid w:val="00FD271E"/>
    <w:rsid w:val="00FD6E05"/>
    <w:rsid w:val="00FD730A"/>
    <w:rsid w:val="00FD7512"/>
    <w:rsid w:val="00FD7F2F"/>
    <w:rsid w:val="00FE0D8B"/>
    <w:rsid w:val="00FE1DC3"/>
    <w:rsid w:val="00FE2BD4"/>
    <w:rsid w:val="00FE44FB"/>
    <w:rsid w:val="00FE7F0F"/>
    <w:rsid w:val="00FE7FEE"/>
    <w:rsid w:val="00FF4A94"/>
    <w:rsid w:val="00FF54C6"/>
    <w:rsid w:val="00FF67EC"/>
    <w:rsid w:val="01264C9F"/>
    <w:rsid w:val="014337F8"/>
    <w:rsid w:val="02182ED7"/>
    <w:rsid w:val="02374730"/>
    <w:rsid w:val="029D3AC0"/>
    <w:rsid w:val="031970AB"/>
    <w:rsid w:val="033B1B91"/>
    <w:rsid w:val="03484B47"/>
    <w:rsid w:val="03634EE8"/>
    <w:rsid w:val="0388408C"/>
    <w:rsid w:val="03E56DE9"/>
    <w:rsid w:val="03F630E7"/>
    <w:rsid w:val="043B2CE8"/>
    <w:rsid w:val="043D09D3"/>
    <w:rsid w:val="0470071B"/>
    <w:rsid w:val="04844854"/>
    <w:rsid w:val="04A64141"/>
    <w:rsid w:val="04D05520"/>
    <w:rsid w:val="04F050EB"/>
    <w:rsid w:val="04F06055"/>
    <w:rsid w:val="05886E3E"/>
    <w:rsid w:val="05917228"/>
    <w:rsid w:val="05D31D4C"/>
    <w:rsid w:val="05EB66C4"/>
    <w:rsid w:val="06794E32"/>
    <w:rsid w:val="06AE0EE6"/>
    <w:rsid w:val="07105DE1"/>
    <w:rsid w:val="07530AE8"/>
    <w:rsid w:val="07E2302E"/>
    <w:rsid w:val="0801097A"/>
    <w:rsid w:val="08403603"/>
    <w:rsid w:val="0901567A"/>
    <w:rsid w:val="09210053"/>
    <w:rsid w:val="096749FF"/>
    <w:rsid w:val="09864BCA"/>
    <w:rsid w:val="09B670F9"/>
    <w:rsid w:val="09D42CBE"/>
    <w:rsid w:val="0A1D5D1B"/>
    <w:rsid w:val="0A853A8F"/>
    <w:rsid w:val="0AA47D81"/>
    <w:rsid w:val="0AAB5AAB"/>
    <w:rsid w:val="0BA966E5"/>
    <w:rsid w:val="0BBB38D9"/>
    <w:rsid w:val="0C920D02"/>
    <w:rsid w:val="0D6A6699"/>
    <w:rsid w:val="0E4A08BC"/>
    <w:rsid w:val="0E50282F"/>
    <w:rsid w:val="0EA36482"/>
    <w:rsid w:val="0F3C14DD"/>
    <w:rsid w:val="0FF25D7E"/>
    <w:rsid w:val="10276D30"/>
    <w:rsid w:val="102F24D8"/>
    <w:rsid w:val="10A719D5"/>
    <w:rsid w:val="10CD6A2A"/>
    <w:rsid w:val="10DC1574"/>
    <w:rsid w:val="10E52DFB"/>
    <w:rsid w:val="10E90EEC"/>
    <w:rsid w:val="12105979"/>
    <w:rsid w:val="1246658D"/>
    <w:rsid w:val="128510B6"/>
    <w:rsid w:val="12B0448D"/>
    <w:rsid w:val="12EB1E58"/>
    <w:rsid w:val="134066A8"/>
    <w:rsid w:val="13D55E3D"/>
    <w:rsid w:val="13EE3A98"/>
    <w:rsid w:val="143968D6"/>
    <w:rsid w:val="146A6EF7"/>
    <w:rsid w:val="1470445D"/>
    <w:rsid w:val="147B05C1"/>
    <w:rsid w:val="15AB7787"/>
    <w:rsid w:val="15C83049"/>
    <w:rsid w:val="15F7737C"/>
    <w:rsid w:val="15FC3078"/>
    <w:rsid w:val="16473933"/>
    <w:rsid w:val="165E761D"/>
    <w:rsid w:val="16910784"/>
    <w:rsid w:val="16EB7BFD"/>
    <w:rsid w:val="17BA7B72"/>
    <w:rsid w:val="17E922D2"/>
    <w:rsid w:val="1839696C"/>
    <w:rsid w:val="18865FAC"/>
    <w:rsid w:val="195F61D8"/>
    <w:rsid w:val="197D7E94"/>
    <w:rsid w:val="19CA1F20"/>
    <w:rsid w:val="1A334C6D"/>
    <w:rsid w:val="1A835A57"/>
    <w:rsid w:val="1A8B126C"/>
    <w:rsid w:val="1AC92352"/>
    <w:rsid w:val="1B295706"/>
    <w:rsid w:val="1B4379E5"/>
    <w:rsid w:val="1B5561F5"/>
    <w:rsid w:val="1B773030"/>
    <w:rsid w:val="1C200B6F"/>
    <w:rsid w:val="1C5C4298"/>
    <w:rsid w:val="1C8304E6"/>
    <w:rsid w:val="1C9200E2"/>
    <w:rsid w:val="1CCC720E"/>
    <w:rsid w:val="1E0B2553"/>
    <w:rsid w:val="1E687422"/>
    <w:rsid w:val="1EAA56D5"/>
    <w:rsid w:val="1EBC4BC8"/>
    <w:rsid w:val="1ECD17C8"/>
    <w:rsid w:val="1F2E2C3C"/>
    <w:rsid w:val="1FBC49BC"/>
    <w:rsid w:val="1FFF0585"/>
    <w:rsid w:val="20546039"/>
    <w:rsid w:val="213B7C9C"/>
    <w:rsid w:val="217D7150"/>
    <w:rsid w:val="21C67DF7"/>
    <w:rsid w:val="21C80458"/>
    <w:rsid w:val="21E604A4"/>
    <w:rsid w:val="222B0D5E"/>
    <w:rsid w:val="228C5E4D"/>
    <w:rsid w:val="22A971FD"/>
    <w:rsid w:val="23E55F92"/>
    <w:rsid w:val="24224D43"/>
    <w:rsid w:val="24234632"/>
    <w:rsid w:val="243215A7"/>
    <w:rsid w:val="243E30D1"/>
    <w:rsid w:val="24535017"/>
    <w:rsid w:val="24CA7C09"/>
    <w:rsid w:val="24F77A66"/>
    <w:rsid w:val="25004CCA"/>
    <w:rsid w:val="25D90C22"/>
    <w:rsid w:val="2621451D"/>
    <w:rsid w:val="263A23A2"/>
    <w:rsid w:val="26CA2142"/>
    <w:rsid w:val="2778394C"/>
    <w:rsid w:val="2799350C"/>
    <w:rsid w:val="279D3D05"/>
    <w:rsid w:val="284B1061"/>
    <w:rsid w:val="28846CA8"/>
    <w:rsid w:val="28D50AE6"/>
    <w:rsid w:val="2A3A00AE"/>
    <w:rsid w:val="2A3A3CE3"/>
    <w:rsid w:val="2A47392C"/>
    <w:rsid w:val="2AD91194"/>
    <w:rsid w:val="2AE77BF2"/>
    <w:rsid w:val="2BA10873"/>
    <w:rsid w:val="2BAC2F18"/>
    <w:rsid w:val="2C275C70"/>
    <w:rsid w:val="2C59244F"/>
    <w:rsid w:val="2D1F5700"/>
    <w:rsid w:val="2D2F71A3"/>
    <w:rsid w:val="2D3422B5"/>
    <w:rsid w:val="2D3E4E86"/>
    <w:rsid w:val="2D4E110D"/>
    <w:rsid w:val="2D7857F7"/>
    <w:rsid w:val="2DB75AF8"/>
    <w:rsid w:val="2DD9642F"/>
    <w:rsid w:val="2E005E93"/>
    <w:rsid w:val="2E271C28"/>
    <w:rsid w:val="2E276750"/>
    <w:rsid w:val="2E626F55"/>
    <w:rsid w:val="2E894691"/>
    <w:rsid w:val="2E9D638E"/>
    <w:rsid w:val="2F162BDB"/>
    <w:rsid w:val="2FF1787B"/>
    <w:rsid w:val="30071149"/>
    <w:rsid w:val="3025488D"/>
    <w:rsid w:val="303B4FE6"/>
    <w:rsid w:val="308C2AC5"/>
    <w:rsid w:val="309831BA"/>
    <w:rsid w:val="30C22EE3"/>
    <w:rsid w:val="30F878AC"/>
    <w:rsid w:val="316750D1"/>
    <w:rsid w:val="31707543"/>
    <w:rsid w:val="32221084"/>
    <w:rsid w:val="323D2377"/>
    <w:rsid w:val="32673125"/>
    <w:rsid w:val="328F53D2"/>
    <w:rsid w:val="328F6F8A"/>
    <w:rsid w:val="32B61E53"/>
    <w:rsid w:val="32DF661E"/>
    <w:rsid w:val="3311664C"/>
    <w:rsid w:val="331658DE"/>
    <w:rsid w:val="337C6572"/>
    <w:rsid w:val="33BD7229"/>
    <w:rsid w:val="33E10ACB"/>
    <w:rsid w:val="343C05A8"/>
    <w:rsid w:val="34716A53"/>
    <w:rsid w:val="3476722C"/>
    <w:rsid w:val="34CC7D73"/>
    <w:rsid w:val="35531555"/>
    <w:rsid w:val="355A3613"/>
    <w:rsid w:val="35A23D33"/>
    <w:rsid w:val="360D204B"/>
    <w:rsid w:val="36120C4E"/>
    <w:rsid w:val="361A73C2"/>
    <w:rsid w:val="366C316B"/>
    <w:rsid w:val="36B6623F"/>
    <w:rsid w:val="36E7289C"/>
    <w:rsid w:val="36E861F0"/>
    <w:rsid w:val="36F86A32"/>
    <w:rsid w:val="37312E37"/>
    <w:rsid w:val="376B7D50"/>
    <w:rsid w:val="37973987"/>
    <w:rsid w:val="37977E1F"/>
    <w:rsid w:val="37AB7D36"/>
    <w:rsid w:val="37E53D31"/>
    <w:rsid w:val="37F1535C"/>
    <w:rsid w:val="38574D3D"/>
    <w:rsid w:val="386C338D"/>
    <w:rsid w:val="38AD277B"/>
    <w:rsid w:val="38B95E29"/>
    <w:rsid w:val="38E82735"/>
    <w:rsid w:val="38FE11AE"/>
    <w:rsid w:val="398D772B"/>
    <w:rsid w:val="398F7A96"/>
    <w:rsid w:val="39E85103"/>
    <w:rsid w:val="3A0036C4"/>
    <w:rsid w:val="3A8058DF"/>
    <w:rsid w:val="3A9D7AD6"/>
    <w:rsid w:val="3AEB7A38"/>
    <w:rsid w:val="3B185A04"/>
    <w:rsid w:val="3B257C84"/>
    <w:rsid w:val="3B3645CC"/>
    <w:rsid w:val="3B9A6722"/>
    <w:rsid w:val="3BE95281"/>
    <w:rsid w:val="3C266EDD"/>
    <w:rsid w:val="3C3C0F95"/>
    <w:rsid w:val="3C434D34"/>
    <w:rsid w:val="3CEB73F8"/>
    <w:rsid w:val="3CF316EE"/>
    <w:rsid w:val="3D073351"/>
    <w:rsid w:val="3D75A9D4"/>
    <w:rsid w:val="3DC67DE5"/>
    <w:rsid w:val="3DE06791"/>
    <w:rsid w:val="3E20683D"/>
    <w:rsid w:val="3E5E3444"/>
    <w:rsid w:val="3E9369BA"/>
    <w:rsid w:val="3EEA4CD8"/>
    <w:rsid w:val="3EF5058E"/>
    <w:rsid w:val="3F18798F"/>
    <w:rsid w:val="3F354D52"/>
    <w:rsid w:val="3F42084A"/>
    <w:rsid w:val="3F80388E"/>
    <w:rsid w:val="3F976528"/>
    <w:rsid w:val="3FF43934"/>
    <w:rsid w:val="40374D3C"/>
    <w:rsid w:val="406800A0"/>
    <w:rsid w:val="414A7CB0"/>
    <w:rsid w:val="41563A16"/>
    <w:rsid w:val="415F4811"/>
    <w:rsid w:val="41677326"/>
    <w:rsid w:val="41DE4151"/>
    <w:rsid w:val="424E4089"/>
    <w:rsid w:val="42995592"/>
    <w:rsid w:val="42B220F0"/>
    <w:rsid w:val="42C30598"/>
    <w:rsid w:val="42D04A44"/>
    <w:rsid w:val="42E1454C"/>
    <w:rsid w:val="42E6454D"/>
    <w:rsid w:val="42EA01D3"/>
    <w:rsid w:val="43190019"/>
    <w:rsid w:val="438E5366"/>
    <w:rsid w:val="43CD6976"/>
    <w:rsid w:val="43F06151"/>
    <w:rsid w:val="44375639"/>
    <w:rsid w:val="44414C78"/>
    <w:rsid w:val="44485C71"/>
    <w:rsid w:val="444A488A"/>
    <w:rsid w:val="44863AF0"/>
    <w:rsid w:val="44D51F86"/>
    <w:rsid w:val="451C5E07"/>
    <w:rsid w:val="46403B5E"/>
    <w:rsid w:val="479B3544"/>
    <w:rsid w:val="483727F4"/>
    <w:rsid w:val="48AF3458"/>
    <w:rsid w:val="48FA2194"/>
    <w:rsid w:val="490942D9"/>
    <w:rsid w:val="491C72F3"/>
    <w:rsid w:val="493C0B39"/>
    <w:rsid w:val="49EA5F5C"/>
    <w:rsid w:val="4A1E1CDA"/>
    <w:rsid w:val="4AC705C3"/>
    <w:rsid w:val="4B155F3D"/>
    <w:rsid w:val="4B2B3F96"/>
    <w:rsid w:val="4B96350F"/>
    <w:rsid w:val="4C3677AE"/>
    <w:rsid w:val="4C535FC6"/>
    <w:rsid w:val="4CB95005"/>
    <w:rsid w:val="4CC24F10"/>
    <w:rsid w:val="4CE46924"/>
    <w:rsid w:val="4CF11927"/>
    <w:rsid w:val="4D470D2F"/>
    <w:rsid w:val="4DB979EA"/>
    <w:rsid w:val="4E157E6C"/>
    <w:rsid w:val="4E8214E8"/>
    <w:rsid w:val="4EDC294D"/>
    <w:rsid w:val="4F1638C7"/>
    <w:rsid w:val="4F5529EF"/>
    <w:rsid w:val="4F7D56F4"/>
    <w:rsid w:val="4FC17BEC"/>
    <w:rsid w:val="4FEA51EE"/>
    <w:rsid w:val="50390E98"/>
    <w:rsid w:val="509B5F42"/>
    <w:rsid w:val="50CB4ACF"/>
    <w:rsid w:val="51473AAE"/>
    <w:rsid w:val="515B639F"/>
    <w:rsid w:val="51BF11F9"/>
    <w:rsid w:val="51CE7F90"/>
    <w:rsid w:val="53EE5FA9"/>
    <w:rsid w:val="54703A00"/>
    <w:rsid w:val="55834ACA"/>
    <w:rsid w:val="563C48C3"/>
    <w:rsid w:val="5677494F"/>
    <w:rsid w:val="56EE519E"/>
    <w:rsid w:val="577039A1"/>
    <w:rsid w:val="57806E65"/>
    <w:rsid w:val="58016415"/>
    <w:rsid w:val="58394446"/>
    <w:rsid w:val="586F4FB1"/>
    <w:rsid w:val="58A3441E"/>
    <w:rsid w:val="58F222FC"/>
    <w:rsid w:val="59367EC7"/>
    <w:rsid w:val="5A0172C2"/>
    <w:rsid w:val="5A1D09B6"/>
    <w:rsid w:val="5ABE18D9"/>
    <w:rsid w:val="5AE60011"/>
    <w:rsid w:val="5CEB1EEF"/>
    <w:rsid w:val="5D1E47D6"/>
    <w:rsid w:val="5DA16A52"/>
    <w:rsid w:val="5DCB6966"/>
    <w:rsid w:val="5E5D6F69"/>
    <w:rsid w:val="5EC54423"/>
    <w:rsid w:val="5EEF623A"/>
    <w:rsid w:val="5F291A68"/>
    <w:rsid w:val="5F2D2ED4"/>
    <w:rsid w:val="5F6B7317"/>
    <w:rsid w:val="5FB24F46"/>
    <w:rsid w:val="601B10A2"/>
    <w:rsid w:val="607F1466"/>
    <w:rsid w:val="609014C5"/>
    <w:rsid w:val="60910B83"/>
    <w:rsid w:val="60C02C95"/>
    <w:rsid w:val="60C57834"/>
    <w:rsid w:val="61106336"/>
    <w:rsid w:val="61776447"/>
    <w:rsid w:val="617B1FC4"/>
    <w:rsid w:val="61826081"/>
    <w:rsid w:val="61AC2A6B"/>
    <w:rsid w:val="61F437F1"/>
    <w:rsid w:val="623F549D"/>
    <w:rsid w:val="624C7B36"/>
    <w:rsid w:val="62D17319"/>
    <w:rsid w:val="62F47EDD"/>
    <w:rsid w:val="634517E0"/>
    <w:rsid w:val="63725893"/>
    <w:rsid w:val="645E071A"/>
    <w:rsid w:val="648D1ADE"/>
    <w:rsid w:val="64D13804"/>
    <w:rsid w:val="64D7377C"/>
    <w:rsid w:val="64EA5D49"/>
    <w:rsid w:val="64F144EE"/>
    <w:rsid w:val="65145E42"/>
    <w:rsid w:val="65600955"/>
    <w:rsid w:val="65761E18"/>
    <w:rsid w:val="65902B43"/>
    <w:rsid w:val="66221957"/>
    <w:rsid w:val="66265213"/>
    <w:rsid w:val="663C506F"/>
    <w:rsid w:val="66973F1E"/>
    <w:rsid w:val="66BF6879"/>
    <w:rsid w:val="67441890"/>
    <w:rsid w:val="681542C4"/>
    <w:rsid w:val="68BC2F32"/>
    <w:rsid w:val="69397067"/>
    <w:rsid w:val="69763488"/>
    <w:rsid w:val="697E4A29"/>
    <w:rsid w:val="698B2115"/>
    <w:rsid w:val="6A3E21B7"/>
    <w:rsid w:val="6A992D85"/>
    <w:rsid w:val="6AF70ED5"/>
    <w:rsid w:val="6AFA5A84"/>
    <w:rsid w:val="6B0845B4"/>
    <w:rsid w:val="6B1E1F11"/>
    <w:rsid w:val="6BA51E03"/>
    <w:rsid w:val="6CA72DD7"/>
    <w:rsid w:val="6CCE50D9"/>
    <w:rsid w:val="6D022035"/>
    <w:rsid w:val="6D141DDC"/>
    <w:rsid w:val="6D430887"/>
    <w:rsid w:val="6D5C551F"/>
    <w:rsid w:val="6D8714A1"/>
    <w:rsid w:val="6DB73508"/>
    <w:rsid w:val="6E267FC1"/>
    <w:rsid w:val="6E510020"/>
    <w:rsid w:val="6E935185"/>
    <w:rsid w:val="6EBA549F"/>
    <w:rsid w:val="6F18239C"/>
    <w:rsid w:val="6F302DF6"/>
    <w:rsid w:val="6F7E3AAB"/>
    <w:rsid w:val="6FFD27CB"/>
    <w:rsid w:val="70422898"/>
    <w:rsid w:val="705F07D2"/>
    <w:rsid w:val="70606FEC"/>
    <w:rsid w:val="706E37D5"/>
    <w:rsid w:val="708C1260"/>
    <w:rsid w:val="70B7282B"/>
    <w:rsid w:val="712710FE"/>
    <w:rsid w:val="714661A0"/>
    <w:rsid w:val="718C1AEB"/>
    <w:rsid w:val="718D6ECE"/>
    <w:rsid w:val="72050190"/>
    <w:rsid w:val="721B70F4"/>
    <w:rsid w:val="72544168"/>
    <w:rsid w:val="73395868"/>
    <w:rsid w:val="73B05D63"/>
    <w:rsid w:val="742F4B0F"/>
    <w:rsid w:val="74D83A18"/>
    <w:rsid w:val="755D199D"/>
    <w:rsid w:val="756D47FB"/>
    <w:rsid w:val="75B72E5F"/>
    <w:rsid w:val="75E04C62"/>
    <w:rsid w:val="762F66FF"/>
    <w:rsid w:val="76886055"/>
    <w:rsid w:val="76B95BCF"/>
    <w:rsid w:val="76E8688F"/>
    <w:rsid w:val="77133171"/>
    <w:rsid w:val="77535E18"/>
    <w:rsid w:val="775530EF"/>
    <w:rsid w:val="7787FA4D"/>
    <w:rsid w:val="780929AF"/>
    <w:rsid w:val="78F9378E"/>
    <w:rsid w:val="790F002F"/>
    <w:rsid w:val="795E0AB0"/>
    <w:rsid w:val="79606DE9"/>
    <w:rsid w:val="799C6D4F"/>
    <w:rsid w:val="79A96F62"/>
    <w:rsid w:val="79DD02D5"/>
    <w:rsid w:val="79ED36AF"/>
    <w:rsid w:val="79FF6B82"/>
    <w:rsid w:val="7A040128"/>
    <w:rsid w:val="7A520D05"/>
    <w:rsid w:val="7A586DB5"/>
    <w:rsid w:val="7A9479AC"/>
    <w:rsid w:val="7B585ECA"/>
    <w:rsid w:val="7BFF312A"/>
    <w:rsid w:val="7C4733E6"/>
    <w:rsid w:val="7CF53C14"/>
    <w:rsid w:val="7D156746"/>
    <w:rsid w:val="7D1D4579"/>
    <w:rsid w:val="7DCF3741"/>
    <w:rsid w:val="7E01736D"/>
    <w:rsid w:val="7E0F20FA"/>
    <w:rsid w:val="7E617E0B"/>
    <w:rsid w:val="7EBDF42E"/>
    <w:rsid w:val="7F283F40"/>
    <w:rsid w:val="7F436BD8"/>
    <w:rsid w:val="7FFF0B90"/>
    <w:rsid w:val="CFD3ECB0"/>
    <w:rsid w:val="F9DF16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99"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7">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8">
    <w:name w:val="heading 2"/>
    <w:basedOn w:val="1"/>
    <w:next w:val="1"/>
    <w:qFormat/>
    <w:uiPriority w:val="9"/>
    <w:pPr>
      <w:keepNext/>
      <w:keepLines/>
      <w:spacing w:before="260" w:after="260" w:line="416" w:lineRule="auto"/>
      <w:outlineLvl w:val="1"/>
    </w:pPr>
    <w:rPr>
      <w:rFonts w:ascii="Calibri Light" w:hAnsi="Calibri Light"/>
      <w:b/>
      <w:bCs/>
      <w:sz w:val="32"/>
      <w:szCs w:val="32"/>
    </w:rPr>
  </w:style>
  <w:style w:type="paragraph" w:styleId="9">
    <w:name w:val="heading 3"/>
    <w:next w:val="1"/>
    <w:qFormat/>
    <w:uiPriority w:val="0"/>
    <w:pPr>
      <w:spacing w:before="300" w:after="120" w:line="288" w:lineRule="auto"/>
      <w:ind w:left="0"/>
      <w:jc w:val="left"/>
      <w:outlineLvl w:val="2"/>
    </w:pPr>
    <w:rPr>
      <w:rFonts w:ascii="Arial" w:hAnsi="Arial" w:eastAsia="等线" w:cs="Arial"/>
      <w:b/>
      <w:bCs/>
      <w:sz w:val="30"/>
      <w:szCs w:val="30"/>
    </w:rPr>
  </w:style>
  <w:style w:type="paragraph" w:styleId="10">
    <w:name w:val="heading 4"/>
    <w:basedOn w:val="1"/>
    <w:next w:val="1"/>
    <w:semiHidden/>
    <w:unhideWhenUsed/>
    <w:qFormat/>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4"/>
    <w:qFormat/>
    <w:uiPriority w:val="0"/>
    <w:pPr>
      <w:tabs>
        <w:tab w:val="left" w:pos="0"/>
      </w:tabs>
      <w:adjustRightInd w:val="0"/>
      <w:spacing w:line="312" w:lineRule="atLeast"/>
      <w:ind w:firstLine="210" w:firstLineChars="200"/>
      <w:textAlignment w:val="baseline"/>
    </w:pPr>
    <w:rPr>
      <w:b/>
    </w:rPr>
  </w:style>
  <w:style w:type="paragraph" w:styleId="3">
    <w:name w:val="Body Text Indent"/>
    <w:basedOn w:val="1"/>
    <w:next w:val="1"/>
    <w:unhideWhenUsed/>
    <w:qFormat/>
    <w:uiPriority w:val="99"/>
    <w:pPr>
      <w:spacing w:after="120"/>
      <w:ind w:left="420" w:leftChars="200"/>
    </w:pPr>
  </w:style>
  <w:style w:type="paragraph" w:styleId="4">
    <w:name w:val="Body Text First Indent"/>
    <w:basedOn w:val="5"/>
    <w:next w:val="1"/>
    <w:link w:val="45"/>
    <w:qFormat/>
    <w:uiPriority w:val="0"/>
    <w:pPr>
      <w:ind w:firstLine="420" w:firstLineChars="100"/>
    </w:pPr>
  </w:style>
  <w:style w:type="paragraph" w:styleId="5">
    <w:name w:val="Body Text"/>
    <w:basedOn w:val="1"/>
    <w:next w:val="6"/>
    <w:link w:val="44"/>
    <w:qFormat/>
    <w:uiPriority w:val="0"/>
    <w:pPr>
      <w:spacing w:after="120"/>
    </w:pPr>
  </w:style>
  <w:style w:type="paragraph" w:customStyle="1" w:styleId="6">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styleId="11">
    <w:name w:val="Normal Indent"/>
    <w:basedOn w:val="1"/>
    <w:qFormat/>
    <w:uiPriority w:val="0"/>
    <w:pPr>
      <w:ind w:firstLine="420" w:firstLineChars="200"/>
    </w:pPr>
    <w:rPr>
      <w:szCs w:val="20"/>
    </w:rPr>
  </w:style>
  <w:style w:type="paragraph" w:styleId="12">
    <w:name w:val="annotation text"/>
    <w:basedOn w:val="1"/>
    <w:unhideWhenUsed/>
    <w:qFormat/>
    <w:uiPriority w:val="99"/>
    <w:pPr>
      <w:jc w:val="left"/>
    </w:pPr>
  </w:style>
  <w:style w:type="paragraph" w:styleId="13">
    <w:name w:val="Plain Text"/>
    <w:basedOn w:val="1"/>
    <w:qFormat/>
    <w:uiPriority w:val="0"/>
    <w:rPr>
      <w:rFonts w:ascii="宋体" w:hAnsi="Courier New"/>
      <w:szCs w:val="21"/>
    </w:rPr>
  </w:style>
  <w:style w:type="paragraph" w:styleId="14">
    <w:name w:val="Body Text Indent 2"/>
    <w:basedOn w:val="1"/>
    <w:next w:val="1"/>
    <w:qFormat/>
    <w:uiPriority w:val="0"/>
    <w:pPr>
      <w:spacing w:line="360" w:lineRule="auto"/>
      <w:ind w:firstLine="624"/>
    </w:pPr>
    <w:rPr>
      <w:sz w:val="28"/>
    </w:rPr>
  </w:style>
  <w:style w:type="paragraph" w:styleId="15">
    <w:name w:val="footer"/>
    <w:basedOn w:val="1"/>
    <w:unhideWhenUsed/>
    <w:qFormat/>
    <w:uiPriority w:val="99"/>
    <w:pPr>
      <w:tabs>
        <w:tab w:val="center" w:pos="4153"/>
        <w:tab w:val="right" w:pos="8306"/>
      </w:tabs>
      <w:snapToGrid w:val="0"/>
      <w:jc w:val="left"/>
    </w:pPr>
    <w:rPr>
      <w:rFonts w:ascii="等线" w:hAnsi="等线" w:eastAsia="等线"/>
      <w:kern w:val="0"/>
      <w:sz w:val="18"/>
      <w:szCs w:val="18"/>
    </w:rPr>
  </w:style>
  <w:style w:type="paragraph" w:styleId="16">
    <w:name w:val="header"/>
    <w:basedOn w:val="1"/>
    <w:next w:val="17"/>
    <w:qFormat/>
    <w:uiPriority w:val="0"/>
    <w:pPr>
      <w:pBdr>
        <w:bottom w:val="single" w:color="auto" w:sz="6" w:space="1"/>
      </w:pBdr>
      <w:tabs>
        <w:tab w:val="center" w:pos="4153"/>
        <w:tab w:val="right" w:pos="8306"/>
      </w:tabs>
      <w:snapToGrid w:val="0"/>
      <w:jc w:val="center"/>
    </w:pPr>
    <w:rPr>
      <w:sz w:val="18"/>
      <w:szCs w:val="18"/>
    </w:rPr>
  </w:style>
  <w:style w:type="paragraph" w:customStyle="1" w:styleId="17">
    <w:name w:val="样式5"/>
    <w:basedOn w:val="18"/>
    <w:qFormat/>
    <w:uiPriority w:val="0"/>
    <w:pPr>
      <w:snapToGrid w:val="0"/>
      <w:spacing w:line="360" w:lineRule="auto"/>
      <w:ind w:firstLine="510" w:firstLineChars="200"/>
    </w:pPr>
    <w:rPr>
      <w:rFonts w:ascii="Times New Roman"/>
      <w:sz w:val="24"/>
    </w:rPr>
  </w:style>
  <w:style w:type="paragraph" w:customStyle="1" w:styleId="18">
    <w:name w:val="正文1"/>
    <w:next w:val="1"/>
    <w:qFormat/>
    <w:uiPriority w:val="0"/>
    <w:pPr>
      <w:widowControl w:val="0"/>
      <w:adjustRightInd w:val="0"/>
      <w:spacing w:line="360" w:lineRule="atLeast"/>
    </w:pPr>
    <w:rPr>
      <w:rFonts w:ascii="Arial" w:hAnsi="Times New Roman" w:eastAsia="宋体" w:cs="Times New Roman"/>
      <w:sz w:val="34"/>
      <w:lang w:val="en-US" w:eastAsia="zh-CN" w:bidi="ar-SA"/>
    </w:rPr>
  </w:style>
  <w:style w:type="paragraph" w:styleId="19">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20">
    <w:name w:val="Normal (Web)"/>
    <w:basedOn w:val="1"/>
    <w:link w:val="49"/>
    <w:qFormat/>
    <w:uiPriority w:val="99"/>
    <w:pPr>
      <w:widowControl/>
      <w:spacing w:before="100" w:beforeAutospacing="1" w:after="100" w:afterAutospacing="1"/>
      <w:jc w:val="left"/>
    </w:pPr>
    <w:rPr>
      <w:rFonts w:ascii="宋体" w:hAnsi="宋体" w:eastAsia="等线"/>
      <w:kern w:val="0"/>
      <w:sz w:val="24"/>
      <w:szCs w:val="20"/>
    </w:rPr>
  </w:style>
  <w:style w:type="table" w:styleId="22">
    <w:name w:val="Table Grid"/>
    <w:basedOn w:val="21"/>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0"/>
    <w:rPr>
      <w:b/>
    </w:rPr>
  </w:style>
  <w:style w:type="character" w:styleId="25">
    <w:name w:val="page number"/>
    <w:qFormat/>
    <w:uiPriority w:val="0"/>
  </w:style>
  <w:style w:type="character" w:styleId="26">
    <w:name w:val="Hyperlink"/>
    <w:basedOn w:val="23"/>
    <w:qFormat/>
    <w:uiPriority w:val="0"/>
    <w:rPr>
      <w:color w:val="0000FF"/>
      <w:u w:val="single"/>
    </w:rPr>
  </w:style>
  <w:style w:type="character" w:styleId="27">
    <w:name w:val="annotation reference"/>
    <w:unhideWhenUsed/>
    <w:qFormat/>
    <w:uiPriority w:val="0"/>
    <w:rPr>
      <w:sz w:val="21"/>
      <w:szCs w:val="21"/>
    </w:rPr>
  </w:style>
  <w:style w:type="paragraph" w:customStyle="1" w:styleId="28">
    <w:name w:val="Heading2"/>
    <w:basedOn w:val="1"/>
    <w:next w:val="1"/>
    <w:qFormat/>
    <w:uiPriority w:val="0"/>
    <w:pPr>
      <w:keepNext/>
      <w:keepLines/>
      <w:jc w:val="left"/>
      <w:textAlignment w:val="baseline"/>
    </w:pPr>
    <w:rPr>
      <w:rFonts w:ascii="Arial" w:hAnsi="Arial" w:eastAsia="Times New Roman" w:cs="Times New Roman"/>
      <w:b/>
      <w:bCs/>
      <w:kern w:val="2"/>
      <w:sz w:val="24"/>
      <w:szCs w:val="32"/>
      <w:lang w:val="en-US" w:eastAsia="zh-CN" w:bidi="ar-SA"/>
    </w:rPr>
  </w:style>
  <w:style w:type="paragraph" w:customStyle="1" w:styleId="29">
    <w:name w:val="[1]正文"/>
    <w:basedOn w:val="1"/>
    <w:qFormat/>
    <w:uiPriority w:val="0"/>
    <w:pPr>
      <w:autoSpaceDE w:val="0"/>
      <w:autoSpaceDN w:val="0"/>
    </w:pPr>
    <w:rPr>
      <w:color w:val="000000"/>
      <w:kern w:val="0"/>
      <w:lang w:val="zh-CN"/>
    </w:rPr>
  </w:style>
  <w:style w:type="paragraph" w:customStyle="1" w:styleId="30">
    <w:name w:val="中文报告书样式"/>
    <w:basedOn w:val="1"/>
    <w:qFormat/>
    <w:uiPriority w:val="0"/>
    <w:pPr>
      <w:adjustRightInd w:val="0"/>
      <w:spacing w:line="420" w:lineRule="atLeast"/>
      <w:textAlignment w:val="baseline"/>
    </w:pPr>
    <w:rPr>
      <w:kern w:val="24"/>
      <w:sz w:val="24"/>
      <w:szCs w:val="20"/>
    </w:rPr>
  </w:style>
  <w:style w:type="paragraph" w:customStyle="1" w:styleId="31">
    <w:name w:val="报告表样式"/>
    <w:basedOn w:val="1"/>
    <w:qFormat/>
    <w:uiPriority w:val="0"/>
    <w:pPr>
      <w:adjustRightInd w:val="0"/>
      <w:snapToGrid w:val="0"/>
      <w:spacing w:line="360" w:lineRule="auto"/>
      <w:ind w:firstLine="200" w:firstLineChars="200"/>
    </w:pPr>
    <w:rPr>
      <w:sz w:val="28"/>
      <w:szCs w:val="28"/>
    </w:rPr>
  </w:style>
  <w:style w:type="paragraph" w:customStyle="1" w:styleId="32">
    <w:name w:val="纯文本1"/>
    <w:basedOn w:val="1"/>
    <w:qFormat/>
    <w:uiPriority w:val="0"/>
    <w:rPr>
      <w:rFonts w:ascii="宋体" w:hAnsi="Courier New" w:eastAsia="等线"/>
      <w:szCs w:val="21"/>
    </w:rPr>
  </w:style>
  <w:style w:type="paragraph" w:customStyle="1" w:styleId="33">
    <w:name w:val="HP 表格标题"/>
    <w:qFormat/>
    <w:uiPriority w:val="0"/>
    <w:pPr>
      <w:spacing w:line="440" w:lineRule="exact"/>
      <w:jc w:val="center"/>
    </w:pPr>
    <w:rPr>
      <w:rFonts w:ascii="Times New Roman" w:hAnsi="Times New Roman" w:eastAsia="宋体" w:cs="Times New Roman"/>
      <w:b/>
      <w:sz w:val="24"/>
      <w:szCs w:val="24"/>
      <w:lang w:val="en-US" w:eastAsia="zh-CN" w:bidi="ar-SA"/>
    </w:rPr>
  </w:style>
  <w:style w:type="paragraph" w:customStyle="1" w:styleId="34">
    <w:name w:val="HP 表格内容"/>
    <w:qFormat/>
    <w:uiPriority w:val="0"/>
    <w:pPr>
      <w:framePr w:hSpace="180" w:wrap="around" w:vAnchor="text" w:hAnchor="text" w:xAlign="center" w:y="1"/>
      <w:spacing w:line="440" w:lineRule="exact"/>
      <w:jc w:val="center"/>
    </w:pPr>
    <w:rPr>
      <w:rFonts w:ascii="Times New Roman" w:hAnsi="Times New Roman" w:eastAsia="宋体" w:cs="Times New Roman"/>
      <w:sz w:val="21"/>
      <w:szCs w:val="21"/>
      <w:lang w:val="en-US" w:eastAsia="zh-CN" w:bidi="ar-SA"/>
    </w:rPr>
  </w:style>
  <w:style w:type="paragraph" w:customStyle="1" w:styleId="35">
    <w:name w:val="③级"/>
    <w:basedOn w:val="1"/>
    <w:qFormat/>
    <w:uiPriority w:val="0"/>
    <w:pPr>
      <w:spacing w:before="60" w:after="60" w:line="415" w:lineRule="auto"/>
      <w:jc w:val="left"/>
      <w:outlineLvl w:val="2"/>
    </w:pPr>
    <w:rPr>
      <w:b/>
      <w:bCs/>
      <w:sz w:val="30"/>
      <w:szCs w:val="32"/>
      <w:lang w:val="zh-CN"/>
    </w:rPr>
  </w:style>
  <w:style w:type="paragraph" w:customStyle="1" w:styleId="36">
    <w:name w:val="sll-正文"/>
    <w:basedOn w:val="1"/>
    <w:qFormat/>
    <w:uiPriority w:val="0"/>
    <w:pPr>
      <w:autoSpaceDE w:val="0"/>
      <w:autoSpaceDN w:val="0"/>
      <w:adjustRightInd w:val="0"/>
      <w:snapToGrid w:val="0"/>
      <w:spacing w:line="360" w:lineRule="auto"/>
      <w:ind w:firstLine="720" w:firstLineChars="200"/>
      <w:jc w:val="left"/>
    </w:pPr>
    <w:rPr>
      <w:rFonts w:cs="宋体"/>
      <w:kern w:val="0"/>
      <w:sz w:val="24"/>
    </w:rPr>
  </w:style>
  <w:style w:type="paragraph" w:customStyle="1" w:styleId="37">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38">
    <w:name w:val="样式1"/>
    <w:basedOn w:val="1"/>
    <w:qFormat/>
    <w:uiPriority w:val="0"/>
    <w:pPr>
      <w:spacing w:line="360" w:lineRule="auto"/>
      <w:ind w:firstLine="200" w:firstLineChars="200"/>
    </w:pPr>
    <w:rPr>
      <w:b/>
      <w:sz w:val="24"/>
    </w:rPr>
  </w:style>
  <w:style w:type="paragraph" w:customStyle="1" w:styleId="39">
    <w:name w:val="表中文字"/>
    <w:basedOn w:val="13"/>
    <w:qFormat/>
    <w:uiPriority w:val="0"/>
    <w:pPr>
      <w:jc w:val="center"/>
    </w:pPr>
    <w:rPr>
      <w:rFonts w:ascii="Times New Roman" w:hAnsi="Times New Roman"/>
    </w:rPr>
  </w:style>
  <w:style w:type="paragraph" w:customStyle="1" w:styleId="40">
    <w:name w:val="表格文字"/>
    <w:qFormat/>
    <w:uiPriority w:val="0"/>
    <w:pPr>
      <w:widowControl w:val="0"/>
      <w:autoSpaceDE w:val="0"/>
      <w:autoSpaceDN w:val="0"/>
      <w:adjustRightInd w:val="0"/>
      <w:textAlignment w:val="baseline"/>
    </w:pPr>
    <w:rPr>
      <w:rFonts w:ascii="宋体" w:hAnsi="Times New Roman" w:eastAsia="宋体" w:cs="Times New Roman"/>
      <w:color w:val="000000"/>
      <w:sz w:val="24"/>
      <w:lang w:val="en-US" w:eastAsia="zh-CN" w:bidi="ar-SA"/>
    </w:rPr>
  </w:style>
  <w:style w:type="paragraph" w:customStyle="1" w:styleId="41">
    <w:name w:val="表格"/>
    <w:basedOn w:val="1"/>
    <w:next w:val="1"/>
    <w:qFormat/>
    <w:uiPriority w:val="0"/>
    <w:pPr>
      <w:adjustRightInd w:val="0"/>
      <w:snapToGrid w:val="0"/>
      <w:spacing w:beforeLines="10" w:afterLines="10" w:line="259" w:lineRule="auto"/>
      <w:jc w:val="center"/>
    </w:pPr>
    <w:rPr>
      <w:rFonts w:ascii="宋体" w:hAnsi="等线" w:eastAsia="等线"/>
      <w:kern w:val="0"/>
      <w:sz w:val="20"/>
      <w:szCs w:val="20"/>
    </w:rPr>
  </w:style>
  <w:style w:type="paragraph" w:customStyle="1" w:styleId="42">
    <w:name w:val="正文样式1"/>
    <w:basedOn w:val="13"/>
    <w:qFormat/>
    <w:uiPriority w:val="0"/>
    <w:pPr>
      <w:widowControl/>
      <w:spacing w:line="360" w:lineRule="auto"/>
      <w:ind w:firstLine="560" w:firstLineChars="200"/>
      <w:jc w:val="left"/>
    </w:pPr>
    <w:rPr>
      <w:rFonts w:cs="Courier New"/>
      <w:kern w:val="0"/>
      <w:sz w:val="24"/>
    </w:rPr>
  </w:style>
  <w:style w:type="paragraph" w:customStyle="1" w:styleId="43">
    <w:name w:val="样式 正文1 + 首行缩进:  2 字符"/>
    <w:basedOn w:val="18"/>
    <w:qFormat/>
    <w:uiPriority w:val="0"/>
  </w:style>
  <w:style w:type="character" w:customStyle="1" w:styleId="44">
    <w:name w:val="正文文本 字符"/>
    <w:basedOn w:val="23"/>
    <w:link w:val="5"/>
    <w:qFormat/>
    <w:uiPriority w:val="0"/>
    <w:rPr>
      <w:kern w:val="2"/>
      <w:sz w:val="21"/>
      <w:szCs w:val="24"/>
    </w:rPr>
  </w:style>
  <w:style w:type="character" w:customStyle="1" w:styleId="45">
    <w:name w:val="正文文本首行缩进 字符"/>
    <w:basedOn w:val="44"/>
    <w:link w:val="4"/>
    <w:qFormat/>
    <w:uiPriority w:val="0"/>
    <w:rPr>
      <w:kern w:val="2"/>
      <w:sz w:val="21"/>
      <w:szCs w:val="24"/>
    </w:rPr>
  </w:style>
  <w:style w:type="paragraph" w:customStyle="1" w:styleId="46">
    <w:name w:val="报告正文样式"/>
    <w:basedOn w:val="1"/>
    <w:qFormat/>
    <w:uiPriority w:val="0"/>
    <w:pPr>
      <w:adjustRightInd w:val="0"/>
      <w:snapToGrid w:val="0"/>
      <w:spacing w:line="440" w:lineRule="exact"/>
      <w:ind w:firstLine="200" w:firstLineChars="200"/>
    </w:pPr>
    <w:rPr>
      <w:kern w:val="0"/>
      <w:szCs w:val="20"/>
    </w:rPr>
  </w:style>
  <w:style w:type="table" w:customStyle="1" w:styleId="47">
    <w:name w:val="Table Normal"/>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48">
    <w:name w:val="Table Paragraph"/>
    <w:basedOn w:val="1"/>
    <w:qFormat/>
    <w:uiPriority w:val="1"/>
    <w:pPr>
      <w:autoSpaceDE w:val="0"/>
      <w:autoSpaceDN w:val="0"/>
      <w:jc w:val="center"/>
    </w:pPr>
    <w:rPr>
      <w:rFonts w:ascii="宋体" w:hAnsi="宋体" w:cs="宋体"/>
      <w:kern w:val="0"/>
      <w:sz w:val="22"/>
      <w:szCs w:val="22"/>
      <w:lang w:val="zh-CN" w:bidi="zh-CN"/>
    </w:rPr>
  </w:style>
  <w:style w:type="character" w:customStyle="1" w:styleId="49">
    <w:name w:val="普通(网站) 字符"/>
    <w:link w:val="20"/>
    <w:qFormat/>
    <w:uiPriority w:val="0"/>
    <w:rPr>
      <w:rFonts w:ascii="宋体" w:hAnsi="宋体" w:eastAsia="等线"/>
      <w:sz w:val="24"/>
    </w:rPr>
  </w:style>
  <w:style w:type="character" w:customStyle="1" w:styleId="50">
    <w:name w:val="项 Char"/>
    <w:qFormat/>
    <w:uiPriority w:val="0"/>
    <w:rPr>
      <w:rFonts w:hint="eastAsia" w:ascii="宋体" w:hAnsi="宋体" w:eastAsia="宋体" w:cs="宋体"/>
      <w:color w:val="000000"/>
      <w:sz w:val="24"/>
      <w:szCs w:val="20"/>
      <w:u w:val="none"/>
      <w:lang w:val="en-US" w:eastAsia="zh-CN" w:bidi="ar-SA"/>
    </w:rPr>
  </w:style>
  <w:style w:type="paragraph" w:customStyle="1" w:styleId="51">
    <w:name w:val="修订1"/>
    <w:hidden/>
    <w:unhideWhenUsed/>
    <w:qFormat/>
    <w:uiPriority w:val="99"/>
    <w:rPr>
      <w:rFonts w:ascii="Times New Roman" w:hAnsi="Times New Roman" w:eastAsia="宋体" w:cs="Times New Roman"/>
      <w:kern w:val="2"/>
      <w:sz w:val="21"/>
      <w:szCs w:val="24"/>
      <w:lang w:val="en-US" w:eastAsia="zh-CN" w:bidi="ar-SA"/>
    </w:rPr>
  </w:style>
  <w:style w:type="paragraph" w:styleId="52">
    <w:name w:val="List Paragraph"/>
    <w:basedOn w:val="1"/>
    <w:unhideWhenUsed/>
    <w:qFormat/>
    <w:uiPriority w:val="99"/>
    <w:pPr>
      <w:ind w:firstLine="420" w:firstLineChars="200"/>
    </w:pPr>
  </w:style>
  <w:style w:type="paragraph" w:customStyle="1" w:styleId="53">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4">
    <w:name w:val="Table Text"/>
    <w:basedOn w:val="1"/>
    <w:semiHidden/>
    <w:qFormat/>
    <w:uiPriority w:val="0"/>
    <w:rPr>
      <w:rFonts w:ascii="宋体" w:hAnsi="宋体" w:eastAsia="宋体" w:cs="宋体"/>
      <w:sz w:val="24"/>
      <w:szCs w:val="24"/>
      <w:lang w:val="en-US" w:eastAsia="en-US" w:bidi="ar-SA"/>
    </w:rPr>
  </w:style>
  <w:style w:type="paragraph" w:customStyle="1" w:styleId="55">
    <w:name w:val="【正文】"/>
    <w:basedOn w:val="1"/>
    <w:qFormat/>
    <w:uiPriority w:val="0"/>
    <w:pPr>
      <w:spacing w:line="360" w:lineRule="auto"/>
      <w:ind w:firstLine="480" w:firstLineChars="200"/>
    </w:pPr>
    <w:rPr>
      <w:sz w:val="24"/>
    </w:rPr>
  </w:style>
  <w:style w:type="paragraph" w:customStyle="1" w:styleId="56">
    <w:name w:val="_Style 13"/>
    <w:qFormat/>
    <w:uiPriority w:val="0"/>
    <w:pPr>
      <w:spacing w:before="120" w:after="120" w:line="288" w:lineRule="auto"/>
      <w:ind w:left="0"/>
      <w:jc w:val="left"/>
    </w:pPr>
    <w:rPr>
      <w:rFonts w:ascii="Arial" w:hAnsi="Arial" w:eastAsia="等线" w:cs="Arial"/>
      <w:sz w:val="22"/>
      <w:szCs w:val="22"/>
    </w:rPr>
  </w:style>
  <w:style w:type="paragraph" w:customStyle="1" w:styleId="57">
    <w:name w:val="1规划表文"/>
    <w:basedOn w:val="1"/>
    <w:autoRedefine/>
    <w:qFormat/>
    <w:uiPriority w:val="0"/>
    <w:pPr>
      <w:adjustRightInd w:val="0"/>
      <w:snapToGrid w:val="0"/>
      <w:spacing w:line="240" w:lineRule="auto"/>
      <w:jc w:val="center"/>
    </w:pPr>
  </w:style>
  <w:style w:type="paragraph" w:customStyle="1" w:styleId="58">
    <w:name w:val="1规划正文"/>
    <w:basedOn w:val="1"/>
    <w:autoRedefine/>
    <w:qFormat/>
    <w:uiPriority w:val="0"/>
    <w:pPr>
      <w:adjustRightInd w:val="0"/>
      <w:snapToGrid w:val="0"/>
      <w:spacing w:line="360" w:lineRule="auto"/>
      <w:ind w:firstLine="420" w:firstLineChars="200"/>
    </w:pPr>
    <w:rPr>
      <w:rFonts w:ascii="Times New Roman" w:hAnsi="Times New Roman"/>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0" Type="http://schemas.openxmlformats.org/officeDocument/2006/relationships/fontTable" Target="fontTable.xml"/><Relationship Id="rId5" Type="http://schemas.openxmlformats.org/officeDocument/2006/relationships/footer" Target="footer2.xml"/><Relationship Id="rId49" Type="http://schemas.openxmlformats.org/officeDocument/2006/relationships/customXml" Target="../customXml/item2.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header" Target="head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TExMTQ2OTU3MzgxIiwKCSJHcm91cElkIiA6ICI5NzQyODYwNDgiLAoJIkltYWdlIiA6ICJpVkJPUncwS0dnb0FBQUFOU1VoRVVnQUFBOTBBQUFRRkNBWUFBQUNzQkt0S0FBQUFBWE5TUjBJQXJzNGM2UUFBSUFCSlJFRlVlSnpzM1htWUhGVzVQL0R2ZTZwbnlXU0JEQkNqQklreVFwek1kTmVwRmk2YmlpS3JJSXNJbDFWVUZBR3Y0aFVRVUZCUndRVngrWW1Db0NBZ0t1SkYyUkVGUkJRUnU2cTZNeGtTalJBaExFa2dnZXlUNlQ3djc0K3BqcFZPejVvSnlZVHY1M25tWWVyVXFWT25lanJQdzF2bm5QY0F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"/>
    </extobj>
    <extobj name="ECB019B1-382A-4266-B25C-5B523AA43C14-2">
      <extobjdata type="ECB019B1-382A-4266-B25C-5B523AA43C14" data="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"/>
    </extobj>
    <extobj name="ECB019B1-382A-4266-B25C-5B523AA43C14-3">
      <extobjdata type="ECB019B1-382A-4266-B25C-5B523AA43C14" data="ewoJIkZpbGVJZCIgOiAiNDQyMDIxOTM3NjExIiwKCSJHcm91cElkIiA6ICI5NzQyODYwNDgiLAoJIkltYWdlIiA6ICJpVkJPUncwS0dnb0FBQUFOU1VoRVVnQUFCSFVBQUFDb0NBWUFBQUJ1ZmRMUEFBQUFBWE5TUjBJQXJzNGM2UUFBRUhCSlJFRlVlSnp0M1gxc25BZDlCL0R2K1MxMmJLZEo0L1ExdEM0cHBMUWxsSUUyMm1hd0RKb09DbHNuYlV5Yk5xYUpnc1FvbFFhakcwS1R4all4eGdhYUJCb2JiTkJObXhpVWdUcWhJbGdSN1VaVmFMcTJaRFFsNlV2NkdqZUoyNlJPYXZ0czN6MzdvNCtyckdKdEVody85OWlmai9UOGNVNHNmU1hmNzM1MzMzdnV1UV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"/>
    </extobj>
  </extobjs>
</s:customData>
</file>

<file path=customXml/item2.xml><?xml version="1.0" encoding="utf-8"?>
<contractReview xmlns="http://schemas.wps.cn/vas-ai-hub/contract-review">
  <reviewItems xmlns="http://schemas.wps.cn/vas-ai-hub/contract-review">
    <reviewItem xmlns="http://schemas.wps.cn/vas-ai-hub/contract-review">
      <errorID xmlns="http://schemas.wps.cn/vas-ai-hub/contract-review">c4814d6b-f37e-4ec2-aa51-3753993e5dbc</errorID>
      <errorWord xmlns="http://schemas.wps.cn/vas-ai-hub/contract-review">符合以</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符合</item>
      </candidateList>
      <explain xmlns="http://schemas.wps.cn/vas-ai-hub/contract-review">〈动〉（数量、形状、情节等）相合：～事实｜这些产品不～质量标准。</explain>
      <paraID xmlns="http://schemas.wps.cn/vas-ai-hub/contract-review">48D8630A</paraID>
      <start xmlns="http://schemas.wps.cn/vas-ai-hub/contract-review">184</start>
      <end xmlns="http://schemas.wps.cn/vas-ai-hub/contract-review">187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38b1d2aa-62cf-4054-9d79-1bddaa0af282</errorID>
      <errorWord xmlns="http://schemas.wps.cn/vas-ai-hub/contract-review">法律、法规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法律法规</item>
      </candidateList>
      <explain xmlns="http://schemas.wps.cn/vas-ai-hub/contract-review"/>
      <paraID xmlns="http://schemas.wps.cn/vas-ai-hub/contract-review">3F27EC0D</paraID>
      <start xmlns="http://schemas.wps.cn/vas-ai-hub/contract-review">187</start>
      <end xmlns="http://schemas.wps.cn/vas-ai-hub/contract-review">192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8399efdc-0c3d-45ec-b93a-a9bb0fcea16c</errorID>
      <errorWord xmlns="http://schemas.wps.cn/vas-ai-hub/contract-review">项目的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项目</item>
      </candidateList>
      <explain xmlns="http://schemas.wps.cn/vas-ai-hub/contract-review">〈名〉事物分成的门类：服务～｜体育～｜建设～。</explain>
      <paraID xmlns="http://schemas.wps.cn/vas-ai-hub/contract-review"> 11D5757</paraID>
      <start xmlns="http://schemas.wps.cn/vas-ai-hub/contract-review">228</start>
      <end xmlns="http://schemas.wps.cn/vas-ai-hub/contract-review">231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c0a41d0f-988c-4512-972b-75355e13c055</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696B9031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d54f99c9-82d6-4ae2-b7e1-fffdf373ef61</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1C1FDFBB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71a13123-3076-4422-869e-01a670cbb582</errorID>
      <errorWord xmlns="http://schemas.wps.cn/vas-ai-hub/contract-review">主要为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主要</item>
      </candidateList>
      <explain xmlns="http://schemas.wps.cn/vas-ai-hub/contract-review">〈形〉属性词。有关事物中最重要的；起决定作用的：～原因｜～目的｜～人物。</explain>
      <paraID xmlns="http://schemas.wps.cn/vas-ai-hub/contract-review">5FD8EF51</paraID>
      <start xmlns="http://schemas.wps.cn/vas-ai-hub/contract-review">7</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a50ae15a-54b5-41b1-8255-34f907ca9217</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931F82D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4f5d3a15-65b8-45d4-b0e7-5e7f09784594</errorID>
      <errorWord xmlns="http://schemas.wps.cn/vas-ai-hub/contract-review">上线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上限</item>
      </candidateList>
      <explain xmlns="http://schemas.wps.cn/vas-ai-hub/contract-review">存在发音相同字词的误用。</explain>
      <paraID xmlns="http://schemas.wps.cn/vas-ai-hub/contract-review"> 931F82D</paraID>
      <start xmlns="http://schemas.wps.cn/vas-ai-hub/contract-review">6</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75aaabb2-dfa9-4e17-95a9-c3c7aa9eb34c</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4C8B2916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9d8b4806-b955-4009-a5c2-ae156240e857</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5A3C6824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1096819b-68b3-49cd-884f-dee5ea759890</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1056AA22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d2ea6c96-c95b-40be-aa88-c8ecb0dc9825</errorID>
      <errorWord xmlns="http://schemas.wps.cn/vas-ai-hub/contract-review">制定计划</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制订计划</item>
      </candidateList>
      <explain xmlns="http://schemas.wps.cn/vas-ai-hub/contract-review"/>
      <paraID xmlns="http://schemas.wps.cn/vas-ai-hub/contract-review">1056AA22</paraID>
      <start xmlns="http://schemas.wps.cn/vas-ai-hub/contract-review">53</start>
      <end xmlns="http://schemas.wps.cn/vas-ai-hub/contract-review">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af9c29c1-01ca-440b-a76a-69bba2ab8f7b</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70280903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84755cc4-985c-4f1e-b18e-24a01659ed34</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5C9DCA57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271358d3-b374-49de-815b-e15766ccf284</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4A481C13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3de2bbf5-a743-43fd-b582-102a5faac7ec</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392FD558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a5d1c8e2-103a-4a59-a429-aec35f0b9e33</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3066CB5D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5462d6f0-d728-40ad-8833-c8a3af1472a0</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3B095DCB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8d4b9144-981a-4764-a2e5-a7106440bc0e</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6C899F9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617ea491-27ef-4f65-a1a5-ed7965134d0b</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1D501F73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972efba7-82bc-4d41-87e9-7caef965299e</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4332626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5ce13ae1-fec4-4907-8054-0ec0b60dffd9</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4FA03FFE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69186ecc-fffa-4c02-9a1b-35216720efcf</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3308C06F</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f8597abe-6f68-4d10-b06f-7f57b45b92de</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58CF9D89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4c1a6147-4b72-481c-bd2f-a243d91cf2f5</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50679166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2ba6a55a-6ea9-46c0-ae8a-d6112c5460cc</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5FDEA310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ebe63593-7bf3-427e-af04-65a5d97fc9dc</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23406483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0140aebe-9b1f-4ebe-9269-3a4fcd592abf</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3D76C127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0383793c-9499-4400-ae60-61b9f083999b</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7DF60AFD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b2296a09-e777-4096-8522-c67c57fa0cb3</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3C648D29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2e0ab66e-35a1-4213-9efc-233fd4ca555f</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6368E32D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b255bddb-4f5b-4241-8f5c-963e3233b949</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572A3394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3c1d4873-e27e-451e-ab9b-ca01fff2aa8a</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73D7E14D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b1a0fe6f-992e-45e5-80c3-8140888f3d8b</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7F34A1A7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f7286d32-8803-4991-9ea4-c0c3cbeddece</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21F0BD8E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aad339e4-9958-41a8-856d-fc099954f85f</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2BA4AD94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ab50c288-f02c-45bf-a47d-efdcfa49bfe6</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67A3DB0F</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6702a4e9-f5fa-4f8a-a2b1-7b44aa49265f</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59DB4F76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fc077108-5d1b-45b3-ac6e-564269b92d08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59DB4F76</paraID>
      <start xmlns="http://schemas.wps.cn/vas-ai-hub/contract-review">38</start>
      <end xmlns="http://schemas.wps.cn/vas-ai-hub/contract-review">40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d23ac61f-2ef4-4328-adf3-0cd8af3fa375</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517A4431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10fb22c2-ed14-4104-bf6e-8b331ba77227</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2C055117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154f5907-4984-4651-861f-619318d93145</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41E98E64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d8fd0fc0-4f17-4ff0-b852-dc3f4f66f152</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98BAC96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05c3aaa8-6a80-474d-8650-e49647fb3391</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6FCF0DEB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7893e855-a530-456f-940a-8ce0d099dda0</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39C7ED47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44c5373b-d83a-4576-8c6a-ec335143c002</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2EB0B470</paraID>
      <start xmlns="http://schemas.wps.cn/vas-ai-hub/contract-review">24</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20ae22d9-dc8d-4d1d-8cd4-dc82fbffc041</errorID>
      <errorWord xmlns="http://schemas.wps.cn/vas-ai-hub/contract-review">入</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入正</item>
      </candidateList>
      <explain xmlns="http://schemas.wps.cn/vas-ai-hub/contract-review"/>
      <paraID xmlns="http://schemas.wps.cn/vas-ai-hub/contract-review">2EB0B470</paraID>
      <start xmlns="http://schemas.wps.cn/vas-ai-hub/contract-review">41</start>
      <end xmlns="http://schemas.wps.cn/vas-ai-hub/contract-review">42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659db6f1-57e2-447c-a03d-e58dd1cd6c71</errorID>
      <errorWord xmlns="http://schemas.wps.cn/vas-ai-hub/contract-review">式运行</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试运行</item>
      </candidateList>
      <explain xmlns="http://schemas.wps.cn/vas-ai-hub/contract-review">存在发音相同字词的误用。</explain>
      <paraID xmlns="http://schemas.wps.cn/vas-ai-hub/contract-review">2EB0B470</paraID>
      <start xmlns="http://schemas.wps.cn/vas-ai-hub/contract-review">42</start>
      <end xmlns="http://schemas.wps.cn/vas-ai-hub/contract-review">45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267e0d4a-21c9-4ba1-b993-dc507bfd35f7</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 1AB1172</paraID>
      <start xmlns="http://schemas.wps.cn/vas-ai-hub/contract-review">29</start>
      <end xmlns="http://schemas.wps.cn/vas-ai-hub/contract-review">32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c303cf11-68d0-458e-b485-e890791809a5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1AB1172</paraID>
      <start xmlns="http://schemas.wps.cn/vas-ai-hub/contract-review">216</start>
      <end xmlns="http://schemas.wps.cn/vas-ai-hub/contract-review">217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6a423158-5fd3-4148-bbd3-2c9449142b4a</errorID>
      <errorWord xmlns="http://schemas.wps.cn/vas-ai-hub/contract-review">双减</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“双减”</item>
      </candidateList>
      <explain xmlns="http://schemas.wps.cn/vas-ai-hub/contract-review">注意检查当前固定表述标点是否使用规范。</explain>
      <paraID xmlns="http://schemas.wps.cn/vas-ai-hub/contract-review">124F258F</paraID>
      <start xmlns="http://schemas.wps.cn/vas-ai-hub/contract-review">42</start>
      <end xmlns="http://schemas.wps.cn/vas-ai-hub/contract-review">44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ca8971ca-0b60-4855-a06e-e4f044dd4d2c</errorID>
      <errorWord xmlns="http://schemas.wps.cn/vas-ai-hub/contract-review">农业部</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农业农村部</item>
      </candidateList>
      <explain xmlns="http://schemas.wps.cn/vas-ai-hub/contract-review"/>
      <paraID xmlns="http://schemas.wps.cn/vas-ai-hub/contract-review">1E1F737B</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85394397-f064-4728-8172-d204b563e640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1DEE0404</paraID>
      <start xmlns="http://schemas.wps.cn/vas-ai-hub/contract-review">44</start>
      <end xmlns="http://schemas.wps.cn/vas-ai-hub/contract-review">45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0a685cb2-0d77-498b-9491-e89f6e1033a9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4C00A4</paraID>
      <start xmlns="http://schemas.wps.cn/vas-ai-hub/contract-review">44</start>
      <end xmlns="http://schemas.wps.cn/vas-ai-hub/contract-review">45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ab24d6fb-c449-4d7d-983d-3f8fb4e53b31</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36DD4718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cc418b84-82e2-4783-9f97-fc8388a39a44</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3C375501</paraID>
      <start xmlns="http://schemas.wps.cn/vas-ai-hub/contract-review">63</start>
      <end xmlns="http://schemas.wps.cn/vas-ai-hub/contract-review">66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e104faf3-8ed3-4636-9421-d5d5682fabb3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3C375501</paraID>
      <start xmlns="http://schemas.wps.cn/vas-ai-hub/contract-review">155</start>
      <end xmlns="http://schemas.wps.cn/vas-ai-hub/contract-review">156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cda9d436-f9af-4b92-8e51-848d428a202b</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此处标点可能未正确匹配，请检查句子中是否存在标点冗余、缺失或使用错误的情况。</explain>
      <paraID xmlns="http://schemas.wps.cn/vas-ai-hub/contract-review">3C375501</paraID>
      <start xmlns="http://schemas.wps.cn/vas-ai-hub/contract-review">160</start>
      <end xmlns="http://schemas.wps.cn/vas-ai-hub/contract-review">161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0aff666e-3f4d-4f29-b4c4-7733c97b7be5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3C375501</paraID>
      <start xmlns="http://schemas.wps.cn/vas-ai-hub/contract-review">169</start>
      <end xmlns="http://schemas.wps.cn/vas-ai-hub/contract-review">170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273b13a4-21bd-40a5-9024-291c6f2a4c13</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3C375501</paraID>
      <start xmlns="http://schemas.wps.cn/vas-ai-hub/contract-review">204</start>
      <end xmlns="http://schemas.wps.cn/vas-ai-hub/contract-review">207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de2f6d75-e45e-49d8-8029-73010ebedeee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3C375501</paraID>
      <start xmlns="http://schemas.wps.cn/vas-ai-hub/contract-review">221</start>
      <end xmlns="http://schemas.wps.cn/vas-ai-hub/contract-review">222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423a941a-6273-4dae-a342-d9f109bffd4b</errorID>
      <errorWord xmlns="http://schemas.wps.cn/vas-ai-hub/contract-review">[2007]第10号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〔2007〕10号</item>
      </candidateList>
      <explain xmlns="http://schemas.wps.cn/vas-ai-hub/contract-review">发文字号格式错误。</explain>
      <paraID xmlns="http://schemas.wps.cn/vas-ai-hub/contract-review">3C375501</paraID>
      <start xmlns="http://schemas.wps.cn/vas-ai-hub/contract-review">226</start>
      <end xmlns="http://schemas.wps.cn/vas-ai-hub/contract-review">236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5c804ace-6ca2-4c1a-af99-51d2b0d62cbc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3C375501</paraID>
      <start xmlns="http://schemas.wps.cn/vas-ai-hub/contract-review">236</start>
      <end xmlns="http://schemas.wps.cn/vas-ai-hub/contract-review">237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2521830e-d1b8-48aa-9599-86b71c525d54</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3C375501</paraID>
      <start xmlns="http://schemas.wps.cn/vas-ai-hub/contract-review">286</start>
      <end xmlns="http://schemas.wps.cn/vas-ai-hub/contract-review">289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15ec0f5a-ba50-4dff-80e2-13d48b721f53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3C375501</paraID>
      <start xmlns="http://schemas.wps.cn/vas-ai-hub/contract-review">335</start>
      <end xmlns="http://schemas.wps.cn/vas-ai-hub/contract-review">336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9d70a302-ee8e-4eb2-bcd8-0729cf7d5926</errorID>
      <errorWord xmlns="http://schemas.wps.cn/vas-ai-hub/contract-review">[2008]32号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〔2008〕32号</item>
      </candidateList>
      <explain xmlns="http://schemas.wps.cn/vas-ai-hub/contract-review">发文字号格式错误。</explain>
      <paraID xmlns="http://schemas.wps.cn/vas-ai-hub/contract-review">3C375501</paraID>
      <start xmlns="http://schemas.wps.cn/vas-ai-hub/contract-review">340</start>
      <end xmlns="http://schemas.wps.cn/vas-ai-hub/contract-review">349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fba98700-368b-4475-b537-bdf3928ffab2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3C375501</paraID>
      <start xmlns="http://schemas.wps.cn/vas-ai-hub/contract-review">349</start>
      <end xmlns="http://schemas.wps.cn/vas-ai-hub/contract-review">350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a8cf90c1-d5f1-4710-b3c8-4ab59a075943</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3C375501</paraID>
      <start xmlns="http://schemas.wps.cn/vas-ai-hub/contract-review">360</start>
      <end xmlns="http://schemas.wps.cn/vas-ai-hub/contract-review">361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eacdae85-4a3e-4f55-be0a-e8a5568b25f9</errorID>
      <errorWord xmlns="http://schemas.wps.cn/vas-ai-hub/contract-review">项日</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项目</item>
      </candidateList>
      <explain xmlns="http://schemas.wps.cn/vas-ai-hub/contract-review">〈名〉事物分成的门类：服务～｜体育～｜建设～。</explain>
      <paraID xmlns="http://schemas.wps.cn/vas-ai-hub/contract-review">3C375501</paraID>
      <start xmlns="http://schemas.wps.cn/vas-ai-hub/contract-review">409</start>
      <end xmlns="http://schemas.wps.cn/vas-ai-hub/contract-review">411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bcdbe7c2-d52f-40e1-b4e2-99a82278682c</errorID>
      <errorWord xmlns="http://schemas.wps.cn/vas-ai-hub/contract-review">[2018]17号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〔2018〕17号</item>
      </candidateList>
      <explain xmlns="http://schemas.wps.cn/vas-ai-hub/contract-review">发文字号格式错误。</explain>
      <paraID xmlns="http://schemas.wps.cn/vas-ai-hub/contract-review">3C375501</paraID>
      <start xmlns="http://schemas.wps.cn/vas-ai-hub/contract-review">580</start>
      <end xmlns="http://schemas.wps.cn/vas-ai-hub/contract-review">589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90749891-0b6c-457d-ac1d-f60d192354f6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3C375501</paraID>
      <start xmlns="http://schemas.wps.cn/vas-ai-hub/contract-review">601</start>
      <end xmlns="http://schemas.wps.cn/vas-ai-hub/contract-review">602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dd5c1c86-5260-40f4-91f2-776a516ea9ce</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2EC230DD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b90faf83-fd38-45b4-9a2b-51285ea8f7b4</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6803ABB3</paraID>
      <start xmlns="http://schemas.wps.cn/vas-ai-hub/contract-review">1</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3d1b6790-c1ab-4b4c-8ff9-a6fdd88a4d8b</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5E6FF0D2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48542f95-eb21-4f5b-8f8f-181628c7d8ec</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4D2F7609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7dac772d-3366-40d3-91a6-21120c8c72de</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12A7BC25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72c9544e-f68c-49e0-8e8d-f764fa8d7da3</errorID>
      <errorWord xmlns="http://schemas.wps.cn/vas-ai-hub/contract-review">磴口县磴口县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磴口县</item>
      </candidateList>
      <explain xmlns="http://schemas.wps.cn/vas-ai-hub/contract-review"/>
      <paraID xmlns="http://schemas.wps.cn/vas-ai-hub/contract-review">12A7BC25</paraID>
      <start xmlns="http://schemas.wps.cn/vas-ai-hub/contract-review">23</start>
      <end xmlns="http://schemas.wps.cn/vas-ai-hub/contract-review">29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95345951-58bb-43bd-a041-58e4d5bff49d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explain xmlns="http://schemas.wps.cn/vas-ai-hub/contract-review">文本全半角错误。</explain>
      <paraID xmlns="http://schemas.wps.cn/vas-ai-hub/contract-review">12A7BC25</paraID>
      <start xmlns="http://schemas.wps.cn/vas-ai-hub/contract-review">80</start>
      <end xmlns="http://schemas.wps.cn/vas-ai-hub/contract-review">81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b6f62e85-5f8a-4124-a4e5-5b7e4b02848b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explain xmlns="http://schemas.wps.cn/vas-ai-hub/contract-review">文本全半角错误。</explain>
      <paraID xmlns="http://schemas.wps.cn/vas-ai-hub/contract-review">12A7BC25</paraID>
      <start xmlns="http://schemas.wps.cn/vas-ai-hub/contract-review">96</start>
      <end xmlns="http://schemas.wps.cn/vas-ai-hub/contract-review">97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a315d2ba-2dea-483b-9771-055374bcbac0</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3727C820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6b388469-73ec-45f7-8390-4944f24f8bf2</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304C47AA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0646a3c1-f017-46af-afdd-e06ec8e6f1e3</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1828FFC7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94ba88bd-1f2f-4998-9ff5-3ceb4565d6de</errorID>
      <errorWord xmlns="http://schemas.wps.cn/vas-ai-hub/contract-review">农业部</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农业农村部</item>
      </candidateList>
      <explain xmlns="http://schemas.wps.cn/vas-ai-hub/contract-review"/>
      <paraID xmlns="http://schemas.wps.cn/vas-ai-hub/contract-review">3BC504E4</paraID>
      <start xmlns="http://schemas.wps.cn/vas-ai-hub/contract-review">33</start>
      <end xmlns="http://schemas.wps.cn/vas-ai-hub/contract-review">36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a8068f8b-eb25-4106-91ef-4420092c64bf</errorID>
      <errorWord xmlns="http://schemas.wps.cn/vas-ai-hub/contract-review">二层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两层</item>
      </candidateList>
      <explain xmlns="http://schemas.wps.cn/vas-ai-hub/contract-review"/>
      <paraID xmlns="http://schemas.wps.cn/vas-ai-hub/contract-review">17D5C1D9</paraID>
      <start xmlns="http://schemas.wps.cn/vas-ai-hub/contract-review">16</start>
      <end xmlns="http://schemas.wps.cn/vas-ai-hub/contract-review">18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3599a278-aabe-4e92-bfe2-0894eb5ad82c</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10C0CACF</paraID>
      <start xmlns="http://schemas.wps.cn/vas-ai-hub/contract-review">3</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6c819fb5-815c-4253-b8f8-90770a1c33bc</errorID>
      <errorWord xmlns="http://schemas.wps.cn/vas-ai-hub/contract-review">9、</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9.</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64BB8CF6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8089958c-a469-4a36-b6c9-5994860bc9d1</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14EACDA9</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61a19daa-f726-4280-84d3-6ca441646af3</errorID>
      <errorWord xmlns="http://schemas.wps.cn/vas-ai-hub/contract-review">10、</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10.</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4CA06D81</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d792d405-e4ee-4397-aa82-4104207e4256</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6F48DBFC</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6ab0da05-15b1-48a7-b41e-5360daae6582</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1327A1D2</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fc25cb81-ef8f-4a4d-821e-2078496ca7a2</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79EB17A1</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5ce0389f-d289-4aa6-bf38-b2b84f6dba6b</errorID>
      <errorWord xmlns="http://schemas.wps.cn/vas-ai-hub/contract-review">11、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1DE02589</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fdb30536-2d55-467f-a506-50b49d4d40cd</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 930F976</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d6282f01-77a6-4de2-862e-0893ab727c63</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262B5DDD</paraID>
      <start xmlns="http://schemas.wps.cn/vas-ai-hub/contract-review">7</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2e80c4c2-f88e-4d7d-8e02-418ae4465845</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748CDD25</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84f830f8-5db9-44a7-99d0-516bd07546d9</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1BCF8224</paraID>
      <start xmlns="http://schemas.wps.cn/vas-ai-hub/contract-review">8</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ae0b6cc9-2cba-4781-9e3d-00f09a575ce5</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5A69664D</paraID>
      <start xmlns="http://schemas.wps.cn/vas-ai-hub/contract-review">8</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7e596252-0909-441b-b3de-aa6743deebe9</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 3E0CCE5</paraID>
      <start xmlns="http://schemas.wps.cn/vas-ai-hub/contract-review">7</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2b2fd032-5f59-4ac3-9bbe-d269dec775ed</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68DE6C8F</paraID>
      <start xmlns="http://schemas.wps.cn/vas-ai-hub/contract-review">7</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c104b934-2ac4-41c8-82ad-982f54c3411c</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45F820B5</paraID>
      <start xmlns="http://schemas.wps.cn/vas-ai-hub/contract-review">8</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acd1c418-fb0c-4d99-b01e-17e1d8033cb4</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240FAAF2</paraID>
      <start xmlns="http://schemas.wps.cn/vas-ai-hub/contract-review">2</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7cc56f58-550e-4ff0-9bcd-4f826395642d</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1561509E</paraID>
      <start xmlns="http://schemas.wps.cn/vas-ai-hub/contract-review">8</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c695a7f7-8035-4c5b-9868-02a180ca22e4</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77E01DE7</paraID>
      <start xmlns="http://schemas.wps.cn/vas-ai-hub/contract-review">8</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c0348f00-9f7d-4896-a027-50a5d5ee3a81</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17253A4E</paraID>
      <start xmlns="http://schemas.wps.cn/vas-ai-hub/contract-review">7</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da6adb29-f202-464e-abda-11a8d69ad6b5</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5AA337BB</paraID>
      <start xmlns="http://schemas.wps.cn/vas-ai-hub/contract-review">7</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f4d7e710-581d-41b3-86e1-a016bbbdbe16</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7835E9EE</paraID>
      <start xmlns="http://schemas.wps.cn/vas-ai-hub/contract-review">8</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8a5b1e89-cc48-4121-b413-dd627ea0b3c0</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37F396AC</paraID>
      <start xmlns="http://schemas.wps.cn/vas-ai-hub/contract-review">7</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ab316d77-a8ab-49c5-9b15-521d4be04e2b</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5720C294</paraID>
      <start xmlns="http://schemas.wps.cn/vas-ai-hub/contract-review">7</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165a0207-34ce-493d-b033-4e289ff3b07f</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3883DA7E</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fa67399b-ea4a-4e11-bc81-a556b786a83c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86FB679</paraID>
      <start xmlns="http://schemas.wps.cn/vas-ai-hub/contract-review">14</start>
      <end xmlns="http://schemas.wps.cn/vas-ai-hub/contract-review">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37637321-6e51-4480-bb34-422d58d90197</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 86FB679</paraID>
      <start xmlns="http://schemas.wps.cn/vas-ai-hub/contract-review">26</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72559dfa-1a82-437c-8ce1-a94f243fc2d6</errorID>
      <errorWord xmlns="http://schemas.wps.cn/vas-ai-hub/contract-review">震动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振动</item>
      </candidateList>
      <explain xmlns="http://schemas.wps.cn/vas-ai-hub/contract-review">存在发音相同字词的误用。</explain>
      <paraID xmlns="http://schemas.wps.cn/vas-ai-hub/contract-review"> 86FB679</paraID>
      <start xmlns="http://schemas.wps.cn/vas-ai-hub/contract-review">28</start>
      <end xmlns="http://schemas.wps.cn/vas-ai-hub/contract-review">30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8a32b737-0f0b-488e-b661-58972ff35ead</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 86FB679</paraID>
      <start xmlns="http://schemas.wps.cn/vas-ai-hub/contract-review">36</start>
      <end xmlns="http://schemas.wps.cn/vas-ai-hub/contract-review">38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f32986ec-8668-4993-a703-8fcb1f9e9621</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59730E0B</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6c056713-8cb3-4bf9-b4b7-0974398ceaf8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1330E51C</paraID>
      <start xmlns="http://schemas.wps.cn/vas-ai-hub/contract-review">27</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1db605e3-d079-44c4-9863-8d313d6cc1a1</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1330E51C</paraID>
      <start xmlns="http://schemas.wps.cn/vas-ai-hub/contract-review">52</start>
      <end xmlns="http://schemas.wps.cn/vas-ai-hub/contract-review">54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50c1889b-2cd6-48c9-82b0-25bc0477b85e</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1330E51C</paraID>
      <start xmlns="http://schemas.wps.cn/vas-ai-hub/contract-review">66</start>
      <end xmlns="http://schemas.wps.cn/vas-ai-hub/contract-review">68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0379a55c-cb8f-48ba-9fd1-cc1c1d7e7260</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1330E51C</paraID>
      <start xmlns="http://schemas.wps.cn/vas-ai-hub/contract-review">78</start>
      <end xmlns="http://schemas.wps.cn/vas-ai-hub/contract-review">80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966d2f0a-2d50-4b4f-a442-b1e679428ce5</errorID>
      <errorWord xmlns="http://schemas.wps.cn/vas-ai-hub/contract-review">震动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振动</item>
      </candidateList>
      <explain xmlns="http://schemas.wps.cn/vas-ai-hub/contract-review">存在发音相同字词的误用。</explain>
      <paraID xmlns="http://schemas.wps.cn/vas-ai-hub/contract-review">1330E51C</paraID>
      <start xmlns="http://schemas.wps.cn/vas-ai-hub/contract-review">80</start>
      <end xmlns="http://schemas.wps.cn/vas-ai-hub/contract-review">82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260dffa2-2eef-46ab-b4c2-8013fea1e136</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1330E51C</paraID>
      <start xmlns="http://schemas.wps.cn/vas-ai-hub/contract-review">90</start>
      <end xmlns="http://schemas.wps.cn/vas-ai-hub/contract-review">92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5c53fb08-5e37-47e3-a33f-fbbe45aa6321</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1330E51C</paraID>
      <start xmlns="http://schemas.wps.cn/vas-ai-hub/contract-review">104</start>
      <end xmlns="http://schemas.wps.cn/vas-ai-hub/contract-review">106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8c232aa5-d0e1-4772-a260-17f6b5ec4c99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158D6AB3</paraID>
      <start xmlns="http://schemas.wps.cn/vas-ai-hub/contract-review">10</start>
      <end xmlns="http://schemas.wps.cn/vas-ai-hub/contract-review">11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5ca50022-9a3d-4f83-99de-bb75d32c8f97</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4348E2A5</paraID>
      <start xmlns="http://schemas.wps.cn/vas-ai-hub/contract-review">8</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e878c7ef-a645-49b3-beba-ad9a2ffca4af</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 97C333D</paraID>
      <start xmlns="http://schemas.wps.cn/vas-ai-hub/contract-review">7</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073806ab-6df6-4e00-aa58-3d95ae449adb</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5E24A6B7</paraID>
      <start xmlns="http://schemas.wps.cn/vas-ai-hub/contract-review">7</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df7131a0-c962-4d10-b1de-8931160808e3</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4A8433E3</paraID>
      <start xmlns="http://schemas.wps.cn/vas-ai-hub/contract-review">7</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dae5c828-8239-4b71-86f0-a9e05cdb9598</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694329CF</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30b9f5c5-53ff-432b-b836-a3f472a3db6c</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47AFD516</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75602470-fc4c-4959-9866-87e8aee2a230</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2C492DC6</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958a1882-36a7-4f62-95de-df03513ccaed</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65B8E5BE</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7c8928c6-5420-4bfe-af9f-2d096e98ac2c</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469DE6C6</paraID>
      <start xmlns="http://schemas.wps.cn/vas-ai-hub/contract-review">25</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f34cd93a-69c6-4f23-90ad-a5f05b2ea10b</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 F4D5AB5</paraID>
      <start xmlns="http://schemas.wps.cn/vas-ai-hub/contract-review">15</start>
      <end xmlns="http://schemas.wps.cn/vas-ai-hub/contract-review">17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7c0fa0fc-bc9d-4048-bbe5-d59f0cf680a6</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 F4D5AB5</paraID>
      <start xmlns="http://schemas.wps.cn/vas-ai-hub/contract-review">26</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09489dc0-d485-434a-b363-cf2e503b193e</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 B51FE51</paraID>
      <start xmlns="http://schemas.wps.cn/vas-ai-hub/contract-review">8</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2df8c87f-2cef-4271-bdbd-b976f36ff757</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3124A827</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32618482-2553-486c-8b15-8210bcf2f7ca</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 2F09159</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ee078f1c-47e4-48c6-bfd8-d7b559fbd245</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70158B40</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27468913-6ba1-4905-a122-b40a5b1aa96a</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13D15D09</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e77d3b87-4c4d-41c5-b232-1082d098b578</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20916F40</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9c7001f3-c91a-4272-8bd2-ce58e9e3cd67</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4633176A</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e79d6600-f315-4468-b892-24992006cbf5</errorID>
      <errorWord xmlns="http://schemas.wps.cn/vas-ai-hub/contract-review">罐入</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灌入</item>
      </candidateList>
      <explain xmlns="http://schemas.wps.cn/vas-ai-hub/contract-review"/>
      <paraID xmlns="http://schemas.wps.cn/vas-ai-hub/contract-review">3980B8E6</paraID>
      <start xmlns="http://schemas.wps.cn/vas-ai-hub/contract-review">3</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46f712ab-7c9b-4f0b-857f-eea3d91d7580</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7386CA5E</paraID>
      <start xmlns="http://schemas.wps.cn/vas-ai-hub/contract-review">7</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88a694d5-4817-48bd-bb21-8e26d32295d2</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658989A1</paraID>
      <start xmlns="http://schemas.wps.cn/vas-ai-hub/contract-review">6</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79f15dea-3509-4835-9d2f-86ff40d3813d</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4CB77619</paraID>
      <start xmlns="http://schemas.wps.cn/vas-ai-hub/contract-review">7</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511e7ffd-ec70-4919-b072-4695d131f781</errorID>
      <errorWord xmlns="http://schemas.wps.cn/vas-ai-hub/contract-review">12、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29CBE0B5</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bf9f21b1-5d34-4eea-81a6-ceed4d93aa38</errorID>
      <errorWord xmlns="http://schemas.wps.cn/vas-ai-hub/contract-review">磴口县磴口县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磴口县</item>
      </candidateList>
      <explain xmlns="http://schemas.wps.cn/vas-ai-hub/contract-review"/>
      <paraID xmlns="http://schemas.wps.cn/vas-ai-hub/contract-review"> D784691</paraID>
      <start xmlns="http://schemas.wps.cn/vas-ai-hub/contract-review">9</start>
      <end xmlns="http://schemas.wps.cn/vas-ai-hub/contract-review">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077b09a8-965f-4173-aa5d-b1739f27cfbf</errorID>
      <errorWord xmlns="http://schemas.wps.cn/vas-ai-hub/contract-review">农业部</errorWord>
      <group xmlns="http://schemas.wps.cn/vas-ai-hub/contract-review">L1_Knowledge</group>
      <groupName xmlns="http://schemas.wps.cn/vas-ai-hub/contract-review">知识性问题</groupName>
      <ability xmlns="http://schemas.wps.cn/vas-ai-hub/contract-review">L2_Organization</ability>
      <abilityName xmlns="http://schemas.wps.cn/vas-ai-hub/contract-review">机构检查</abilityName>
      <candidateList xmlns="http://schemas.wps.cn/vas-ai-hub/contract-review">
        <item xmlns="http://schemas.wps.cn/vas-ai-hub/contract-review">农业农村部</item>
      </candidateList>
      <explain xmlns="http://schemas.wps.cn/vas-ai-hub/contract-review">机关单位全简称表述错误</explain>
      <paraID xmlns="http://schemas.wps.cn/vas-ai-hub/contract-review"> D784691</paraID>
      <start xmlns="http://schemas.wps.cn/vas-ai-hub/contract-review">64</start>
      <end xmlns="http://schemas.wps.cn/vas-ai-hub/contract-review">67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ea68dcd0-ec95-4411-9d1a-c5c82e285323</errorID>
      <errorWord xmlns="http://schemas.wps.cn/vas-ai-hub/contract-review">13、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5A37CEBD</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420686d8-5087-4e51-8a44-ad6e3d5718da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2F80E634</paraID>
      <start xmlns="http://schemas.wps.cn/vas-ai-hub/contract-review">74</start>
      <end xmlns="http://schemas.wps.cn/vas-ai-hub/contract-review">75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198ee88a-e36b-4ae3-9678-ffefc36f5b0d</errorID>
      <errorWord xmlns="http://schemas.wps.cn/vas-ai-hub/contract-review">农业部</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农业农村部</item>
      </candidateList>
      <explain xmlns="http://schemas.wps.cn/vas-ai-hub/contract-review"/>
      <paraID xmlns="http://schemas.wps.cn/vas-ai-hub/contract-review">67949CA5</paraID>
      <start xmlns="http://schemas.wps.cn/vas-ai-hub/contract-review">14</start>
      <end xmlns="http://schemas.wps.cn/vas-ai-hub/contract-review">17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f34f4b9a-35f0-4e5c-8057-216413845888</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1BBFFD37</paraID>
      <start xmlns="http://schemas.wps.cn/vas-ai-hub/contract-review">24</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7156309d-da3c-448d-9a6a-004ad729adfe</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3F49765C</paraID>
      <start xmlns="http://schemas.wps.cn/vas-ai-hub/contract-review">12</start>
      <end xmlns="http://schemas.wps.cn/vas-ai-hub/contract-review">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b6a098ed-f149-4bc2-83d2-959aa2eaf320</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3F49765C</paraID>
      <start xmlns="http://schemas.wps.cn/vas-ai-hub/contract-review">25</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25ad4232-6848-42c0-b815-b76f35bdca66</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3F49765C</paraID>
      <start xmlns="http://schemas.wps.cn/vas-ai-hub/contract-review">33</start>
      <end xmlns="http://schemas.wps.cn/vas-ai-hub/contract-review">36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bf2cb61b-9bce-43c1-8283-23dfef9d6f35</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3F49765C</paraID>
      <start xmlns="http://schemas.wps.cn/vas-ai-hub/contract-review">53</start>
      <end xmlns="http://schemas.wps.cn/vas-ai-hub/contract-review">56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10d851ca-fc15-41f0-ae9c-f6f6dae9fb68</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3F49765C</paraID>
      <start xmlns="http://schemas.wps.cn/vas-ai-hub/contract-review">72</start>
      <end xmlns="http://schemas.wps.cn/vas-ai-hub/contract-review">75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0006bd8b-76ff-473f-aa5b-94b50ebb64c6</errorID>
      <errorWord xmlns="http://schemas.wps.cn/vas-ai-hub/contract-review">的</errorWord>
      <group xmlns="http://schemas.wps.cn/vas-ai-hub/contract-review">L1_Word</group>
      <groupName xmlns="http://schemas.wps.cn/vas-ai-hub/contract-review">字词问题</groupName>
      <ability xmlns="http://schemas.wps.cn/vas-ai-hub/contract-review">L2_DDD</ability>
      <abilityName xmlns="http://schemas.wps.cn/vas-ai-hub/contract-review">的地得用法</abilityName>
      <candidateList xmlns="http://schemas.wps.cn/vas-ai-hub/contract-review">
        <item xmlns="http://schemas.wps.cn/vas-ai-hub/contract-review">地</item>
      </candidateList>
      <explain xmlns="http://schemas.wps.cn/vas-ai-hub/contract-review">“地”常用于连接修饰语与动词性中心语，表示动作的方式、状态或程度。</explain>
      <paraID xmlns="http://schemas.wps.cn/vas-ai-hub/contract-review">2D4DB9C8</paraID>
      <start xmlns="http://schemas.wps.cn/vas-ai-hub/contract-review">34</start>
      <end xmlns="http://schemas.wps.cn/vas-ai-hub/contract-review">35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e6a336f3-c9e3-4eed-a143-44511a4f5a50</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275731BB</paraID>
      <start xmlns="http://schemas.wps.cn/vas-ai-hub/contract-review">47</start>
      <end xmlns="http://schemas.wps.cn/vas-ai-hub/contract-review">50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81ac8880-0bc8-4f60-b72e-4640f35b1e17</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7B4354D0</paraID>
      <start xmlns="http://schemas.wps.cn/vas-ai-hub/contract-review">50</start>
      <end xmlns="http://schemas.wps.cn/vas-ai-hub/contract-review">51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bca1aa33-768c-4c3d-9369-194f0d007544</errorID>
      <errorWord xmlns="http://schemas.wps.cn/vas-ai-hub/contract-review">重</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中</item>
      </candidateList>
      <explain xmlns="http://schemas.wps.cn/vas-ai-hub/contract-review">存在发音相同字词的误用。</explain>
      <paraID xmlns="http://schemas.wps.cn/vas-ai-hub/contract-review">30BFF273</paraID>
      <start xmlns="http://schemas.wps.cn/vas-ai-hub/contract-review">29</start>
      <end xmlns="http://schemas.wps.cn/vas-ai-hub/contract-review">30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37f0318c-6694-43ef-a8ce-4d3c7da13e28</errorID>
      <errorWord xmlns="http://schemas.wps.cn/vas-ai-hub/contract-review">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用下</item>
      </candidateList>
      <explain xmlns="http://schemas.wps.cn/vas-ai-hub/contract-review"/>
      <paraID xmlns="http://schemas.wps.cn/vas-ai-hub/contract-review">260411B5</paraID>
      <start xmlns="http://schemas.wps.cn/vas-ai-hub/contract-review">44</start>
      <end xmlns="http://schemas.wps.cn/vas-ai-hub/contract-review">45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efcf6cbb-7845-4e7c-b03d-1ea1302a2869</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6B7DBDAE</paraID>
      <start xmlns="http://schemas.wps.cn/vas-ai-hub/contract-review">3</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6ed1d041-5e4e-43dd-bd74-ecff3fdbd2f9</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4451F046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110e03b8-d2f0-403a-bc3e-39bce98d0105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6B7DC11F</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5526acd3-fc1b-4fd4-b8b4-369620e101ff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6B7DC11F</paraID>
      <start xmlns="http://schemas.wps.cn/vas-ai-hub/contract-review">6</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34ce4a5d-c548-46f5-877b-2f86b6f9b2b6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69E6A46C</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4512bcc9-1e30-4389-9efa-765a4c47aa5c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69E6A46C</paraID>
      <start xmlns="http://schemas.wps.cn/vas-ai-hub/contract-review">6</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ea4c2f8c-00cc-4fa1-84fc-c2b2b13ed400</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54926D98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2269afc7-6c44-4c39-a4a1-fe1e15f89a0c</errorID>
      <errorWord xmlns="http://schemas.wps.cn/vas-ai-hub/contract-review">》（试行）</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（试行）》</item>
      </candidateList>
      <explain xmlns="http://schemas.wps.cn/vas-ai-hub/contract-review"/>
      <paraID xmlns="http://schemas.wps.cn/vas-ai-hub/contract-review">5E733969</paraID>
      <start xmlns="http://schemas.wps.cn/vas-ai-hub/contract-review">62</start>
      <end xmlns="http://schemas.wps.cn/vas-ai-hub/contract-review">67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9b2ed985-f41b-4ab5-9d04-2702bc740129</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78A83CC2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fbebe1b6-b34c-4f84-bd11-b730aef8b5bb</errorID>
      <errorWord xmlns="http://schemas.wps.cn/vas-ai-hub/contract-review">》（试行）</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（试行）》</item>
      </candidateList>
      <explain xmlns="http://schemas.wps.cn/vas-ai-hub/contract-review"/>
      <paraID xmlns="http://schemas.wps.cn/vas-ai-hub/contract-review">11AD743A</paraID>
      <start xmlns="http://schemas.wps.cn/vas-ai-hub/contract-review">49</start>
      <end xmlns="http://schemas.wps.cn/vas-ai-hub/contract-review">54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14abd527-9ef3-463c-ba7b-929b9f961f1c</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37F3D75E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1caefb24-bcdb-4e92-a26a-4e48461fa6a7</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5036545E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b5f5d33a-002d-4048-bc88-9356f1d0ae9e</errorID>
      <errorWord xmlns="http://schemas.wps.cn/vas-ai-hub/contract-review">磴口县磴口县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磴口县</item>
      </candidateList>
      <explain xmlns="http://schemas.wps.cn/vas-ai-hub/contract-review"/>
      <paraID xmlns="http://schemas.wps.cn/vas-ai-hub/contract-review">516D6AF1</paraID>
      <start xmlns="http://schemas.wps.cn/vas-ai-hub/contract-review">11</start>
      <end xmlns="http://schemas.wps.cn/vas-ai-hub/contract-review">17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33e5a199-7003-408d-a08f-baf6d1c550c3</errorID>
      <errorWord xmlns="http://schemas.wps.cn/vas-ai-hub/contract-review">》（试行）</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（试行）》</item>
      </candidateList>
      <explain xmlns="http://schemas.wps.cn/vas-ai-hub/contract-review"/>
      <paraID xmlns="http://schemas.wps.cn/vas-ai-hub/contract-review">516D6AF1</paraID>
      <start xmlns="http://schemas.wps.cn/vas-ai-hub/contract-review">119</start>
      <end xmlns="http://schemas.wps.cn/vas-ai-hub/contract-review">124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1520b601-444f-4af1-a499-d371a5bdab0a</errorID>
      <errorWord xmlns="http://schemas.wps.cn/vas-ai-hub/contract-review">磴口县磴口县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磴口县</item>
      </candidateList>
      <explain xmlns="http://schemas.wps.cn/vas-ai-hub/contract-review"/>
      <paraID xmlns="http://schemas.wps.cn/vas-ai-hub/contract-review">5F1ADE31</paraID>
      <start xmlns="http://schemas.wps.cn/vas-ai-hub/contract-review">10</start>
      <end xmlns="http://schemas.wps.cn/vas-ai-hub/contract-review">16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648be6aa-984e-4066-b745-3fe9617a0217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2747C7F</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7e769c1b-9ef5-4956-bf0a-2c51095a3b94</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79DE2E6F</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1e488b87-8ec7-440e-a922-eb2f9092b105</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66D676DA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6d894984-e6c6-4574-bb45-3deefa7cf3e3</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4864153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1765ada1-d138-4c4e-ae07-cad62da723e0</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3D857B20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13e7b285-297a-41e5-ae13-49f0b7e67da5</errorID>
      <errorWord xmlns="http://schemas.wps.cn/vas-ai-hub/contract-review">项目项目</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项目</item>
      </candidateList>
      <explain xmlns="http://schemas.wps.cn/vas-ai-hub/contract-review">〈名〉事物分成的门类：服务～｜体育～｜建设～。</explain>
      <paraID xmlns="http://schemas.wps.cn/vas-ai-hub/contract-review">51523C1C</paraID>
      <start xmlns="http://schemas.wps.cn/vas-ai-hub/contract-review">1</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e5706af3-7b44-4790-b5c2-36b487423dbf</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586C0D2B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f7d9b815-b9a6-4e70-a022-916b76432c5d</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61F6DB5D</paraID>
      <start xmlns="http://schemas.wps.cn/vas-ai-hub/contract-review">25</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6580ffe8-0442-4cfb-a3bc-68960a0cfaca</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5189C379</paraID>
      <start xmlns="http://schemas.wps.cn/vas-ai-hub/contract-review">8</start>
      <end xmlns="http://schemas.wps.cn/vas-ai-hub/contract-review">11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17ce32f5-ee08-44c5-9b77-19d66820e993</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5189C379</paraID>
      <start xmlns="http://schemas.wps.cn/vas-ai-hub/contract-review">47</start>
      <end xmlns="http://schemas.wps.cn/vas-ai-hub/contract-review">48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d9296d16-8602-4c69-bc37-56845d9f8650</errorID>
      <errorWord xmlns="http://schemas.wps.cn/vas-ai-hub/contract-review">照照</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照</item>
      </candidateList>
      <explain xmlns="http://schemas.wps.cn/vas-ai-hub/contract-review"/>
      <paraID xmlns="http://schemas.wps.cn/vas-ai-hub/contract-review">5189C379</paraID>
      <start xmlns="http://schemas.wps.cn/vas-ai-hub/contract-review">57</start>
      <end xmlns="http://schemas.wps.cn/vas-ai-hub/contract-review">59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5342b4e8-4bc1-4175-94a6-6614ce3f1389</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1F80114A</paraID>
      <start xmlns="http://schemas.wps.cn/vas-ai-hub/contract-review">6</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c79cf6ac-6c5e-4672-86c8-4067cc8fa04c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1F80114A</paraID>
      <start xmlns="http://schemas.wps.cn/vas-ai-hub/contract-review">102</start>
      <end xmlns="http://schemas.wps.cn/vas-ai-hub/contract-review">103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6d731900-2e08-4ebd-b15a-f857806463fe</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327EB7CA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327d3da1-51b7-4f54-be8c-75f20e49449a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13B28DA1</paraID>
      <start xmlns="http://schemas.wps.cn/vas-ai-hub/contract-review">74</start>
      <end xmlns="http://schemas.wps.cn/vas-ai-hub/contract-review">75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1290794c-fd61-42a8-872f-b350bfaca306</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4595E9D6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f8375caf-c071-46d8-8d0f-553c40689c81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7AB49700</paraID>
      <start xmlns="http://schemas.wps.cn/vas-ai-hub/contract-review">96</start>
      <end xmlns="http://schemas.wps.cn/vas-ai-hub/contract-review">97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1fe02f33-fe44-4faf-aed6-3541468fb7f4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3E65417D</paraID>
      <start xmlns="http://schemas.wps.cn/vas-ai-hub/contract-review">24</start>
      <end xmlns="http://schemas.wps.cn/vas-ai-hub/contract-review">25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908a57ad-3a77-4b5e-8bdb-e065e82dc696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74FA261C</paraID>
      <start xmlns="http://schemas.wps.cn/vas-ai-hub/contract-review">26</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36fa25e4-a681-4a8c-a2ed-73878ced88ce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9189199</paraID>
      <start xmlns="http://schemas.wps.cn/vas-ai-hub/contract-review">26</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3dcd0989-8744-4fa8-9d10-1bcb0289341d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66D83C98</paraID>
      <start xmlns="http://schemas.wps.cn/vas-ai-hub/contract-review">22</start>
      <end xmlns="http://schemas.wps.cn/vas-ai-hub/contract-review">23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0ac9edd1-6939-40a0-bec1-c2d8787f0265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219B3ED7</paraID>
      <start xmlns="http://schemas.wps.cn/vas-ai-hub/contract-review">18</start>
      <end xmlns="http://schemas.wps.cn/vas-ai-hub/contract-review">19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de69b6dc-05ae-4de5-8494-000ab0174c8b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7E9AA100</paraID>
      <start xmlns="http://schemas.wps.cn/vas-ai-hub/contract-review">16</start>
      <end xmlns="http://schemas.wps.cn/vas-ai-hub/contract-review">17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938522ba-7d21-43a1-a5f8-364ef91bf6d3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57C530E6</paraID>
      <start xmlns="http://schemas.wps.cn/vas-ai-hub/contract-review">22</start>
      <end xmlns="http://schemas.wps.cn/vas-ai-hub/contract-review">23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fbc77d41-3b80-45ef-a5a9-b0195e8762a7</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42A6200B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b6cfe1fa-c3e7-4fd4-b544-7634ab15b420</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13873B9D</paraID>
      <start xmlns="http://schemas.wps.cn/vas-ai-hub/contract-review">22</start>
      <end xmlns="http://schemas.wps.cn/vas-ai-hub/contract-review">25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11117d75-80e3-42af-9637-c87c9b89a030</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23EE4FA5</paraID>
      <start xmlns="http://schemas.wps.cn/vas-ai-hub/contract-review">11</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e3f2decc-44bf-42d1-aca8-971988d94c42</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23EE4FA5</paraID>
      <start xmlns="http://schemas.wps.cn/vas-ai-hub/contract-review">50</start>
      <end xmlns="http://schemas.wps.cn/vas-ai-hub/contract-review">51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5aa0ce20-4c57-4ec0-a58d-156cc026fac8</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4026DFA2</paraID>
      <start xmlns="http://schemas.wps.cn/vas-ai-hub/contract-review">3</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3ae5d798-dad6-4bdb-95a1-1b0496a80e56</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3CAE69CA</paraID>
      <start xmlns="http://schemas.wps.cn/vas-ai-hub/contract-review">19</start>
      <end xmlns="http://schemas.wps.cn/vas-ai-hub/contract-review">22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fb1d9490-b761-474b-9c17-9840a87aa8ab</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3CAE69CA</paraID>
      <start xmlns="http://schemas.wps.cn/vas-ai-hub/contract-review">43</start>
      <end xmlns="http://schemas.wps.cn/vas-ai-hub/contract-review">46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07f33d8f-79a1-4432-8bf6-bf3aee5a7181</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3CAE69CA</paraID>
      <start xmlns="http://schemas.wps.cn/vas-ai-hub/contract-review">57</start>
      <end xmlns="http://schemas.wps.cn/vas-ai-hub/contract-review">60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48d8e108-152d-4a1f-a612-9edd0cd5e7f6</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3CAE69CA</paraID>
      <start xmlns="http://schemas.wps.cn/vas-ai-hub/contract-review">85</start>
      <end xmlns="http://schemas.wps.cn/vas-ai-hub/contract-review">88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f825319a-3405-4364-8558-c3986d31e5ba</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7F73D044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822f8a3a-9a72-424a-8a9a-87f61594dc08</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1053503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f71bb6c9-e64d-42c9-a521-68c6b6ba5a72</errorID>
      <errorWord xmlns="http://schemas.wps.cn/vas-ai-hub/contract-review">减小</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减少</item>
      </candidateList>
      <explain xmlns="http://schemas.wps.cn/vas-ai-hub/contract-review">〈动〉减去一部分：～人员｜～麻烦｜工作中的缺点～了。</explain>
      <paraID xmlns="http://schemas.wps.cn/vas-ai-hub/contract-review">36D02F0A</paraID>
      <start xmlns="http://schemas.wps.cn/vas-ai-hub/contract-review">57</start>
      <end xmlns="http://schemas.wps.cn/vas-ai-hub/contract-review">59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4b8e36a2-229b-4789-afb8-7377eac0e4c1</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1A2B176D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ad05a092-c1c7-4ba2-bf71-21aef803f7e2</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46CF1615</paraID>
      <start xmlns="http://schemas.wps.cn/vas-ai-hub/contract-review">3</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1c43f45c-41cf-4157-8ea5-e68db8affba6</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52172C28</paraID>
      <start xmlns="http://schemas.wps.cn/vas-ai-hub/contract-review">3</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aa636e26-2598-4e89-8148-76bdf9cfc97f</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 97124D4</paraID>
      <start xmlns="http://schemas.wps.cn/vas-ai-hub/contract-review">3</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f0bd2c84-89aa-4776-aed6-f06b132ee942</errorID>
      <errorWord xmlns="http://schemas.wps.cn/vas-ai-hub/contract-review">葵花籽</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葵花子</item>
      </candidateList>
      <explain xmlns="http://schemas.wps.cn/vas-ai-hub/contract-review"/>
      <paraID xmlns="http://schemas.wps.cn/vas-ai-hub/contract-review">5C8522A6</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s>
  <config xmlns="http://schemas.wps.cn/vas-ai-hub/contract-review"/>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81c90df-6259-48bb-b8dd-9bb7796d410b}">
  <ds:schemaRefs/>
</ds:datastoreItem>
</file>

<file path=docProps/app.xml><?xml version="1.0" encoding="utf-8"?>
<Properties xmlns="http://schemas.openxmlformats.org/officeDocument/2006/extended-properties" xmlns:vt="http://schemas.openxmlformats.org/officeDocument/2006/docPropsVTypes">
  <Template>Normal.dotm</Template>
  <Pages>39</Pages>
  <Words>28340</Words>
  <Characters>33612</Characters>
  <Lines>126</Lines>
  <Paragraphs>35</Paragraphs>
  <TotalTime>44</TotalTime>
  <ScaleCrop>false</ScaleCrop>
  <LinksUpToDate>false</LinksUpToDate>
  <CharactersWithSpaces>33804</CharactersWithSpaces>
  <Application>WPS Office_12.1.2.23578_F1E327BC-269C-435d-A152-05C5408002CA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2024-06-15T07:15:00Z</dcterms:created>
  <dc:creator>平生我自知</dc:creator>
  <cp:lastModifiedBy>WPS_1729516128</cp:lastModifiedBy>
  <dcterms:modified xsi:type="dcterms:W3CDTF">2026-05-14T16:39:38Z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2052-12.1.2.23578</vt:lpwstr>
  </property>
  <property fmtid="{D5CDD505-2E9C-101B-9397-08002B2CF9AE}" pid="3" name="ICV">
    <vt:lpwstr>D1583BA3B11F285B4A8A056A196D85D4_43</vt:lpwstr>
  </property>
  <property fmtid="{D5CDD505-2E9C-101B-9397-08002B2CF9AE}" pid="4" name="KSOTemplateDocerSaveRecord">
    <vt:lpwstr>eyJoZGlkIjoiN2NhZmQ2NGE3NGQyMTFkNTZiYzVjMGVkMjJkM2U1YzEiLCJ1c2VySWQiOiI0Mzg3NzEzODQifQ==</vt:lpwstr>
  </property>
</Properties>
</file>